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E2B0A" w:rsidR="006972C9" w:rsidP="001F00EB" w:rsidRDefault="006972C9" w14:paraId="5433B265" w14:textId="77777777">
      <w:pPr>
        <w:tabs>
          <w:tab w:val="left" w:pos="2843"/>
        </w:tabs>
        <w:spacing w:line="240" w:lineRule="auto"/>
        <w:rPr>
          <w:sz w:val="24"/>
        </w:rPr>
      </w:pPr>
      <w:r w:rsidRPr="002E2B0A">
        <w:rPr>
          <w:sz w:val="24"/>
        </w:rPr>
        <w:tab/>
      </w:r>
    </w:p>
    <w:p w:rsidRPr="005E6DE4" w:rsidR="001643B3" w:rsidP="001643B3" w:rsidRDefault="00F476DF" w14:paraId="5E4FB2D1" w14:textId="441CBB7A">
      <w:pPr>
        <w:pStyle w:val="Texto"/>
        <w:spacing w:before="0" w:after="0" w:line="240" w:lineRule="auto"/>
        <w:contextualSpacing/>
        <w:jc w:val="center"/>
        <w:rPr>
          <w:sz w:val="24"/>
        </w:rPr>
      </w:pPr>
      <w:r>
        <w:rPr>
          <w:b/>
          <w:sz w:val="24"/>
        </w:rPr>
        <w:t>Resolución</w:t>
      </w:r>
    </w:p>
    <w:p w:rsidRPr="002E2B0A" w:rsidR="00F476DF" w:rsidP="00F476DF" w:rsidRDefault="00F476DF" w14:paraId="5E40418D" w14:textId="715C63E8">
      <w:pPr>
        <w:pStyle w:val="Texto"/>
        <w:spacing w:before="0" w:after="0" w:line="240" w:lineRule="auto"/>
        <w:jc w:val="center"/>
        <w:rPr>
          <w:sz w:val="24"/>
        </w:rPr>
      </w:pPr>
      <w:r>
        <w:rPr>
          <w:sz w:val="24"/>
        </w:rPr>
        <w:t>09</w:t>
      </w:r>
      <w:r>
        <w:rPr>
          <w:sz w:val="24"/>
        </w:rPr>
        <w:t xml:space="preserve"> de junio de 2020</w:t>
      </w:r>
    </w:p>
    <w:sdt>
      <w:sdtPr>
        <w:rPr>
          <w:sz w:val="24"/>
        </w:rPr>
        <w:alias w:val="Consecutivo"/>
        <w:tag w:val="Consecutivo"/>
        <w:id w:val="2052717023"/>
        <w:placeholder>
          <w:docPart w:val="97CF83304AA347A58D89D45105A48D2B"/>
        </w:placeholder>
        <w:text/>
      </w:sdtPr>
      <w:sdtContent>
        <w:p w:rsidR="00F476DF" w:rsidP="00F476DF" w:rsidRDefault="00F476DF" w14:paraId="621FA360" w14:textId="77777777">
          <w:pPr>
            <w:tabs>
              <w:tab w:val="left" w:pos="2843"/>
            </w:tabs>
            <w:spacing w:line="240" w:lineRule="auto"/>
            <w:jc w:val="center"/>
            <w:rPr>
              <w:sz w:val="24"/>
            </w:rPr>
          </w:pPr>
          <w:r>
            <w:t>SGF-1993-2020</w:t>
          </w:r>
        </w:p>
      </w:sdtContent>
    </w:sdt>
    <w:p w:rsidR="00F476DF" w:rsidP="00F476DF" w:rsidRDefault="00F476DF" w14:paraId="72CB7BF4" w14:textId="77777777">
      <w:pPr>
        <w:tabs>
          <w:tab w:val="left" w:pos="2843"/>
        </w:tabs>
        <w:spacing w:line="240" w:lineRule="auto"/>
        <w:jc w:val="center"/>
        <w:rPr>
          <w:sz w:val="24"/>
        </w:rPr>
      </w:pPr>
      <w:sdt>
        <w:sdtPr>
          <w:rPr>
            <w:sz w:val="24"/>
          </w:rPr>
          <w:alias w:val="Confidencialidad"/>
          <w:tag w:val="Confidencialidad"/>
          <w:id w:val="1447896894"/>
          <w:placeholder>
            <w:docPart w:val="B9D0E384589F4F9CB32238B3EED665DA"/>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Content>
          <w:r>
            <w:rPr>
              <w:sz w:val="24"/>
            </w:rPr>
            <w:t>SGF-PUBLICO</w:t>
          </w:r>
        </w:sdtContent>
      </w:sdt>
    </w:p>
    <w:p w:rsidR="001643B3" w:rsidP="001643B3" w:rsidRDefault="001643B3" w14:paraId="3F65F43F" w14:textId="77777777">
      <w:pPr>
        <w:widowControl w:val="0"/>
        <w:spacing w:line="240" w:lineRule="auto"/>
        <w:ind w:left="34" w:right="86"/>
        <w:contextualSpacing/>
        <w:outlineLvl w:val="0"/>
        <w:rPr>
          <w:b/>
          <w:sz w:val="24"/>
          <w:lang w:val="es-CR"/>
        </w:rPr>
      </w:pPr>
    </w:p>
    <w:p w:rsidR="001643B3" w:rsidP="001643B3" w:rsidRDefault="001643B3" w14:paraId="4557DD91" w14:textId="77777777">
      <w:pPr>
        <w:widowControl w:val="0"/>
        <w:spacing w:line="240" w:lineRule="auto"/>
        <w:ind w:left="34" w:right="86"/>
        <w:contextualSpacing/>
        <w:outlineLvl w:val="0"/>
        <w:rPr>
          <w:b/>
          <w:sz w:val="24"/>
          <w:lang w:val="es-CR"/>
        </w:rPr>
      </w:pPr>
    </w:p>
    <w:p w:rsidRPr="005E6DE4" w:rsidR="000A6C8A" w:rsidP="001643B3" w:rsidRDefault="000A6C8A" w14:paraId="1E3D73FB" w14:textId="77777777">
      <w:pPr>
        <w:widowControl w:val="0"/>
        <w:spacing w:line="240" w:lineRule="auto"/>
        <w:ind w:left="34" w:right="86"/>
        <w:contextualSpacing/>
        <w:outlineLvl w:val="0"/>
        <w:rPr>
          <w:b/>
          <w:sz w:val="24"/>
          <w:lang w:val="es-CR"/>
        </w:rPr>
      </w:pPr>
    </w:p>
    <w:p w:rsidRPr="005E6DE4" w:rsidR="001643B3" w:rsidP="001643B3" w:rsidRDefault="001643B3" w14:paraId="56DBE4DB" w14:textId="77777777">
      <w:pPr>
        <w:widowControl w:val="0"/>
        <w:spacing w:line="240" w:lineRule="auto"/>
        <w:ind w:left="34" w:right="86"/>
        <w:contextualSpacing/>
        <w:outlineLvl w:val="0"/>
        <w:rPr>
          <w:b/>
          <w:sz w:val="24"/>
          <w:lang w:val="es-CR"/>
        </w:rPr>
      </w:pPr>
      <w:r w:rsidRPr="005E6DE4">
        <w:rPr>
          <w:b/>
          <w:sz w:val="24"/>
          <w:lang w:val="es-CR"/>
        </w:rPr>
        <w:t xml:space="preserve">Dirigida a: </w:t>
      </w:r>
    </w:p>
    <w:p w:rsidRPr="005E6DE4" w:rsidR="001643B3" w:rsidP="001643B3" w:rsidRDefault="001643B3" w14:paraId="4CE795F3" w14:textId="77777777">
      <w:pPr>
        <w:widowControl w:val="0"/>
        <w:spacing w:line="240" w:lineRule="auto"/>
        <w:ind w:left="34" w:right="86"/>
        <w:contextualSpacing/>
        <w:outlineLvl w:val="0"/>
        <w:rPr>
          <w:b/>
          <w:sz w:val="24"/>
          <w:lang w:val="es-CR"/>
        </w:rPr>
      </w:pPr>
    </w:p>
    <w:p w:rsidRPr="005E6DE4" w:rsidR="001643B3" w:rsidP="001643B3" w:rsidRDefault="001643B3" w14:paraId="6B7076CC" w14:textId="77777777">
      <w:pPr>
        <w:widowControl w:val="0"/>
        <w:numPr>
          <w:ilvl w:val="0"/>
          <w:numId w:val="3"/>
        </w:numPr>
        <w:spacing w:line="240" w:lineRule="auto"/>
        <w:ind w:left="567" w:right="86" w:hanging="567"/>
        <w:contextualSpacing/>
        <w:rPr>
          <w:b/>
          <w:sz w:val="24"/>
          <w:lang w:val="es-CR" w:eastAsia="es-ES"/>
        </w:rPr>
      </w:pPr>
      <w:r w:rsidRPr="005E6DE4">
        <w:rPr>
          <w:b/>
          <w:sz w:val="24"/>
          <w:lang w:val="es-CR" w:eastAsia="es-ES"/>
        </w:rPr>
        <w:t>Bancos Comerciales del Estado</w:t>
      </w:r>
    </w:p>
    <w:p w:rsidRPr="005E6DE4" w:rsidR="001643B3" w:rsidP="001643B3" w:rsidRDefault="001643B3" w14:paraId="548A630C" w14:textId="77777777">
      <w:pPr>
        <w:widowControl w:val="0"/>
        <w:numPr>
          <w:ilvl w:val="0"/>
          <w:numId w:val="3"/>
        </w:numPr>
        <w:spacing w:line="240" w:lineRule="auto"/>
        <w:ind w:left="567" w:right="86" w:hanging="567"/>
        <w:contextualSpacing/>
        <w:rPr>
          <w:b/>
          <w:sz w:val="24"/>
          <w:lang w:val="es-CR" w:eastAsia="es-ES"/>
        </w:rPr>
      </w:pPr>
      <w:r w:rsidRPr="005E6DE4">
        <w:rPr>
          <w:b/>
          <w:sz w:val="24"/>
          <w:lang w:val="es-CR" w:eastAsia="es-ES"/>
        </w:rPr>
        <w:t>Bancos Creados por Leyes Especiales</w:t>
      </w:r>
    </w:p>
    <w:p w:rsidRPr="005E6DE4" w:rsidR="001643B3" w:rsidP="001643B3" w:rsidRDefault="001643B3" w14:paraId="5C06B5C6" w14:textId="77777777">
      <w:pPr>
        <w:widowControl w:val="0"/>
        <w:numPr>
          <w:ilvl w:val="0"/>
          <w:numId w:val="3"/>
        </w:numPr>
        <w:spacing w:line="240" w:lineRule="auto"/>
        <w:ind w:left="567" w:right="86" w:hanging="567"/>
        <w:contextualSpacing/>
        <w:rPr>
          <w:b/>
          <w:sz w:val="24"/>
          <w:lang w:val="es-CR" w:eastAsia="es-ES"/>
        </w:rPr>
      </w:pPr>
      <w:r w:rsidRPr="005E6DE4">
        <w:rPr>
          <w:b/>
          <w:sz w:val="24"/>
          <w:lang w:val="es-CR" w:eastAsia="es-ES"/>
        </w:rPr>
        <w:t>Bancos Privados</w:t>
      </w:r>
    </w:p>
    <w:p w:rsidRPr="005E6DE4" w:rsidR="001643B3" w:rsidP="001643B3" w:rsidRDefault="001643B3" w14:paraId="087854C9" w14:textId="77777777">
      <w:pPr>
        <w:widowControl w:val="0"/>
        <w:numPr>
          <w:ilvl w:val="0"/>
          <w:numId w:val="3"/>
        </w:numPr>
        <w:spacing w:line="240" w:lineRule="auto"/>
        <w:ind w:left="567" w:right="86" w:hanging="567"/>
        <w:contextualSpacing/>
        <w:rPr>
          <w:b/>
          <w:sz w:val="24"/>
          <w:lang w:val="es-CR" w:eastAsia="es-ES"/>
        </w:rPr>
      </w:pPr>
      <w:r w:rsidRPr="005E6DE4">
        <w:rPr>
          <w:b/>
          <w:sz w:val="24"/>
          <w:lang w:val="es-CR" w:eastAsia="es-ES"/>
        </w:rPr>
        <w:t>Empresas Financieras no Bancarias</w:t>
      </w:r>
    </w:p>
    <w:p w:rsidRPr="005E6DE4" w:rsidR="001643B3" w:rsidP="001643B3" w:rsidRDefault="001643B3" w14:paraId="0B594D0F" w14:textId="77777777">
      <w:pPr>
        <w:widowControl w:val="0"/>
        <w:numPr>
          <w:ilvl w:val="0"/>
          <w:numId w:val="3"/>
        </w:numPr>
        <w:spacing w:line="240" w:lineRule="auto"/>
        <w:ind w:left="567" w:right="86" w:hanging="567"/>
        <w:contextualSpacing/>
        <w:rPr>
          <w:b/>
          <w:sz w:val="24"/>
          <w:lang w:val="es-CR" w:eastAsia="es-ES"/>
        </w:rPr>
      </w:pPr>
      <w:r w:rsidRPr="005E6DE4">
        <w:rPr>
          <w:b/>
          <w:sz w:val="24"/>
          <w:lang w:val="es-CR" w:eastAsia="es-ES"/>
        </w:rPr>
        <w:t>Otras Entidades Financieras</w:t>
      </w:r>
    </w:p>
    <w:p w:rsidRPr="005E6DE4" w:rsidR="001643B3" w:rsidP="001643B3" w:rsidRDefault="001643B3" w14:paraId="7BEDE81A" w14:textId="77777777">
      <w:pPr>
        <w:widowControl w:val="0"/>
        <w:numPr>
          <w:ilvl w:val="0"/>
          <w:numId w:val="3"/>
        </w:numPr>
        <w:spacing w:line="240" w:lineRule="auto"/>
        <w:ind w:left="567" w:right="86" w:hanging="567"/>
        <w:contextualSpacing/>
        <w:rPr>
          <w:b/>
          <w:sz w:val="24"/>
          <w:lang w:val="es-CR" w:eastAsia="es-ES"/>
        </w:rPr>
      </w:pPr>
      <w:r w:rsidRPr="005E6DE4">
        <w:rPr>
          <w:b/>
          <w:sz w:val="24"/>
          <w:lang w:val="es-CR" w:eastAsia="es-ES"/>
        </w:rPr>
        <w:t>Organizaciones Cooperativas de Ahorro y Crédito</w:t>
      </w:r>
    </w:p>
    <w:p w:rsidRPr="005E6DE4" w:rsidR="001643B3" w:rsidP="001643B3" w:rsidRDefault="001643B3" w14:paraId="70EE1B5D" w14:textId="77777777">
      <w:pPr>
        <w:widowControl w:val="0"/>
        <w:numPr>
          <w:ilvl w:val="0"/>
          <w:numId w:val="3"/>
        </w:numPr>
        <w:spacing w:line="240" w:lineRule="auto"/>
        <w:ind w:left="567" w:right="86" w:hanging="567"/>
        <w:contextualSpacing/>
        <w:rPr>
          <w:b/>
          <w:sz w:val="24"/>
          <w:lang w:val="es-CR" w:eastAsia="es-ES"/>
        </w:rPr>
      </w:pPr>
      <w:r w:rsidRPr="005E6DE4">
        <w:rPr>
          <w:b/>
          <w:sz w:val="24"/>
          <w:lang w:val="es-CR" w:eastAsia="es-ES"/>
        </w:rPr>
        <w:t>Entidades Autorizadas del Sistema Financiera Nacional para la Vivienda</w:t>
      </w:r>
    </w:p>
    <w:p w:rsidR="001643B3" w:rsidP="001643B3" w:rsidRDefault="001643B3" w14:paraId="799CAA9B" w14:textId="77777777">
      <w:pPr>
        <w:pStyle w:val="Texto"/>
        <w:spacing w:before="0" w:after="0" w:line="240" w:lineRule="auto"/>
        <w:contextualSpacing/>
        <w:rPr>
          <w:b/>
          <w:sz w:val="24"/>
        </w:rPr>
      </w:pPr>
    </w:p>
    <w:p w:rsidRPr="005E6DE4" w:rsidR="001643B3" w:rsidP="001643B3" w:rsidRDefault="001643B3" w14:paraId="0A49E4D6" w14:textId="77777777">
      <w:pPr>
        <w:pStyle w:val="Texto"/>
        <w:spacing w:before="0" w:after="0" w:line="240" w:lineRule="auto"/>
        <w:contextualSpacing/>
        <w:rPr>
          <w:b/>
          <w:sz w:val="24"/>
        </w:rPr>
      </w:pPr>
    </w:p>
    <w:p w:rsidRPr="005E6DE4" w:rsidR="001643B3" w:rsidP="001643B3" w:rsidRDefault="001643B3" w14:paraId="4FDCA834" w14:textId="77777777">
      <w:pPr>
        <w:pStyle w:val="Texto"/>
        <w:spacing w:before="0" w:after="0" w:line="240" w:lineRule="auto"/>
        <w:rPr>
          <w:sz w:val="24"/>
        </w:rPr>
      </w:pPr>
      <w:r w:rsidRPr="005E6DE4">
        <w:rPr>
          <w:b/>
          <w:sz w:val="24"/>
        </w:rPr>
        <w:t xml:space="preserve">Asunto: </w:t>
      </w:r>
      <w:r w:rsidRPr="005E6DE4">
        <w:rPr>
          <w:sz w:val="24"/>
        </w:rPr>
        <w:t xml:space="preserve">Aclaración sobre los montos que componen los datos adicionales de las entidades individuales: D20218 y D20219, y los datos adicionales para el cálculo de la suficiencia patrimonial de grupos y conglomerados financieros: </w:t>
      </w:r>
      <w:r>
        <w:rPr>
          <w:sz w:val="24"/>
        </w:rPr>
        <w:t>19</w:t>
      </w:r>
      <w:r w:rsidRPr="005E6DE4">
        <w:rPr>
          <w:sz w:val="24"/>
        </w:rPr>
        <w:t xml:space="preserve">18 y </w:t>
      </w:r>
      <w:r>
        <w:rPr>
          <w:sz w:val="24"/>
        </w:rPr>
        <w:t>19</w:t>
      </w:r>
      <w:r w:rsidRPr="005E6DE4">
        <w:rPr>
          <w:sz w:val="24"/>
        </w:rPr>
        <w:t xml:space="preserve">19; así como corrección de las cuentas contables del ponderador del 75% de los Ponderadores según riesgo de crédito, incluidos en los </w:t>
      </w:r>
      <w:r w:rsidRPr="005E6DE4">
        <w:rPr>
          <w:i/>
          <w:sz w:val="24"/>
        </w:rPr>
        <w:t>Lineamientos Generales para la aplicación del Reglamento sobre la suficiencia patrimonial de entidades financieras, Acuerdo SUGEF-3-06</w:t>
      </w:r>
      <w:r w:rsidRPr="005E6DE4">
        <w:rPr>
          <w:sz w:val="24"/>
        </w:rPr>
        <w:t>.</w:t>
      </w:r>
    </w:p>
    <w:p w:rsidR="001643B3" w:rsidP="001643B3" w:rsidRDefault="001643B3" w14:paraId="5F2DB126" w14:textId="77777777">
      <w:pPr>
        <w:pStyle w:val="Texto"/>
        <w:spacing w:before="0" w:after="0" w:line="240" w:lineRule="auto"/>
        <w:rPr>
          <w:sz w:val="24"/>
        </w:rPr>
      </w:pPr>
    </w:p>
    <w:p w:rsidRPr="005E6DE4" w:rsidR="001643B3" w:rsidP="001643B3" w:rsidRDefault="001643B3" w14:paraId="76F1EBF9" w14:textId="77777777">
      <w:pPr>
        <w:pStyle w:val="Texto"/>
        <w:spacing w:before="0" w:after="0" w:line="240" w:lineRule="auto"/>
        <w:rPr>
          <w:sz w:val="24"/>
        </w:rPr>
      </w:pPr>
    </w:p>
    <w:p w:rsidRPr="005E6DE4" w:rsidR="001643B3" w:rsidP="001643B3" w:rsidRDefault="001643B3" w14:paraId="39F6A23F" w14:textId="77777777">
      <w:pPr>
        <w:spacing w:line="240" w:lineRule="auto"/>
        <w:ind w:left="34"/>
        <w:outlineLvl w:val="0"/>
        <w:rPr>
          <w:sz w:val="24"/>
        </w:rPr>
      </w:pPr>
      <w:r w:rsidRPr="005E6DE4">
        <w:rPr>
          <w:b/>
          <w:sz w:val="24"/>
        </w:rPr>
        <w:t>El Superintendente General de Entidades Financieras,</w:t>
      </w:r>
    </w:p>
    <w:p w:rsidRPr="005E6DE4" w:rsidR="001643B3" w:rsidP="001643B3" w:rsidRDefault="001643B3" w14:paraId="45BB2F37" w14:textId="77777777">
      <w:pPr>
        <w:spacing w:line="240" w:lineRule="auto"/>
        <w:ind w:left="34"/>
        <w:rPr>
          <w:sz w:val="24"/>
        </w:rPr>
      </w:pPr>
    </w:p>
    <w:p w:rsidRPr="005E6DE4" w:rsidR="001643B3" w:rsidP="001643B3" w:rsidRDefault="001643B3" w14:paraId="390F3323" w14:textId="77777777">
      <w:pPr>
        <w:spacing w:line="240" w:lineRule="auto"/>
        <w:ind w:left="34"/>
        <w:outlineLvl w:val="0"/>
        <w:rPr>
          <w:sz w:val="24"/>
        </w:rPr>
      </w:pPr>
      <w:r w:rsidRPr="005E6DE4">
        <w:rPr>
          <w:b/>
          <w:sz w:val="24"/>
        </w:rPr>
        <w:t>Considerando que</w:t>
      </w:r>
      <w:r w:rsidRPr="005E6DE4">
        <w:rPr>
          <w:sz w:val="24"/>
        </w:rPr>
        <w:t>:</w:t>
      </w:r>
    </w:p>
    <w:p w:rsidRPr="005E6DE4" w:rsidR="001643B3" w:rsidP="001643B3" w:rsidRDefault="001643B3" w14:paraId="17299D9C" w14:textId="77777777">
      <w:pPr>
        <w:pStyle w:val="Prrafodelista"/>
        <w:spacing w:after="0" w:line="240" w:lineRule="auto"/>
        <w:rPr>
          <w:rFonts w:ascii="Cambria" w:hAnsi="Cambria"/>
          <w:sz w:val="24"/>
          <w:szCs w:val="24"/>
          <w:lang w:val="es-ES"/>
        </w:rPr>
      </w:pPr>
    </w:p>
    <w:p w:rsidRPr="005E6DE4" w:rsidR="001643B3" w:rsidP="001643B3" w:rsidRDefault="001643B3" w14:paraId="32901F9F" w14:textId="77777777">
      <w:pPr>
        <w:pStyle w:val="Prrafodelista"/>
        <w:numPr>
          <w:ilvl w:val="0"/>
          <w:numId w:val="4"/>
        </w:numPr>
        <w:tabs>
          <w:tab w:val="left" w:pos="2843"/>
        </w:tabs>
        <w:spacing w:after="0" w:line="240" w:lineRule="auto"/>
        <w:ind w:left="426" w:hanging="284"/>
        <w:jc w:val="both"/>
        <w:rPr>
          <w:rFonts w:ascii="Cambria" w:hAnsi="Cambria"/>
          <w:sz w:val="24"/>
          <w:szCs w:val="24"/>
          <w:lang w:val="es-ES"/>
        </w:rPr>
      </w:pPr>
      <w:r w:rsidRPr="005E6DE4">
        <w:rPr>
          <w:rFonts w:ascii="Cambria" w:hAnsi="Cambria"/>
          <w:sz w:val="24"/>
          <w:szCs w:val="24"/>
          <w:lang w:val="es-ES"/>
        </w:rPr>
        <w:t xml:space="preserve">El CONASSIF, mediante Artículo 14, de la Sesión 547-2006, aprobó el </w:t>
      </w:r>
      <w:r w:rsidRPr="005E6DE4">
        <w:rPr>
          <w:rFonts w:ascii="Cambria" w:hAnsi="Cambria"/>
          <w:i/>
          <w:sz w:val="24"/>
          <w:szCs w:val="24"/>
          <w:lang w:val="es-ES"/>
        </w:rPr>
        <w:t>Reglamento sobre la suficiencia patrimonial de entidades financieras</w:t>
      </w:r>
      <w:r w:rsidRPr="005E6DE4">
        <w:rPr>
          <w:rFonts w:ascii="Cambria" w:hAnsi="Cambria"/>
          <w:sz w:val="24"/>
          <w:szCs w:val="24"/>
          <w:lang w:val="es-ES"/>
        </w:rPr>
        <w:t xml:space="preserve"> que tiene por objeto establecer la metodología para el cálculo de la suficiencia patrimonial de las entidades financieras y establecer el requerimiento mínimo de capital.  El artículo 4. </w:t>
      </w:r>
      <w:r w:rsidRPr="005E6DE4">
        <w:rPr>
          <w:rFonts w:ascii="Cambria" w:hAnsi="Cambria"/>
          <w:i/>
          <w:sz w:val="24"/>
          <w:szCs w:val="24"/>
          <w:lang w:val="es-ES"/>
        </w:rPr>
        <w:t>Lineamientos Generales</w:t>
      </w:r>
      <w:r w:rsidRPr="005E6DE4">
        <w:rPr>
          <w:rFonts w:ascii="Cambria" w:hAnsi="Cambria"/>
          <w:sz w:val="24"/>
          <w:szCs w:val="24"/>
          <w:lang w:val="es-ES"/>
        </w:rPr>
        <w:t xml:space="preserve"> de dicho </w:t>
      </w:r>
      <w:r>
        <w:rPr>
          <w:rFonts w:ascii="Cambria" w:hAnsi="Cambria"/>
          <w:sz w:val="24"/>
          <w:szCs w:val="24"/>
          <w:lang w:val="es-ES"/>
        </w:rPr>
        <w:t>R</w:t>
      </w:r>
      <w:r w:rsidRPr="005E6DE4">
        <w:rPr>
          <w:rFonts w:ascii="Cambria" w:hAnsi="Cambria"/>
          <w:sz w:val="24"/>
          <w:szCs w:val="24"/>
          <w:lang w:val="es-ES"/>
        </w:rPr>
        <w:t>eglamento dispone que el Superintendente debe emitir los Lineamientos Generales necesarios para la aplicación de éste, los cuales pueden ser modificados para mantener actualizadas las cuentas contables y datos adicionales, la metodología de homologación de calificaciones y de cálculo del VeR, y las deducciones a  las que están sujetas las utilidades.</w:t>
      </w:r>
    </w:p>
    <w:p w:rsidRPr="005E6DE4" w:rsidR="001643B3" w:rsidP="001643B3" w:rsidRDefault="001643B3" w14:paraId="5E19E835" w14:textId="77777777">
      <w:pPr>
        <w:pStyle w:val="Prrafodelista"/>
        <w:tabs>
          <w:tab w:val="left" w:pos="2843"/>
        </w:tabs>
        <w:spacing w:after="0" w:line="240" w:lineRule="auto"/>
        <w:ind w:left="426" w:hanging="284"/>
        <w:rPr>
          <w:rFonts w:ascii="Cambria" w:hAnsi="Cambria"/>
          <w:sz w:val="24"/>
          <w:szCs w:val="24"/>
          <w:lang w:val="es-ES"/>
        </w:rPr>
      </w:pPr>
    </w:p>
    <w:p w:rsidRPr="005E6DE4" w:rsidR="001643B3" w:rsidP="001643B3" w:rsidRDefault="001643B3" w14:paraId="22EE241B" w14:textId="77777777">
      <w:pPr>
        <w:pStyle w:val="Prrafodelista"/>
        <w:numPr>
          <w:ilvl w:val="0"/>
          <w:numId w:val="4"/>
        </w:numPr>
        <w:tabs>
          <w:tab w:val="left" w:pos="2843"/>
        </w:tabs>
        <w:spacing w:after="0" w:line="240" w:lineRule="auto"/>
        <w:ind w:left="426" w:hanging="284"/>
        <w:jc w:val="both"/>
        <w:rPr>
          <w:rFonts w:ascii="Cambria" w:hAnsi="Cambria"/>
          <w:sz w:val="24"/>
          <w:szCs w:val="24"/>
          <w:lang w:val="es-ES"/>
        </w:rPr>
      </w:pPr>
      <w:r w:rsidRPr="005E6DE4">
        <w:rPr>
          <w:rFonts w:ascii="Cambria" w:hAnsi="Cambria"/>
          <w:sz w:val="24"/>
          <w:szCs w:val="24"/>
          <w:lang w:val="es-ES"/>
        </w:rPr>
        <w:lastRenderedPageBreak/>
        <w:t xml:space="preserve">Mediante el “Sistema de Captura, Verificación y Carga de Datos” (SICVECA), las entidades supervisadas remiten a esta Superintendencia información financiera que complementa los balances, estados y cuentas de las entidades, entre ellas, un detalle de datos adicionales. Además, el </w:t>
      </w:r>
      <w:r w:rsidRPr="005E6DE4">
        <w:rPr>
          <w:rFonts w:ascii="Cambria" w:hAnsi="Cambria"/>
          <w:i/>
          <w:sz w:val="24"/>
          <w:szCs w:val="24"/>
          <w:lang w:val="es-ES"/>
        </w:rPr>
        <w:t>Manual de Información–SICVECA</w:t>
      </w:r>
      <w:r w:rsidRPr="005E6DE4">
        <w:rPr>
          <w:rFonts w:ascii="Cambria" w:hAnsi="Cambria"/>
          <w:sz w:val="24"/>
          <w:szCs w:val="24"/>
          <w:lang w:val="es-ES"/>
        </w:rPr>
        <w:t>, publicado en dicho sitio Web, contiene las instrucciones para la preparación y el envío de la información que ésta solicita a las entidades supervisadas.</w:t>
      </w:r>
    </w:p>
    <w:p w:rsidRPr="005E6DE4" w:rsidR="001643B3" w:rsidP="001643B3" w:rsidRDefault="001643B3" w14:paraId="24EBD409" w14:textId="77777777">
      <w:pPr>
        <w:pStyle w:val="Prrafodelista"/>
        <w:tabs>
          <w:tab w:val="left" w:pos="2843"/>
        </w:tabs>
        <w:spacing w:after="0" w:line="240" w:lineRule="auto"/>
        <w:ind w:left="426" w:hanging="284"/>
        <w:rPr>
          <w:rFonts w:ascii="Cambria" w:hAnsi="Cambria"/>
          <w:sz w:val="24"/>
          <w:szCs w:val="24"/>
          <w:lang w:val="es-ES"/>
        </w:rPr>
      </w:pPr>
    </w:p>
    <w:p w:rsidRPr="005E6DE4" w:rsidR="001643B3" w:rsidP="001643B3" w:rsidRDefault="001643B3" w14:paraId="063227E7" w14:textId="77777777">
      <w:pPr>
        <w:pStyle w:val="Prrafodelista"/>
        <w:numPr>
          <w:ilvl w:val="0"/>
          <w:numId w:val="4"/>
        </w:numPr>
        <w:tabs>
          <w:tab w:val="left" w:pos="2843"/>
        </w:tabs>
        <w:spacing w:after="0" w:line="240" w:lineRule="auto"/>
        <w:ind w:left="426" w:hanging="284"/>
        <w:jc w:val="both"/>
        <w:rPr>
          <w:rFonts w:ascii="Cambria" w:hAnsi="Cambria"/>
          <w:sz w:val="24"/>
          <w:szCs w:val="24"/>
        </w:rPr>
      </w:pPr>
      <w:r>
        <w:rPr>
          <w:rFonts w:ascii="Cambria" w:hAnsi="Cambria"/>
          <w:sz w:val="24"/>
          <w:szCs w:val="24"/>
          <w:lang w:val="es-ES"/>
        </w:rPr>
        <w:t xml:space="preserve">La </w:t>
      </w:r>
      <w:r w:rsidRPr="005E6DE4">
        <w:rPr>
          <w:rFonts w:ascii="Cambria" w:hAnsi="Cambria"/>
          <w:sz w:val="24"/>
          <w:szCs w:val="24"/>
          <w:lang w:val="es-ES"/>
        </w:rPr>
        <w:t xml:space="preserve">resolución SGF-1300-2020 del 13 de abril del </w:t>
      </w:r>
      <w:r>
        <w:rPr>
          <w:rFonts w:ascii="Cambria" w:hAnsi="Cambria"/>
          <w:sz w:val="24"/>
          <w:szCs w:val="24"/>
          <w:lang w:val="es-ES"/>
        </w:rPr>
        <w:t>2020,</w:t>
      </w:r>
      <w:r w:rsidRPr="005E6DE4">
        <w:rPr>
          <w:rFonts w:ascii="Cambria" w:hAnsi="Cambria"/>
          <w:sz w:val="24"/>
          <w:szCs w:val="24"/>
          <w:lang w:val="es-ES"/>
        </w:rPr>
        <w:t xml:space="preserve"> incluye datos adicionales en las Clases de Datos </w:t>
      </w:r>
      <w:r w:rsidRPr="005E6DE4">
        <w:rPr>
          <w:rFonts w:ascii="Cambria" w:hAnsi="Cambria"/>
          <w:i/>
          <w:sz w:val="24"/>
          <w:szCs w:val="24"/>
          <w:lang w:val="es-ES"/>
        </w:rPr>
        <w:t>Financiera</w:t>
      </w:r>
      <w:r w:rsidRPr="005E6DE4">
        <w:rPr>
          <w:rFonts w:ascii="Cambria" w:hAnsi="Cambria"/>
          <w:sz w:val="24"/>
          <w:szCs w:val="24"/>
          <w:lang w:val="es-ES"/>
        </w:rPr>
        <w:t xml:space="preserve"> y de </w:t>
      </w:r>
      <w:r w:rsidRPr="005E6DE4">
        <w:rPr>
          <w:rFonts w:ascii="Cambria" w:hAnsi="Cambria"/>
          <w:i/>
          <w:sz w:val="24"/>
          <w:szCs w:val="24"/>
          <w:lang w:val="es-ES"/>
        </w:rPr>
        <w:t>Información Complementaria de Grupos y Conglomerados Financieros</w:t>
      </w:r>
      <w:r w:rsidRPr="005E6DE4">
        <w:rPr>
          <w:rFonts w:ascii="Cambria" w:hAnsi="Cambria"/>
          <w:sz w:val="24"/>
          <w:szCs w:val="24"/>
          <w:lang w:val="es-ES"/>
        </w:rPr>
        <w:t xml:space="preserve">: Homologación de porcentaje de riesgo de crédito dispuesto en los </w:t>
      </w:r>
      <w:r w:rsidRPr="005E6DE4">
        <w:rPr>
          <w:rFonts w:ascii="Cambria" w:hAnsi="Cambria"/>
          <w:i/>
          <w:sz w:val="24"/>
          <w:szCs w:val="24"/>
          <w:lang w:val="es-ES"/>
        </w:rPr>
        <w:t>Lineamientos Generales para la aplicación del Reglamento sobre la suficiencia patrimonial de entidades financieras</w:t>
      </w:r>
      <w:r w:rsidRPr="005E6DE4">
        <w:rPr>
          <w:rFonts w:ascii="Cambria" w:hAnsi="Cambria"/>
          <w:sz w:val="24"/>
          <w:szCs w:val="24"/>
          <w:lang w:val="es-ES"/>
        </w:rPr>
        <w:t xml:space="preserve">, Acuerdo SUGEF-3-06, para los instrumentos financieros clasificados al costo amortizado, que corresponden a operaciones diferidas de liquidez, reportos y reportos tripartitos registrados en la sub cuenta 123.06 </w:t>
      </w:r>
      <w:r w:rsidRPr="005E6DE4">
        <w:rPr>
          <w:rFonts w:ascii="Cambria" w:hAnsi="Cambria"/>
          <w:i/>
          <w:sz w:val="24"/>
          <w:szCs w:val="24"/>
        </w:rPr>
        <w:t>Instrumentos financieros en otras entidades del país.</w:t>
      </w:r>
    </w:p>
    <w:p w:rsidRPr="005E6DE4" w:rsidR="001643B3" w:rsidP="001643B3" w:rsidRDefault="001643B3" w14:paraId="4D317919" w14:textId="77777777">
      <w:pPr>
        <w:pStyle w:val="Prrafodelista"/>
        <w:tabs>
          <w:tab w:val="left" w:pos="2843"/>
        </w:tabs>
        <w:spacing w:after="0" w:line="240" w:lineRule="auto"/>
        <w:ind w:left="426" w:hanging="284"/>
        <w:jc w:val="both"/>
        <w:rPr>
          <w:rFonts w:ascii="Cambria" w:hAnsi="Cambria"/>
          <w:sz w:val="24"/>
          <w:szCs w:val="24"/>
        </w:rPr>
      </w:pPr>
    </w:p>
    <w:p w:rsidRPr="005E6DE4" w:rsidR="001643B3" w:rsidP="001643B3" w:rsidRDefault="001643B3" w14:paraId="7DFF860D" w14:textId="77777777">
      <w:pPr>
        <w:pStyle w:val="Prrafodelista"/>
        <w:numPr>
          <w:ilvl w:val="0"/>
          <w:numId w:val="4"/>
        </w:numPr>
        <w:tabs>
          <w:tab w:val="left" w:pos="2843"/>
        </w:tabs>
        <w:spacing w:after="0" w:line="240" w:lineRule="auto"/>
        <w:ind w:left="426" w:hanging="284"/>
        <w:jc w:val="both"/>
        <w:rPr>
          <w:rFonts w:ascii="Cambria" w:hAnsi="Cambria"/>
          <w:sz w:val="24"/>
          <w:szCs w:val="24"/>
        </w:rPr>
      </w:pPr>
      <w:r w:rsidRPr="005E6DE4">
        <w:rPr>
          <w:rFonts w:ascii="Cambria" w:hAnsi="Cambria"/>
          <w:sz w:val="24"/>
          <w:szCs w:val="24"/>
        </w:rPr>
        <w:t>Para la determinación de la suficiencia patrimonial, los importes registrados en los datos adicionales de las entidades individuales: D20218, D20219 y datos adicionales para suficiencia de grup</w:t>
      </w:r>
      <w:r>
        <w:rPr>
          <w:rFonts w:ascii="Cambria" w:hAnsi="Cambria"/>
          <w:sz w:val="24"/>
          <w:szCs w:val="24"/>
        </w:rPr>
        <w:t>os y conglomerados: 2018 y 2019,</w:t>
      </w:r>
      <w:r w:rsidRPr="005E6DE4">
        <w:rPr>
          <w:rFonts w:ascii="Cambria" w:hAnsi="Cambria"/>
          <w:sz w:val="24"/>
          <w:szCs w:val="24"/>
        </w:rPr>
        <w:t xml:space="preserve"> deben considerar los productos por cobrar asociados y deben ser netos de estimaciones contables.</w:t>
      </w:r>
    </w:p>
    <w:p w:rsidRPr="005E6DE4" w:rsidR="001643B3" w:rsidP="001643B3" w:rsidRDefault="001643B3" w14:paraId="4EC695FC" w14:textId="77777777">
      <w:pPr>
        <w:pStyle w:val="Prrafodelista"/>
        <w:tabs>
          <w:tab w:val="left" w:pos="2843"/>
        </w:tabs>
        <w:spacing w:after="0" w:line="240" w:lineRule="auto"/>
        <w:ind w:left="426" w:hanging="284"/>
        <w:jc w:val="both"/>
        <w:rPr>
          <w:rFonts w:ascii="Cambria" w:hAnsi="Cambria"/>
          <w:sz w:val="24"/>
          <w:szCs w:val="24"/>
        </w:rPr>
      </w:pPr>
    </w:p>
    <w:p w:rsidRPr="005E6DE4" w:rsidR="001643B3" w:rsidP="001643B3" w:rsidRDefault="001643B3" w14:paraId="3374C8BA" w14:textId="77777777">
      <w:pPr>
        <w:pStyle w:val="Prrafodelista"/>
        <w:numPr>
          <w:ilvl w:val="0"/>
          <w:numId w:val="4"/>
        </w:numPr>
        <w:spacing w:after="0" w:line="240" w:lineRule="auto"/>
        <w:ind w:left="426" w:hanging="284"/>
        <w:jc w:val="both"/>
        <w:rPr>
          <w:rFonts w:ascii="Cambria" w:hAnsi="Cambria"/>
          <w:sz w:val="24"/>
          <w:szCs w:val="24"/>
          <w:lang w:val="es-ES"/>
        </w:rPr>
      </w:pPr>
      <w:r w:rsidRPr="005E6DE4">
        <w:rPr>
          <w:rFonts w:ascii="Cambria" w:hAnsi="Cambria"/>
          <w:sz w:val="24"/>
          <w:szCs w:val="24"/>
          <w:lang w:val="es-ES"/>
        </w:rPr>
        <w:t xml:space="preserve">En el apartado </w:t>
      </w:r>
      <w:r w:rsidRPr="005E6DE4">
        <w:rPr>
          <w:rFonts w:ascii="Cambria" w:hAnsi="Cambria"/>
          <w:i/>
          <w:sz w:val="24"/>
          <w:szCs w:val="24"/>
          <w:lang w:val="es-ES"/>
        </w:rPr>
        <w:t>Ponderaciones según el Riesgo de Crédito</w:t>
      </w:r>
      <w:r w:rsidRPr="005E6DE4">
        <w:rPr>
          <w:rFonts w:ascii="Cambria" w:hAnsi="Cambria"/>
          <w:sz w:val="24"/>
          <w:szCs w:val="24"/>
          <w:lang w:val="es-ES"/>
        </w:rPr>
        <w:t xml:space="preserve">, del título III </w:t>
      </w:r>
      <w:r w:rsidRPr="005E6DE4">
        <w:rPr>
          <w:rFonts w:ascii="Cambria" w:hAnsi="Cambria"/>
          <w:i/>
          <w:sz w:val="24"/>
          <w:szCs w:val="24"/>
          <w:lang w:val="es-ES"/>
        </w:rPr>
        <w:t>Cuentas Contables para el cálculo de la Suficiencia Patrimonial</w:t>
      </w:r>
      <w:r w:rsidRPr="005E6DE4">
        <w:rPr>
          <w:rFonts w:ascii="Cambria" w:hAnsi="Cambria"/>
          <w:sz w:val="24"/>
          <w:szCs w:val="24"/>
          <w:lang w:val="es-ES"/>
        </w:rPr>
        <w:t xml:space="preserve"> de los </w:t>
      </w:r>
      <w:r w:rsidRPr="005E6DE4">
        <w:rPr>
          <w:rFonts w:ascii="Cambria" w:hAnsi="Cambria"/>
          <w:i/>
          <w:sz w:val="24"/>
          <w:szCs w:val="24"/>
          <w:lang w:val="es-ES"/>
        </w:rPr>
        <w:t>Lineamientos Generales para la aplicación del Reglamento sobre la suficiencia patrimonial de entidades financieras</w:t>
      </w:r>
      <w:r w:rsidRPr="005E6DE4">
        <w:rPr>
          <w:rFonts w:ascii="Cambria" w:hAnsi="Cambria"/>
          <w:sz w:val="24"/>
          <w:szCs w:val="24"/>
          <w:lang w:val="es-ES"/>
        </w:rPr>
        <w:t>, cuyo s</w:t>
      </w:r>
      <w:r>
        <w:rPr>
          <w:rFonts w:ascii="Cambria" w:hAnsi="Cambria"/>
          <w:sz w:val="24"/>
          <w:szCs w:val="24"/>
          <w:lang w:val="es-ES"/>
        </w:rPr>
        <w:t xml:space="preserve">aldo total se pondera al 75%, </w:t>
      </w:r>
      <w:r w:rsidRPr="005E6DE4">
        <w:rPr>
          <w:rFonts w:ascii="Cambria" w:hAnsi="Cambria"/>
          <w:sz w:val="24"/>
          <w:szCs w:val="24"/>
          <w:lang w:val="es-ES"/>
        </w:rPr>
        <w:t>es necesario excluir el dato adicional D20219 debido a que no forma parte de dicho ponderador.</w:t>
      </w:r>
    </w:p>
    <w:p w:rsidRPr="005E6DE4" w:rsidR="001643B3" w:rsidP="001643B3" w:rsidRDefault="001643B3" w14:paraId="22455BCB" w14:textId="77777777">
      <w:pPr>
        <w:pStyle w:val="Prrafodelista"/>
        <w:spacing w:after="0" w:line="240" w:lineRule="auto"/>
        <w:ind w:left="426" w:hanging="284"/>
        <w:rPr>
          <w:rFonts w:ascii="Cambria" w:hAnsi="Cambria"/>
          <w:sz w:val="24"/>
          <w:szCs w:val="24"/>
          <w:lang w:val="es-ES"/>
        </w:rPr>
      </w:pPr>
    </w:p>
    <w:p w:rsidRPr="005E6DE4" w:rsidR="001643B3" w:rsidP="001643B3" w:rsidRDefault="001643B3" w14:paraId="59DF3484" w14:textId="77777777">
      <w:pPr>
        <w:pStyle w:val="Prrafodelista"/>
        <w:numPr>
          <w:ilvl w:val="0"/>
          <w:numId w:val="4"/>
        </w:numPr>
        <w:tabs>
          <w:tab w:val="left" w:pos="2843"/>
        </w:tabs>
        <w:spacing w:after="0" w:line="240" w:lineRule="auto"/>
        <w:ind w:left="426" w:hanging="284"/>
        <w:jc w:val="both"/>
        <w:rPr>
          <w:rFonts w:ascii="Cambria" w:hAnsi="Cambria"/>
          <w:sz w:val="24"/>
          <w:szCs w:val="24"/>
          <w:lang w:val="es-ES"/>
        </w:rPr>
      </w:pPr>
      <w:r w:rsidRPr="005E6DE4">
        <w:rPr>
          <w:rFonts w:ascii="Cambria" w:hAnsi="Cambria"/>
          <w:sz w:val="24"/>
          <w:szCs w:val="24"/>
          <w:lang w:val="es-ES"/>
        </w:rPr>
        <w:t xml:space="preserve">El literal b) del Artículo 131, de la Ley Orgánica del Banco Central de Costa Rica, Ley número 7558, establece que corresponde al Superintendente ejecutar los acuerdos del CONASSIF y las demás funciones que le señale la </w:t>
      </w:r>
      <w:r>
        <w:rPr>
          <w:rFonts w:ascii="Cambria" w:hAnsi="Cambria"/>
          <w:sz w:val="24"/>
          <w:szCs w:val="24"/>
          <w:lang w:val="es-ES"/>
        </w:rPr>
        <w:t>L</w:t>
      </w:r>
      <w:r w:rsidRPr="005E6DE4">
        <w:rPr>
          <w:rFonts w:ascii="Cambria" w:hAnsi="Cambria"/>
          <w:sz w:val="24"/>
          <w:szCs w:val="24"/>
          <w:lang w:val="es-ES"/>
        </w:rPr>
        <w:t>ey.</w:t>
      </w:r>
    </w:p>
    <w:p w:rsidR="000A6C8A" w:rsidP="001643B3" w:rsidRDefault="000A6C8A" w14:paraId="4068B9F9" w14:textId="19F0A93C">
      <w:pPr>
        <w:spacing w:line="240" w:lineRule="auto"/>
        <w:ind w:left="33"/>
        <w:rPr>
          <w:b/>
          <w:sz w:val="24"/>
        </w:rPr>
      </w:pPr>
    </w:p>
    <w:p w:rsidR="000A6C8A" w:rsidP="001643B3" w:rsidRDefault="000A6C8A" w14:paraId="0F14361A" w14:textId="77777777">
      <w:pPr>
        <w:spacing w:line="240" w:lineRule="auto"/>
        <w:ind w:left="33"/>
        <w:rPr>
          <w:b/>
          <w:sz w:val="24"/>
        </w:rPr>
      </w:pPr>
    </w:p>
    <w:p w:rsidR="001643B3" w:rsidP="001643B3" w:rsidRDefault="001643B3" w14:paraId="73D1AB71" w14:textId="77777777">
      <w:pPr>
        <w:spacing w:line="240" w:lineRule="auto"/>
        <w:ind w:left="33"/>
        <w:rPr>
          <w:sz w:val="24"/>
        </w:rPr>
      </w:pPr>
      <w:r w:rsidRPr="005E6DE4">
        <w:rPr>
          <w:b/>
          <w:sz w:val="24"/>
        </w:rPr>
        <w:t>Dispone</w:t>
      </w:r>
      <w:r w:rsidRPr="005E6DE4">
        <w:rPr>
          <w:sz w:val="24"/>
        </w:rPr>
        <w:t>:</w:t>
      </w:r>
    </w:p>
    <w:p w:rsidRPr="005E6DE4" w:rsidR="001643B3" w:rsidP="001643B3" w:rsidRDefault="001643B3" w14:paraId="4DAAFBBF" w14:textId="77777777">
      <w:pPr>
        <w:spacing w:line="240" w:lineRule="auto"/>
        <w:ind w:left="33"/>
        <w:rPr>
          <w:sz w:val="24"/>
        </w:rPr>
      </w:pPr>
    </w:p>
    <w:p w:rsidRPr="005E6DE4" w:rsidR="001643B3" w:rsidP="001643B3" w:rsidRDefault="001643B3" w14:paraId="3388A53B" w14:textId="77777777">
      <w:pPr>
        <w:pStyle w:val="NormalWeb"/>
        <w:numPr>
          <w:ilvl w:val="0"/>
          <w:numId w:val="5"/>
        </w:numPr>
        <w:spacing w:before="0" w:beforeAutospacing="0" w:after="0" w:afterAutospacing="0"/>
        <w:ind w:left="284" w:hanging="284"/>
        <w:jc w:val="both"/>
        <w:rPr>
          <w:rFonts w:ascii="Cambria" w:hAnsi="Cambria"/>
          <w:sz w:val="24"/>
          <w:szCs w:val="24"/>
        </w:rPr>
      </w:pPr>
      <w:r w:rsidRPr="005E6DE4">
        <w:rPr>
          <w:rFonts w:ascii="Cambria" w:hAnsi="Cambria"/>
          <w:sz w:val="24"/>
          <w:szCs w:val="24"/>
        </w:rPr>
        <w:t>Precisar, de acuerdo con la descripción que se presenta a continuación, que los datos adicionales incluidos en esta disposición incluyen los productos por cobrar y son netos de estimaciones contables:</w:t>
      </w:r>
    </w:p>
    <w:p w:rsidRPr="005E6DE4" w:rsidR="001643B3" w:rsidP="001643B3" w:rsidRDefault="001643B3" w14:paraId="1C378FEB" w14:textId="77777777">
      <w:pPr>
        <w:spacing w:line="240" w:lineRule="auto"/>
        <w:ind w:left="66"/>
        <w:contextualSpacing/>
        <w:rPr>
          <w:i/>
          <w:sz w:val="24"/>
        </w:rPr>
      </w:pPr>
    </w:p>
    <w:p w:rsidR="001643B3" w:rsidP="001643B3" w:rsidRDefault="001643B3" w14:paraId="1A98E8CA" w14:textId="77777777">
      <w:pPr>
        <w:spacing w:line="240" w:lineRule="auto"/>
        <w:jc w:val="left"/>
        <w:rPr>
          <w:b/>
          <w:sz w:val="24"/>
          <w:lang w:eastAsia="es-CR"/>
        </w:rPr>
      </w:pPr>
      <w:r>
        <w:rPr>
          <w:b/>
          <w:sz w:val="24"/>
          <w:lang w:eastAsia="es-CR"/>
        </w:rPr>
        <w:br w:type="page"/>
      </w:r>
    </w:p>
    <w:p w:rsidRPr="005E6DE4" w:rsidR="001643B3" w:rsidP="001643B3" w:rsidRDefault="001643B3" w14:paraId="77274C9F" w14:textId="77777777">
      <w:pPr>
        <w:spacing w:line="240" w:lineRule="auto"/>
        <w:contextualSpacing/>
        <w:rPr>
          <w:b/>
          <w:sz w:val="24"/>
          <w:lang w:eastAsia="es-CR"/>
        </w:rPr>
      </w:pPr>
      <w:r w:rsidRPr="005E6DE4">
        <w:rPr>
          <w:b/>
          <w:sz w:val="24"/>
          <w:lang w:eastAsia="es-CR"/>
        </w:rPr>
        <w:lastRenderedPageBreak/>
        <w:t>Catálogo</w:t>
      </w:r>
      <w:r>
        <w:rPr>
          <w:b/>
          <w:sz w:val="24"/>
          <w:lang w:eastAsia="es-CR"/>
        </w:rPr>
        <w:t xml:space="preserve"> de Datos Adicionales: Entidad i</w:t>
      </w:r>
      <w:r w:rsidRPr="005E6DE4">
        <w:rPr>
          <w:b/>
          <w:sz w:val="24"/>
          <w:lang w:eastAsia="es-CR"/>
        </w:rPr>
        <w:t>ndividual</w:t>
      </w:r>
    </w:p>
    <w:tbl>
      <w:tblPr>
        <w:tblW w:w="8626" w:type="dxa"/>
        <w:tblInd w:w="5" w:type="dxa"/>
        <w:tblLayout w:type="fixed"/>
        <w:tblCellMar>
          <w:left w:w="70" w:type="dxa"/>
          <w:right w:w="70" w:type="dxa"/>
        </w:tblCellMar>
        <w:tblLook w:val="04A0" w:firstRow="1" w:lastRow="0" w:firstColumn="1" w:lastColumn="0" w:noHBand="0" w:noVBand="1"/>
      </w:tblPr>
      <w:tblGrid>
        <w:gridCol w:w="989"/>
        <w:gridCol w:w="4955"/>
        <w:gridCol w:w="850"/>
        <w:gridCol w:w="1832"/>
      </w:tblGrid>
      <w:tr w:rsidRPr="005E6DE4" w:rsidR="001643B3" w:rsidTr="00FE004C" w14:paraId="5BDFE930" w14:textId="77777777">
        <w:trPr>
          <w:trHeight w:val="293"/>
        </w:trPr>
        <w:tc>
          <w:tcPr>
            <w:tcW w:w="989" w:type="dxa"/>
            <w:tcBorders>
              <w:top w:val="single" w:color="auto" w:sz="4" w:space="0"/>
              <w:left w:val="single" w:color="auto" w:sz="4" w:space="0"/>
              <w:bottom w:val="single" w:color="auto" w:sz="4" w:space="0"/>
              <w:right w:val="single" w:color="auto" w:sz="4" w:space="0"/>
            </w:tcBorders>
            <w:shd w:val="clear" w:color="auto" w:fill="auto"/>
          </w:tcPr>
          <w:p w:rsidRPr="005E6DE4" w:rsidR="001643B3" w:rsidP="00FE004C" w:rsidRDefault="001643B3" w14:paraId="39B3554A" w14:textId="77777777">
            <w:pPr>
              <w:spacing w:line="240" w:lineRule="auto"/>
              <w:rPr>
                <w:b/>
                <w:sz w:val="24"/>
              </w:rPr>
            </w:pPr>
            <w:r w:rsidRPr="005E6DE4">
              <w:rPr>
                <w:b/>
                <w:sz w:val="24"/>
              </w:rPr>
              <w:t>Cuenta</w:t>
            </w:r>
          </w:p>
        </w:tc>
        <w:tc>
          <w:tcPr>
            <w:tcW w:w="4955" w:type="dxa"/>
            <w:tcBorders>
              <w:top w:val="single" w:color="auto" w:sz="4" w:space="0"/>
              <w:left w:val="single" w:color="auto" w:sz="4" w:space="0"/>
              <w:bottom w:val="single" w:color="auto" w:sz="4" w:space="0"/>
              <w:right w:val="single" w:color="auto" w:sz="4" w:space="0"/>
            </w:tcBorders>
            <w:shd w:val="clear" w:color="auto" w:fill="auto"/>
          </w:tcPr>
          <w:p w:rsidRPr="005E6DE4" w:rsidR="001643B3" w:rsidP="00FE004C" w:rsidRDefault="001643B3" w14:paraId="2FDBD685" w14:textId="77777777">
            <w:pPr>
              <w:spacing w:line="240" w:lineRule="auto"/>
              <w:rPr>
                <w:b/>
                <w:sz w:val="24"/>
              </w:rPr>
            </w:pPr>
            <w:r w:rsidRPr="005E6DE4">
              <w:rPr>
                <w:b/>
                <w:sz w:val="24"/>
              </w:rPr>
              <w:t>Descripción</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rsidRPr="005E6DE4" w:rsidR="001643B3" w:rsidP="00FE004C" w:rsidRDefault="001643B3" w14:paraId="1FC16F9B" w14:textId="77777777">
            <w:pPr>
              <w:spacing w:line="240" w:lineRule="auto"/>
              <w:jc w:val="right"/>
              <w:rPr>
                <w:b/>
                <w:sz w:val="24"/>
              </w:rPr>
            </w:pPr>
            <w:r w:rsidRPr="005E6DE4">
              <w:rPr>
                <w:b/>
                <w:sz w:val="24"/>
              </w:rPr>
              <w:t>Signo</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rsidRPr="005E6DE4" w:rsidR="001643B3" w:rsidP="00FE004C" w:rsidRDefault="001643B3" w14:paraId="5AE34521" w14:textId="77777777">
            <w:pPr>
              <w:spacing w:line="240" w:lineRule="auto"/>
              <w:jc w:val="center"/>
              <w:rPr>
                <w:b/>
                <w:sz w:val="24"/>
              </w:rPr>
            </w:pPr>
            <w:r w:rsidRPr="005E6DE4">
              <w:rPr>
                <w:b/>
                <w:sz w:val="24"/>
              </w:rPr>
              <w:t>Tipo_Catálogo</w:t>
            </w:r>
          </w:p>
        </w:tc>
      </w:tr>
      <w:tr w:rsidRPr="005E6DE4" w:rsidR="001643B3" w:rsidTr="00FE004C" w14:paraId="67C834D5" w14:textId="77777777">
        <w:trPr>
          <w:trHeight w:val="293"/>
        </w:trPr>
        <w:tc>
          <w:tcPr>
            <w:tcW w:w="989" w:type="dxa"/>
            <w:tcBorders>
              <w:top w:val="single" w:color="auto" w:sz="4" w:space="0"/>
              <w:left w:val="single" w:color="auto" w:sz="4" w:space="0"/>
              <w:bottom w:val="single" w:color="auto" w:sz="4" w:space="0"/>
              <w:right w:val="single" w:color="auto" w:sz="4" w:space="0"/>
            </w:tcBorders>
            <w:shd w:val="clear" w:color="auto" w:fill="auto"/>
            <w:hideMark/>
          </w:tcPr>
          <w:p w:rsidRPr="005E6DE4" w:rsidR="001643B3" w:rsidP="00FE004C" w:rsidRDefault="001643B3" w14:paraId="3801CD59" w14:textId="77777777">
            <w:pPr>
              <w:spacing w:line="240" w:lineRule="auto"/>
              <w:rPr>
                <w:sz w:val="24"/>
              </w:rPr>
            </w:pPr>
            <w:r w:rsidRPr="005E6DE4">
              <w:rPr>
                <w:sz w:val="24"/>
              </w:rPr>
              <w:t>20218</w:t>
            </w:r>
          </w:p>
        </w:tc>
        <w:tc>
          <w:tcPr>
            <w:tcW w:w="4955" w:type="dxa"/>
            <w:tcBorders>
              <w:top w:val="single" w:color="auto" w:sz="4" w:space="0"/>
              <w:left w:val="single" w:color="auto" w:sz="4" w:space="0"/>
              <w:bottom w:val="single" w:color="auto" w:sz="4" w:space="0"/>
              <w:right w:val="single" w:color="auto" w:sz="4" w:space="0"/>
            </w:tcBorders>
            <w:shd w:val="clear" w:color="auto" w:fill="auto"/>
            <w:hideMark/>
          </w:tcPr>
          <w:p w:rsidRPr="005E6DE4" w:rsidR="001643B3" w:rsidP="00FE004C" w:rsidRDefault="001643B3" w14:paraId="382FB34A" w14:textId="77777777">
            <w:pPr>
              <w:spacing w:line="240" w:lineRule="auto"/>
              <w:rPr>
                <w:sz w:val="24"/>
              </w:rPr>
            </w:pPr>
            <w:r w:rsidRPr="005E6DE4">
              <w:rPr>
                <w:sz w:val="24"/>
              </w:rPr>
              <w:t>Inversiones en operaciones diferidas de liquidez</w:t>
            </w:r>
            <w:r>
              <w:rPr>
                <w:sz w:val="24"/>
              </w:rPr>
              <w:t>,</w:t>
            </w:r>
            <w:r w:rsidRPr="005E6DE4">
              <w:rPr>
                <w:sz w:val="24"/>
              </w:rPr>
              <w:t xml:space="preserve"> reportos y reportos tripartitos registrados en la cuenta 123.06 (Ponderación 75%) </w:t>
            </w:r>
            <w:r>
              <w:rPr>
                <w:rFonts w:cs="Calibri"/>
                <w:bCs/>
                <w:sz w:val="24"/>
                <w:lang w:val="es-CR" w:eastAsia="es-CR"/>
              </w:rPr>
              <w:t xml:space="preserve">saldos </w:t>
            </w:r>
            <w:r w:rsidRPr="005E6DE4">
              <w:rPr>
                <w:rFonts w:cs="Calibri"/>
                <w:bCs/>
                <w:sz w:val="24"/>
                <w:lang w:val="es-CR" w:eastAsia="es-CR"/>
              </w:rPr>
              <w:t xml:space="preserve">netos de estimaciones y </w:t>
            </w:r>
            <w:r>
              <w:rPr>
                <w:rFonts w:cs="Calibri"/>
                <w:bCs/>
                <w:sz w:val="24"/>
                <w:lang w:val="es-CR" w:eastAsia="es-CR"/>
              </w:rPr>
              <w:t xml:space="preserve">sus </w:t>
            </w:r>
            <w:r w:rsidRPr="005E6DE4">
              <w:rPr>
                <w:rFonts w:cs="Calibri"/>
                <w:bCs/>
                <w:sz w:val="24"/>
                <w:lang w:val="es-CR" w:eastAsia="es-CR"/>
              </w:rPr>
              <w:t>productos por cobrar asociados.</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E6DE4" w:rsidR="001643B3" w:rsidP="00FE004C" w:rsidRDefault="001643B3" w14:paraId="18FDDD33" w14:textId="77777777">
            <w:pPr>
              <w:spacing w:line="240" w:lineRule="auto"/>
              <w:jc w:val="center"/>
              <w:rPr>
                <w:sz w:val="24"/>
                <w:lang w:eastAsia="es-CR"/>
              </w:rPr>
            </w:pPr>
            <w:r w:rsidRPr="005E6DE4">
              <w:rPr>
                <w:sz w:val="24"/>
              </w:rPr>
              <w:t>1</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E6DE4" w:rsidR="001643B3" w:rsidP="00FE004C" w:rsidRDefault="001643B3" w14:paraId="5E1BB3A9" w14:textId="77777777">
            <w:pPr>
              <w:spacing w:line="240" w:lineRule="auto"/>
              <w:jc w:val="center"/>
              <w:rPr>
                <w:sz w:val="24"/>
                <w:lang w:eastAsia="es-CR"/>
              </w:rPr>
            </w:pPr>
            <w:r w:rsidRPr="005E6DE4">
              <w:rPr>
                <w:sz w:val="24"/>
              </w:rPr>
              <w:t>2</w:t>
            </w:r>
          </w:p>
        </w:tc>
      </w:tr>
      <w:tr w:rsidRPr="005E6DE4" w:rsidR="001643B3" w:rsidTr="00FE004C" w14:paraId="780A77CD" w14:textId="77777777">
        <w:trPr>
          <w:trHeight w:val="293"/>
        </w:trPr>
        <w:tc>
          <w:tcPr>
            <w:tcW w:w="989" w:type="dxa"/>
            <w:tcBorders>
              <w:top w:val="single" w:color="auto" w:sz="4" w:space="0"/>
              <w:left w:val="single" w:color="auto" w:sz="4" w:space="0"/>
              <w:bottom w:val="single" w:color="auto" w:sz="4" w:space="0"/>
              <w:right w:val="single" w:color="auto" w:sz="4" w:space="0"/>
            </w:tcBorders>
            <w:shd w:val="clear" w:color="auto" w:fill="auto"/>
          </w:tcPr>
          <w:p w:rsidRPr="005E6DE4" w:rsidR="001643B3" w:rsidP="00FE004C" w:rsidRDefault="001643B3" w14:paraId="069FB270" w14:textId="77777777">
            <w:pPr>
              <w:spacing w:line="240" w:lineRule="auto"/>
              <w:rPr>
                <w:sz w:val="24"/>
              </w:rPr>
            </w:pPr>
            <w:r w:rsidRPr="005E6DE4">
              <w:rPr>
                <w:sz w:val="24"/>
              </w:rPr>
              <w:t>20219</w:t>
            </w:r>
          </w:p>
        </w:tc>
        <w:tc>
          <w:tcPr>
            <w:tcW w:w="4955" w:type="dxa"/>
            <w:tcBorders>
              <w:top w:val="single" w:color="auto" w:sz="4" w:space="0"/>
              <w:left w:val="single" w:color="auto" w:sz="4" w:space="0"/>
              <w:bottom w:val="single" w:color="auto" w:sz="4" w:space="0"/>
              <w:right w:val="single" w:color="auto" w:sz="4" w:space="0"/>
            </w:tcBorders>
            <w:shd w:val="clear" w:color="auto" w:fill="auto"/>
          </w:tcPr>
          <w:p w:rsidRPr="005E6DE4" w:rsidR="001643B3" w:rsidP="00FE004C" w:rsidRDefault="001643B3" w14:paraId="378D2B1C" w14:textId="77777777">
            <w:pPr>
              <w:spacing w:line="240" w:lineRule="auto"/>
              <w:rPr>
                <w:sz w:val="24"/>
              </w:rPr>
            </w:pPr>
            <w:r w:rsidRPr="005E6DE4">
              <w:rPr>
                <w:sz w:val="24"/>
              </w:rPr>
              <w:t xml:space="preserve">Inversiones en Contraparte B.C.C.R. registrados en la cuenta 123.06 (Ponderación 0%) </w:t>
            </w:r>
            <w:r>
              <w:rPr>
                <w:rFonts w:cs="Calibri"/>
                <w:bCs/>
                <w:sz w:val="24"/>
                <w:lang w:val="es-CR" w:eastAsia="es-CR"/>
              </w:rPr>
              <w:t xml:space="preserve">saldos </w:t>
            </w:r>
            <w:r w:rsidRPr="005E6DE4">
              <w:rPr>
                <w:rFonts w:cs="Calibri"/>
                <w:bCs/>
                <w:sz w:val="24"/>
                <w:lang w:val="es-CR" w:eastAsia="es-CR"/>
              </w:rPr>
              <w:t xml:space="preserve">netos de estimaciones y </w:t>
            </w:r>
            <w:r>
              <w:rPr>
                <w:rFonts w:cs="Calibri"/>
                <w:bCs/>
                <w:sz w:val="24"/>
                <w:lang w:val="es-CR" w:eastAsia="es-CR"/>
              </w:rPr>
              <w:t xml:space="preserve">sus </w:t>
            </w:r>
            <w:r w:rsidRPr="005E6DE4">
              <w:rPr>
                <w:rFonts w:cs="Calibri"/>
                <w:bCs/>
                <w:sz w:val="24"/>
                <w:lang w:val="es-CR" w:eastAsia="es-CR"/>
              </w:rPr>
              <w:t>productos por cobrar asociados.</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rsidRPr="005E6DE4" w:rsidR="001643B3" w:rsidP="00FE004C" w:rsidRDefault="001643B3" w14:paraId="3DBBA265" w14:textId="77777777">
            <w:pPr>
              <w:spacing w:line="240" w:lineRule="auto"/>
              <w:jc w:val="center"/>
              <w:rPr>
                <w:sz w:val="24"/>
              </w:rPr>
            </w:pPr>
            <w:r w:rsidRPr="005E6DE4">
              <w:rPr>
                <w:sz w:val="24"/>
              </w:rPr>
              <w:t>1</w:t>
            </w:r>
          </w:p>
        </w:tc>
        <w:tc>
          <w:tcPr>
            <w:tcW w:w="1832" w:type="dxa"/>
            <w:tcBorders>
              <w:top w:val="single" w:color="auto" w:sz="4" w:space="0"/>
              <w:left w:val="single" w:color="auto" w:sz="4" w:space="0"/>
              <w:bottom w:val="single" w:color="auto" w:sz="4" w:space="0"/>
              <w:right w:val="single" w:color="auto" w:sz="4" w:space="0"/>
            </w:tcBorders>
            <w:shd w:val="clear" w:color="auto" w:fill="auto"/>
            <w:vAlign w:val="center"/>
          </w:tcPr>
          <w:p w:rsidRPr="005E6DE4" w:rsidR="001643B3" w:rsidP="00FE004C" w:rsidRDefault="001643B3" w14:paraId="6251D2A2" w14:textId="77777777">
            <w:pPr>
              <w:spacing w:line="240" w:lineRule="auto"/>
              <w:jc w:val="center"/>
              <w:rPr>
                <w:sz w:val="24"/>
              </w:rPr>
            </w:pPr>
            <w:r w:rsidRPr="005E6DE4">
              <w:rPr>
                <w:sz w:val="24"/>
              </w:rPr>
              <w:t>2</w:t>
            </w:r>
          </w:p>
        </w:tc>
      </w:tr>
    </w:tbl>
    <w:p w:rsidRPr="005E6DE4" w:rsidR="001643B3" w:rsidP="001643B3" w:rsidRDefault="001643B3" w14:paraId="44A2E357" w14:textId="77777777">
      <w:pPr>
        <w:spacing w:line="240" w:lineRule="auto"/>
        <w:rPr>
          <w:b/>
          <w:sz w:val="24"/>
          <w:lang w:eastAsia="es-CR"/>
        </w:rPr>
      </w:pPr>
    </w:p>
    <w:p w:rsidRPr="005E6DE4" w:rsidR="001643B3" w:rsidP="001643B3" w:rsidRDefault="001643B3" w14:paraId="37F861CA" w14:textId="77777777">
      <w:pPr>
        <w:spacing w:line="240" w:lineRule="auto"/>
        <w:rPr>
          <w:sz w:val="24"/>
        </w:rPr>
      </w:pPr>
      <w:r w:rsidRPr="005E6DE4">
        <w:rPr>
          <w:b/>
          <w:sz w:val="24"/>
          <w:lang w:eastAsia="es-CR"/>
        </w:rPr>
        <w:t>Catálogo de Datos adicionales para suficiencia de grupos y conglomerados</w:t>
      </w:r>
    </w:p>
    <w:tbl>
      <w:tblPr>
        <w:tblW w:w="8571" w:type="dxa"/>
        <w:tblInd w:w="13" w:type="dxa"/>
        <w:tblCellMar>
          <w:left w:w="70" w:type="dxa"/>
          <w:right w:w="70" w:type="dxa"/>
        </w:tblCellMar>
        <w:tblLook w:val="04A0" w:firstRow="1" w:lastRow="0" w:firstColumn="1" w:lastColumn="0" w:noHBand="0" w:noVBand="1"/>
      </w:tblPr>
      <w:tblGrid>
        <w:gridCol w:w="1057"/>
        <w:gridCol w:w="5077"/>
        <w:gridCol w:w="745"/>
        <w:gridCol w:w="1692"/>
      </w:tblGrid>
      <w:tr w:rsidRPr="005E6DE4" w:rsidR="001643B3" w:rsidTr="00FE004C" w14:paraId="33550560" w14:textId="77777777">
        <w:trPr>
          <w:trHeight w:val="279"/>
        </w:trPr>
        <w:tc>
          <w:tcPr>
            <w:tcW w:w="1057" w:type="dxa"/>
            <w:tcBorders>
              <w:top w:val="single" w:color="auto" w:sz="4" w:space="0"/>
              <w:left w:val="single" w:color="auto" w:sz="4" w:space="0"/>
              <w:bottom w:val="single" w:color="auto" w:sz="4" w:space="0"/>
              <w:right w:val="single" w:color="auto" w:sz="4" w:space="0"/>
            </w:tcBorders>
            <w:shd w:val="clear" w:color="auto" w:fill="auto"/>
          </w:tcPr>
          <w:p w:rsidRPr="005E6DE4" w:rsidR="001643B3" w:rsidP="00FE004C" w:rsidRDefault="001643B3" w14:paraId="4ECC4C69" w14:textId="77777777">
            <w:pPr>
              <w:spacing w:line="240" w:lineRule="auto"/>
              <w:rPr>
                <w:b/>
                <w:sz w:val="24"/>
              </w:rPr>
            </w:pPr>
            <w:r w:rsidRPr="005E6DE4">
              <w:rPr>
                <w:b/>
                <w:sz w:val="24"/>
              </w:rPr>
              <w:t>Cuenta</w:t>
            </w:r>
          </w:p>
        </w:tc>
        <w:tc>
          <w:tcPr>
            <w:tcW w:w="5077" w:type="dxa"/>
            <w:tcBorders>
              <w:top w:val="single" w:color="auto" w:sz="4" w:space="0"/>
              <w:left w:val="single" w:color="auto" w:sz="4" w:space="0"/>
              <w:bottom w:val="single" w:color="auto" w:sz="4" w:space="0"/>
              <w:right w:val="single" w:color="auto" w:sz="4" w:space="0"/>
            </w:tcBorders>
            <w:shd w:val="clear" w:color="auto" w:fill="auto"/>
          </w:tcPr>
          <w:p w:rsidRPr="005E6DE4" w:rsidR="001643B3" w:rsidP="00FE004C" w:rsidRDefault="001643B3" w14:paraId="0E9C43AC" w14:textId="77777777">
            <w:pPr>
              <w:spacing w:line="240" w:lineRule="auto"/>
              <w:rPr>
                <w:b/>
                <w:sz w:val="24"/>
              </w:rPr>
            </w:pPr>
            <w:r w:rsidRPr="005E6DE4">
              <w:rPr>
                <w:b/>
                <w:sz w:val="24"/>
              </w:rPr>
              <w:t>Descripción</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rsidRPr="005E6DE4" w:rsidR="001643B3" w:rsidP="00FE004C" w:rsidRDefault="001643B3" w14:paraId="1BDCC3B3" w14:textId="77777777">
            <w:pPr>
              <w:spacing w:line="240" w:lineRule="auto"/>
              <w:jc w:val="right"/>
              <w:rPr>
                <w:b/>
                <w:sz w:val="24"/>
                <w:lang w:eastAsia="es-CR"/>
              </w:rPr>
            </w:pPr>
            <w:r w:rsidRPr="005E6DE4">
              <w:rPr>
                <w:b/>
                <w:sz w:val="24"/>
                <w:lang w:eastAsia="es-CR"/>
              </w:rPr>
              <w:t>Signo</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rsidRPr="005E6DE4" w:rsidR="001643B3" w:rsidP="00FE004C" w:rsidRDefault="001643B3" w14:paraId="7F4C75ED" w14:textId="77777777">
            <w:pPr>
              <w:spacing w:line="240" w:lineRule="auto"/>
              <w:jc w:val="center"/>
              <w:rPr>
                <w:b/>
                <w:sz w:val="24"/>
                <w:lang w:eastAsia="es-CR"/>
              </w:rPr>
            </w:pPr>
            <w:r w:rsidRPr="005E6DE4">
              <w:rPr>
                <w:b/>
                <w:sz w:val="24"/>
                <w:lang w:eastAsia="es-CR"/>
              </w:rPr>
              <w:t>Tipo_Catálogo</w:t>
            </w:r>
          </w:p>
        </w:tc>
      </w:tr>
      <w:tr w:rsidRPr="005E6DE4" w:rsidR="001643B3" w:rsidTr="00FE004C" w14:paraId="42B2AC32" w14:textId="77777777">
        <w:trPr>
          <w:trHeight w:val="279"/>
        </w:trPr>
        <w:tc>
          <w:tcPr>
            <w:tcW w:w="1057" w:type="dxa"/>
            <w:tcBorders>
              <w:top w:val="single" w:color="auto" w:sz="4" w:space="0"/>
              <w:left w:val="single" w:color="auto" w:sz="4" w:space="0"/>
              <w:bottom w:val="single" w:color="auto" w:sz="4" w:space="0"/>
              <w:right w:val="single" w:color="auto" w:sz="4" w:space="0"/>
            </w:tcBorders>
            <w:shd w:val="clear" w:color="auto" w:fill="auto"/>
            <w:hideMark/>
          </w:tcPr>
          <w:p w:rsidRPr="005E6DE4" w:rsidR="001643B3" w:rsidP="00FE004C" w:rsidRDefault="001643B3" w14:paraId="5FBC0C83" w14:textId="77777777">
            <w:pPr>
              <w:spacing w:line="240" w:lineRule="auto"/>
              <w:rPr>
                <w:sz w:val="24"/>
              </w:rPr>
            </w:pPr>
            <w:r w:rsidRPr="005E6DE4">
              <w:rPr>
                <w:sz w:val="24"/>
              </w:rPr>
              <w:t>1918</w:t>
            </w:r>
          </w:p>
        </w:tc>
        <w:tc>
          <w:tcPr>
            <w:tcW w:w="5077" w:type="dxa"/>
            <w:tcBorders>
              <w:top w:val="single" w:color="auto" w:sz="4" w:space="0"/>
              <w:left w:val="single" w:color="auto" w:sz="4" w:space="0"/>
              <w:bottom w:val="single" w:color="auto" w:sz="4" w:space="0"/>
              <w:right w:val="single" w:color="auto" w:sz="4" w:space="0"/>
            </w:tcBorders>
            <w:shd w:val="clear" w:color="auto" w:fill="auto"/>
            <w:hideMark/>
          </w:tcPr>
          <w:p w:rsidRPr="005E6DE4" w:rsidR="001643B3" w:rsidP="00FE004C" w:rsidRDefault="001643B3" w14:paraId="4C38F939" w14:textId="77777777">
            <w:pPr>
              <w:spacing w:line="240" w:lineRule="auto"/>
              <w:rPr>
                <w:sz w:val="24"/>
              </w:rPr>
            </w:pPr>
            <w:r w:rsidRPr="005E6DE4">
              <w:rPr>
                <w:sz w:val="24"/>
              </w:rPr>
              <w:t>Inversiones en operaciones diferidas de liquidez</w:t>
            </w:r>
            <w:r>
              <w:rPr>
                <w:sz w:val="24"/>
              </w:rPr>
              <w:t>,</w:t>
            </w:r>
            <w:r w:rsidRPr="005E6DE4">
              <w:rPr>
                <w:sz w:val="24"/>
              </w:rPr>
              <w:t xml:space="preserve"> reportos y reportos tripartitos registrados en la cuenta 123.06 (Ponderación 75%) </w:t>
            </w:r>
            <w:r>
              <w:rPr>
                <w:rFonts w:cs="Calibri"/>
                <w:bCs/>
                <w:sz w:val="24"/>
                <w:lang w:val="es-CR" w:eastAsia="es-CR"/>
              </w:rPr>
              <w:t>saldos</w:t>
            </w:r>
            <w:r w:rsidRPr="005E6DE4">
              <w:rPr>
                <w:rFonts w:cs="Calibri"/>
                <w:bCs/>
                <w:sz w:val="24"/>
                <w:lang w:val="es-CR" w:eastAsia="es-CR"/>
              </w:rPr>
              <w:t xml:space="preserve"> netos de estimaciones y </w:t>
            </w:r>
            <w:r>
              <w:rPr>
                <w:rFonts w:cs="Calibri"/>
                <w:bCs/>
                <w:sz w:val="24"/>
                <w:lang w:val="es-CR" w:eastAsia="es-CR"/>
              </w:rPr>
              <w:t xml:space="preserve">sus </w:t>
            </w:r>
            <w:r w:rsidRPr="005E6DE4">
              <w:rPr>
                <w:rFonts w:cs="Calibri"/>
                <w:bCs/>
                <w:sz w:val="24"/>
                <w:lang w:val="es-CR" w:eastAsia="es-CR"/>
              </w:rPr>
              <w:t>productos por cobrar asociados.</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E6DE4" w:rsidR="001643B3" w:rsidP="00FE004C" w:rsidRDefault="001643B3" w14:paraId="40BDCE4F" w14:textId="77777777">
            <w:pPr>
              <w:spacing w:line="240" w:lineRule="auto"/>
              <w:jc w:val="center"/>
              <w:rPr>
                <w:sz w:val="24"/>
                <w:lang w:eastAsia="es-CR"/>
              </w:rPr>
            </w:pPr>
            <w:r w:rsidRPr="005E6DE4">
              <w:rPr>
                <w:sz w:val="24"/>
                <w:lang w:eastAsia="es-CR"/>
              </w:rPr>
              <w:t>1</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5E6DE4" w:rsidR="001643B3" w:rsidP="00FE004C" w:rsidRDefault="001643B3" w14:paraId="4CA074EE" w14:textId="77777777">
            <w:pPr>
              <w:spacing w:line="240" w:lineRule="auto"/>
              <w:jc w:val="center"/>
              <w:rPr>
                <w:sz w:val="24"/>
                <w:lang w:eastAsia="es-CR"/>
              </w:rPr>
            </w:pPr>
            <w:r w:rsidRPr="005E6DE4">
              <w:rPr>
                <w:sz w:val="24"/>
                <w:lang w:eastAsia="es-CR"/>
              </w:rPr>
              <w:t>8</w:t>
            </w:r>
          </w:p>
        </w:tc>
      </w:tr>
      <w:tr w:rsidRPr="005E6DE4" w:rsidR="001643B3" w:rsidTr="00FE004C" w14:paraId="7675E76C" w14:textId="77777777">
        <w:trPr>
          <w:trHeight w:val="279"/>
        </w:trPr>
        <w:tc>
          <w:tcPr>
            <w:tcW w:w="1057" w:type="dxa"/>
            <w:tcBorders>
              <w:top w:val="single" w:color="auto" w:sz="4" w:space="0"/>
              <w:left w:val="single" w:color="auto" w:sz="4" w:space="0"/>
              <w:bottom w:val="single" w:color="auto" w:sz="4" w:space="0"/>
              <w:right w:val="single" w:color="auto" w:sz="4" w:space="0"/>
            </w:tcBorders>
            <w:shd w:val="clear" w:color="auto" w:fill="auto"/>
          </w:tcPr>
          <w:p w:rsidRPr="005E6DE4" w:rsidR="001643B3" w:rsidP="00FE004C" w:rsidRDefault="001643B3" w14:paraId="5B84DCEB" w14:textId="77777777">
            <w:pPr>
              <w:spacing w:line="240" w:lineRule="auto"/>
              <w:rPr>
                <w:sz w:val="24"/>
              </w:rPr>
            </w:pPr>
            <w:r w:rsidRPr="005E6DE4">
              <w:rPr>
                <w:sz w:val="24"/>
              </w:rPr>
              <w:t>1919</w:t>
            </w:r>
          </w:p>
        </w:tc>
        <w:tc>
          <w:tcPr>
            <w:tcW w:w="5077" w:type="dxa"/>
            <w:tcBorders>
              <w:top w:val="single" w:color="auto" w:sz="4" w:space="0"/>
              <w:left w:val="single" w:color="auto" w:sz="4" w:space="0"/>
              <w:bottom w:val="single" w:color="auto" w:sz="4" w:space="0"/>
              <w:right w:val="single" w:color="auto" w:sz="4" w:space="0"/>
            </w:tcBorders>
            <w:shd w:val="clear" w:color="auto" w:fill="auto"/>
          </w:tcPr>
          <w:p w:rsidRPr="005E6DE4" w:rsidR="001643B3" w:rsidP="00FE004C" w:rsidRDefault="001643B3" w14:paraId="131C0CA6" w14:textId="77777777">
            <w:pPr>
              <w:spacing w:line="240" w:lineRule="auto"/>
              <w:rPr>
                <w:sz w:val="24"/>
              </w:rPr>
            </w:pPr>
            <w:r w:rsidRPr="005E6DE4">
              <w:rPr>
                <w:sz w:val="24"/>
              </w:rPr>
              <w:t>Inversiones en Contraparte B.C.C.R. registrados en la cuenta 123.06 (Ponderación 0%)</w:t>
            </w:r>
            <w:r w:rsidRPr="005E6DE4">
              <w:rPr>
                <w:rFonts w:cs="Calibri"/>
                <w:bCs/>
                <w:sz w:val="24"/>
                <w:lang w:val="es-CR" w:eastAsia="es-CR"/>
              </w:rPr>
              <w:t xml:space="preserve"> </w:t>
            </w:r>
            <w:r>
              <w:rPr>
                <w:rFonts w:cs="Calibri"/>
                <w:bCs/>
                <w:sz w:val="24"/>
                <w:lang w:val="es-CR" w:eastAsia="es-CR"/>
              </w:rPr>
              <w:t xml:space="preserve">saldos </w:t>
            </w:r>
            <w:r w:rsidRPr="005E6DE4">
              <w:rPr>
                <w:rFonts w:cs="Calibri"/>
                <w:bCs/>
                <w:sz w:val="24"/>
                <w:lang w:val="es-CR" w:eastAsia="es-CR"/>
              </w:rPr>
              <w:t xml:space="preserve">netos de estimaciones y </w:t>
            </w:r>
            <w:r>
              <w:rPr>
                <w:rFonts w:cs="Calibri"/>
                <w:bCs/>
                <w:sz w:val="24"/>
                <w:lang w:val="es-CR" w:eastAsia="es-CR"/>
              </w:rPr>
              <w:t xml:space="preserve">sus </w:t>
            </w:r>
            <w:r w:rsidRPr="005E6DE4">
              <w:rPr>
                <w:rFonts w:cs="Calibri"/>
                <w:bCs/>
                <w:sz w:val="24"/>
                <w:lang w:val="es-CR" w:eastAsia="es-CR"/>
              </w:rPr>
              <w:t>productos por cobrar asociados.</w:t>
            </w:r>
          </w:p>
        </w:tc>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rsidRPr="005E6DE4" w:rsidR="001643B3" w:rsidP="00FE004C" w:rsidRDefault="001643B3" w14:paraId="361DF7A6" w14:textId="77777777">
            <w:pPr>
              <w:spacing w:line="240" w:lineRule="auto"/>
              <w:jc w:val="center"/>
              <w:rPr>
                <w:sz w:val="24"/>
                <w:lang w:eastAsia="es-CR"/>
              </w:rPr>
            </w:pPr>
            <w:r w:rsidRPr="005E6DE4">
              <w:rPr>
                <w:sz w:val="24"/>
              </w:rPr>
              <w:t>1</w:t>
            </w:r>
          </w:p>
        </w:tc>
        <w:tc>
          <w:tcPr>
            <w:tcW w:w="1692" w:type="dxa"/>
            <w:tcBorders>
              <w:top w:val="single" w:color="auto" w:sz="4" w:space="0"/>
              <w:left w:val="single" w:color="auto" w:sz="4" w:space="0"/>
              <w:bottom w:val="single" w:color="auto" w:sz="4" w:space="0"/>
              <w:right w:val="single" w:color="auto" w:sz="4" w:space="0"/>
            </w:tcBorders>
            <w:shd w:val="clear" w:color="auto" w:fill="auto"/>
            <w:vAlign w:val="center"/>
          </w:tcPr>
          <w:p w:rsidRPr="005E6DE4" w:rsidR="001643B3" w:rsidP="00FE004C" w:rsidRDefault="001643B3" w14:paraId="36B26FC0" w14:textId="77777777">
            <w:pPr>
              <w:spacing w:line="240" w:lineRule="auto"/>
              <w:jc w:val="center"/>
              <w:rPr>
                <w:sz w:val="24"/>
                <w:lang w:eastAsia="es-CR"/>
              </w:rPr>
            </w:pPr>
            <w:r w:rsidRPr="005E6DE4">
              <w:rPr>
                <w:sz w:val="24"/>
              </w:rPr>
              <w:t>8</w:t>
            </w:r>
          </w:p>
        </w:tc>
      </w:tr>
    </w:tbl>
    <w:p w:rsidRPr="005E6DE4" w:rsidR="001643B3" w:rsidP="001643B3" w:rsidRDefault="001643B3" w14:paraId="243C0FCD" w14:textId="77777777">
      <w:pPr>
        <w:spacing w:line="240" w:lineRule="auto"/>
        <w:contextualSpacing/>
        <w:rPr>
          <w:sz w:val="24"/>
        </w:rPr>
      </w:pPr>
    </w:p>
    <w:p w:rsidRPr="005E6DE4" w:rsidR="001643B3" w:rsidP="001643B3" w:rsidRDefault="001643B3" w14:paraId="2F36DECD" w14:textId="77777777">
      <w:pPr>
        <w:pStyle w:val="NormalWeb"/>
        <w:numPr>
          <w:ilvl w:val="0"/>
          <w:numId w:val="5"/>
        </w:numPr>
        <w:spacing w:before="0" w:beforeAutospacing="0" w:after="0" w:afterAutospacing="0"/>
        <w:ind w:left="284" w:hanging="284"/>
        <w:jc w:val="both"/>
        <w:rPr>
          <w:rFonts w:ascii="Cambria" w:hAnsi="Cambria"/>
          <w:color w:val="auto"/>
          <w:sz w:val="24"/>
          <w:szCs w:val="24"/>
          <w:lang w:val="es-CR"/>
        </w:rPr>
      </w:pPr>
      <w:r w:rsidRPr="005E6DE4">
        <w:rPr>
          <w:rFonts w:ascii="Cambria" w:hAnsi="Cambria"/>
          <w:sz w:val="24"/>
          <w:szCs w:val="24"/>
        </w:rPr>
        <w:t xml:space="preserve">Modificar las cuentas contables del ponderador del 75% del título </w:t>
      </w:r>
      <w:r w:rsidRPr="005E6DE4">
        <w:rPr>
          <w:rFonts w:ascii="Cambria" w:hAnsi="Cambria"/>
          <w:i/>
          <w:sz w:val="24"/>
          <w:szCs w:val="24"/>
        </w:rPr>
        <w:t>Ponderadores según riesgo de crédito</w:t>
      </w:r>
      <w:r w:rsidRPr="005E6DE4">
        <w:rPr>
          <w:rFonts w:ascii="Cambria" w:hAnsi="Cambria"/>
          <w:sz w:val="24"/>
          <w:szCs w:val="24"/>
        </w:rPr>
        <w:t xml:space="preserve">, de los </w:t>
      </w:r>
      <w:r w:rsidRPr="005E6DE4">
        <w:rPr>
          <w:rFonts w:ascii="Cambria" w:hAnsi="Cambria"/>
          <w:i/>
          <w:sz w:val="24"/>
          <w:szCs w:val="24"/>
        </w:rPr>
        <w:t>Lineamientos Generales para la Aplicación del Reglamento sobre la Suficiencia Patrimonial de Entidades Financieras,</w:t>
      </w:r>
      <w:r w:rsidRPr="005E6DE4">
        <w:rPr>
          <w:rFonts w:ascii="Cambria" w:hAnsi="Cambria"/>
          <w:sz w:val="24"/>
          <w:szCs w:val="24"/>
        </w:rPr>
        <w:t xml:space="preserve"> de acuerdo con el siguiente texto:</w:t>
      </w:r>
    </w:p>
    <w:p w:rsidRPr="005E6DE4" w:rsidR="001643B3" w:rsidP="001643B3" w:rsidRDefault="001643B3" w14:paraId="670E2235" w14:textId="77777777">
      <w:pPr>
        <w:pStyle w:val="NormalWeb"/>
        <w:spacing w:before="0" w:beforeAutospacing="0" w:after="0" w:afterAutospacing="0"/>
        <w:ind w:left="284"/>
        <w:jc w:val="both"/>
        <w:rPr>
          <w:rFonts w:ascii="Cambria" w:hAnsi="Cambria"/>
          <w:b/>
          <w:color w:val="auto"/>
          <w:sz w:val="24"/>
          <w:szCs w:val="24"/>
          <w:lang w:val="es-CR"/>
        </w:rPr>
      </w:pPr>
    </w:p>
    <w:tbl>
      <w:tblPr>
        <w:tblStyle w:val="Cuadrculadetablaclara"/>
        <w:tblW w:w="0" w:type="auto"/>
        <w:tblLook w:val="04A0" w:firstRow="1" w:lastRow="0" w:firstColumn="1" w:lastColumn="0" w:noHBand="0" w:noVBand="1"/>
      </w:tblPr>
      <w:tblGrid>
        <w:gridCol w:w="2136"/>
        <w:gridCol w:w="3813"/>
        <w:gridCol w:w="1276"/>
        <w:gridCol w:w="1319"/>
      </w:tblGrid>
      <w:tr w:rsidRPr="005E6DE4" w:rsidR="001643B3" w:rsidTr="00FE004C" w14:paraId="0A404A29" w14:textId="77777777">
        <w:tc>
          <w:tcPr>
            <w:tcW w:w="5949" w:type="dxa"/>
            <w:gridSpan w:val="2"/>
          </w:tcPr>
          <w:p w:rsidRPr="005E6DE4" w:rsidR="001643B3" w:rsidP="00FE004C" w:rsidRDefault="001643B3" w14:paraId="24432CE3" w14:textId="77777777">
            <w:pPr>
              <w:spacing w:line="240" w:lineRule="auto"/>
              <w:rPr>
                <w:rFonts w:cs="Calibri"/>
                <w:b/>
                <w:bCs/>
                <w:sz w:val="24"/>
                <w:lang w:val="es-CR"/>
              </w:rPr>
            </w:pPr>
            <w:r w:rsidRPr="005E6DE4">
              <w:rPr>
                <w:rFonts w:cs="Calibri"/>
                <w:b/>
                <w:bCs/>
                <w:sz w:val="24"/>
                <w:lang w:val="es-CR"/>
              </w:rPr>
              <w:t>Ponderador de 75%</w:t>
            </w:r>
          </w:p>
        </w:tc>
        <w:tc>
          <w:tcPr>
            <w:tcW w:w="1276" w:type="dxa"/>
          </w:tcPr>
          <w:p w:rsidRPr="005E6DE4" w:rsidR="001643B3" w:rsidP="00FE004C" w:rsidRDefault="001643B3" w14:paraId="401DCDF1" w14:textId="77777777">
            <w:pPr>
              <w:spacing w:line="240" w:lineRule="auto"/>
              <w:rPr>
                <w:rFonts w:cs="Calibri"/>
                <w:b/>
                <w:bCs/>
                <w:sz w:val="24"/>
                <w:lang w:val="es-CR"/>
              </w:rPr>
            </w:pPr>
          </w:p>
        </w:tc>
        <w:tc>
          <w:tcPr>
            <w:tcW w:w="1319" w:type="dxa"/>
          </w:tcPr>
          <w:p w:rsidRPr="005E6DE4" w:rsidR="001643B3" w:rsidP="00FE004C" w:rsidRDefault="001643B3" w14:paraId="52726959" w14:textId="77777777">
            <w:pPr>
              <w:spacing w:line="240" w:lineRule="auto"/>
              <w:jc w:val="center"/>
              <w:rPr>
                <w:rFonts w:cs="Calibri"/>
                <w:b/>
                <w:bCs/>
                <w:sz w:val="24"/>
                <w:lang w:val="es-CR"/>
              </w:rPr>
            </w:pPr>
            <w:r w:rsidRPr="005E6DE4">
              <w:rPr>
                <w:rFonts w:cs="Calibri"/>
                <w:b/>
                <w:bCs/>
                <w:sz w:val="24"/>
                <w:lang w:val="es-CR"/>
              </w:rPr>
              <w:t>Artículo 16</w:t>
            </w:r>
          </w:p>
        </w:tc>
      </w:tr>
      <w:tr w:rsidRPr="005E6DE4" w:rsidR="001643B3" w:rsidTr="00FE004C" w14:paraId="16A9935E" w14:textId="77777777">
        <w:tc>
          <w:tcPr>
            <w:tcW w:w="2136" w:type="dxa"/>
          </w:tcPr>
          <w:p w:rsidRPr="005E6DE4" w:rsidR="001643B3" w:rsidP="00FE004C" w:rsidRDefault="001643B3" w14:paraId="5F69BDAA" w14:textId="77777777">
            <w:pPr>
              <w:spacing w:line="240" w:lineRule="auto"/>
              <w:rPr>
                <w:rFonts w:cs="Calibri"/>
                <w:b/>
                <w:bCs/>
                <w:sz w:val="24"/>
                <w:lang w:val="es-CR"/>
              </w:rPr>
            </w:pPr>
            <w:r w:rsidRPr="005E6DE4">
              <w:rPr>
                <w:rFonts w:cs="Calibri"/>
                <w:b/>
                <w:bCs/>
                <w:sz w:val="24"/>
                <w:lang w:val="es-CR"/>
              </w:rPr>
              <w:t>C(122.12 + (122.14 – 122.14.1.01) + D20218* + 125.04)</w:t>
            </w:r>
          </w:p>
        </w:tc>
        <w:tc>
          <w:tcPr>
            <w:tcW w:w="3813" w:type="dxa"/>
          </w:tcPr>
          <w:p w:rsidRPr="005E6DE4" w:rsidR="001643B3" w:rsidP="00FE004C" w:rsidRDefault="001643B3" w14:paraId="769E1A7D" w14:textId="77777777">
            <w:pPr>
              <w:spacing w:line="240" w:lineRule="auto"/>
              <w:rPr>
                <w:rFonts w:cs="Calibri"/>
                <w:b/>
                <w:bCs/>
                <w:sz w:val="24"/>
                <w:lang w:val="es-CR"/>
              </w:rPr>
            </w:pPr>
            <w:r w:rsidRPr="005E6DE4">
              <w:rPr>
                <w:rFonts w:cs="Calibri"/>
                <w:b/>
                <w:bCs/>
                <w:sz w:val="24"/>
                <w:lang w:val="es-CR"/>
              </w:rPr>
              <w:t>Inversiones en reportos y reportos tripartitos</w:t>
            </w:r>
          </w:p>
        </w:tc>
        <w:tc>
          <w:tcPr>
            <w:tcW w:w="1276" w:type="dxa"/>
          </w:tcPr>
          <w:p w:rsidRPr="005E6DE4" w:rsidR="001643B3" w:rsidP="00FE004C" w:rsidRDefault="001643B3" w14:paraId="2A6B37A8" w14:textId="77777777">
            <w:pPr>
              <w:spacing w:line="240" w:lineRule="auto"/>
              <w:rPr>
                <w:rFonts w:cs="Calibri"/>
                <w:b/>
                <w:bCs/>
                <w:sz w:val="24"/>
                <w:lang w:val="es-CR"/>
              </w:rPr>
            </w:pPr>
          </w:p>
        </w:tc>
        <w:tc>
          <w:tcPr>
            <w:tcW w:w="1319" w:type="dxa"/>
          </w:tcPr>
          <w:p w:rsidRPr="005E6DE4" w:rsidR="001643B3" w:rsidP="00FE004C" w:rsidRDefault="001643B3" w14:paraId="6E42E073" w14:textId="77777777">
            <w:pPr>
              <w:spacing w:line="240" w:lineRule="auto"/>
              <w:jc w:val="center"/>
              <w:rPr>
                <w:rFonts w:cs="Calibri"/>
                <w:b/>
                <w:bCs/>
                <w:sz w:val="24"/>
                <w:lang w:val="es-CR"/>
              </w:rPr>
            </w:pPr>
            <w:r w:rsidRPr="005E6DE4">
              <w:rPr>
                <w:rFonts w:cs="Calibri"/>
                <w:b/>
                <w:bCs/>
                <w:sz w:val="24"/>
                <w:lang w:val="es-CR"/>
              </w:rPr>
              <w:t>Inciso b)</w:t>
            </w:r>
          </w:p>
        </w:tc>
      </w:tr>
    </w:tbl>
    <w:p w:rsidRPr="003B3CD0" w:rsidR="001643B3" w:rsidP="001643B3" w:rsidRDefault="001643B3" w14:paraId="02872CBB" w14:textId="77777777">
      <w:pPr>
        <w:spacing w:line="240" w:lineRule="auto"/>
        <w:contextualSpacing/>
        <w:rPr>
          <w:sz w:val="24"/>
        </w:rPr>
      </w:pPr>
      <w:r w:rsidRPr="003B3CD0">
        <w:rPr>
          <w:b/>
          <w:sz w:val="24"/>
        </w:rPr>
        <w:t>(*)</w:t>
      </w:r>
      <w:r>
        <w:rPr>
          <w:b/>
          <w:sz w:val="24"/>
        </w:rPr>
        <w:t xml:space="preserve"> </w:t>
      </w:r>
      <w:r w:rsidRPr="003B3CD0">
        <w:rPr>
          <w:sz w:val="24"/>
        </w:rPr>
        <w:t xml:space="preserve">D20218 o su equivalente para el cálculo </w:t>
      </w:r>
      <w:r>
        <w:rPr>
          <w:sz w:val="24"/>
        </w:rPr>
        <w:t xml:space="preserve">de la suficiencia patrimonial </w:t>
      </w:r>
      <w:r w:rsidRPr="003B3CD0">
        <w:rPr>
          <w:sz w:val="24"/>
        </w:rPr>
        <w:t>de grupos y conglomerados</w:t>
      </w:r>
      <w:r>
        <w:rPr>
          <w:sz w:val="24"/>
        </w:rPr>
        <w:t>.</w:t>
      </w:r>
    </w:p>
    <w:p w:rsidRPr="005E6DE4" w:rsidR="001643B3" w:rsidP="001643B3" w:rsidRDefault="001643B3" w14:paraId="16CBC286" w14:textId="77777777">
      <w:pPr>
        <w:spacing w:line="240" w:lineRule="auto"/>
        <w:contextualSpacing/>
        <w:rPr>
          <w:color w:val="1F497D"/>
          <w:sz w:val="24"/>
          <w:lang w:val="es-CR"/>
        </w:rPr>
      </w:pPr>
    </w:p>
    <w:p w:rsidRPr="005E6DE4" w:rsidR="001643B3" w:rsidP="001643B3" w:rsidRDefault="001643B3" w14:paraId="21F25830" w14:textId="305C76BF">
      <w:pPr>
        <w:pStyle w:val="NormalWeb"/>
        <w:numPr>
          <w:ilvl w:val="0"/>
          <w:numId w:val="5"/>
        </w:numPr>
        <w:spacing w:before="0" w:beforeAutospacing="0" w:after="0" w:afterAutospacing="0"/>
        <w:ind w:left="284" w:hanging="284"/>
        <w:jc w:val="both"/>
        <w:rPr>
          <w:rFonts w:ascii="Cambria" w:hAnsi="Cambria"/>
          <w:sz w:val="24"/>
          <w:szCs w:val="24"/>
        </w:rPr>
      </w:pPr>
      <w:r>
        <w:rPr>
          <w:rFonts w:ascii="Cambria" w:hAnsi="Cambria"/>
          <w:sz w:val="24"/>
          <w:szCs w:val="24"/>
        </w:rPr>
        <w:t xml:space="preserve">La modificación y ajustes incluidos en esta Resolución rige a partir del envío de la información mensual de </w:t>
      </w:r>
      <w:r w:rsidRPr="005E6DE4">
        <w:rPr>
          <w:rFonts w:ascii="Cambria" w:hAnsi="Cambria"/>
          <w:sz w:val="24"/>
          <w:szCs w:val="24"/>
        </w:rPr>
        <w:t>clase de datos “</w:t>
      </w:r>
      <w:r w:rsidRPr="005E6DE4">
        <w:rPr>
          <w:rFonts w:ascii="Cambria" w:hAnsi="Cambria"/>
          <w:i/>
          <w:sz w:val="24"/>
          <w:szCs w:val="24"/>
        </w:rPr>
        <w:t>Financiero</w:t>
      </w:r>
      <w:r w:rsidRPr="005E6DE4">
        <w:rPr>
          <w:rFonts w:ascii="Cambria" w:hAnsi="Cambria"/>
          <w:sz w:val="24"/>
          <w:szCs w:val="24"/>
        </w:rPr>
        <w:t>”, correspon</w:t>
      </w:r>
      <w:bookmarkStart w:name="_GoBack" w:id="0"/>
      <w:bookmarkEnd w:id="0"/>
      <w:r w:rsidRPr="005E6DE4">
        <w:rPr>
          <w:rFonts w:ascii="Cambria" w:hAnsi="Cambria"/>
          <w:sz w:val="24"/>
          <w:szCs w:val="24"/>
        </w:rPr>
        <w:t xml:space="preserve">diente al corte de </w:t>
      </w:r>
      <w:r w:rsidR="000A6C8A">
        <w:rPr>
          <w:rFonts w:ascii="Cambria" w:hAnsi="Cambria"/>
          <w:sz w:val="24"/>
          <w:szCs w:val="24"/>
        </w:rPr>
        <w:t xml:space="preserve">junio </w:t>
      </w:r>
      <w:r w:rsidRPr="005E6DE4">
        <w:rPr>
          <w:rFonts w:ascii="Cambria" w:hAnsi="Cambria"/>
          <w:sz w:val="24"/>
          <w:szCs w:val="24"/>
        </w:rPr>
        <w:t>2020, y aplica para aquellas entidades supervisadas que requieran remitir es</w:t>
      </w:r>
      <w:r>
        <w:rPr>
          <w:rFonts w:ascii="Cambria" w:hAnsi="Cambria"/>
          <w:sz w:val="24"/>
          <w:szCs w:val="24"/>
        </w:rPr>
        <w:t>t</w:t>
      </w:r>
      <w:r w:rsidRPr="005E6DE4">
        <w:rPr>
          <w:rFonts w:ascii="Cambria" w:hAnsi="Cambria"/>
          <w:sz w:val="24"/>
          <w:szCs w:val="24"/>
        </w:rPr>
        <w:t xml:space="preserve">a información. </w:t>
      </w:r>
      <w:r>
        <w:rPr>
          <w:rFonts w:ascii="Cambria" w:hAnsi="Cambria"/>
          <w:sz w:val="24"/>
          <w:szCs w:val="24"/>
        </w:rPr>
        <w:t xml:space="preserve">La modificación y ajustes incluidos en esta resolución correspondiente a la </w:t>
      </w:r>
      <w:r w:rsidRPr="005E6DE4">
        <w:rPr>
          <w:rFonts w:ascii="Cambria" w:hAnsi="Cambria"/>
          <w:sz w:val="24"/>
          <w:szCs w:val="24"/>
        </w:rPr>
        <w:t xml:space="preserve">clase de datos “Información Complementaria de Grupos y Conglomerados”, rige </w:t>
      </w:r>
      <w:r w:rsidRPr="005E6DE4">
        <w:rPr>
          <w:rFonts w:ascii="Cambria" w:hAnsi="Cambria"/>
          <w:sz w:val="24"/>
          <w:szCs w:val="24"/>
        </w:rPr>
        <w:lastRenderedPageBreak/>
        <w:t xml:space="preserve">a partir del envío de la información trimestral individual y consolidada con corte a junio  2020. </w:t>
      </w:r>
    </w:p>
    <w:p w:rsidRPr="005E6DE4" w:rsidR="001643B3" w:rsidP="001643B3" w:rsidRDefault="001643B3" w14:paraId="692DFB2F" w14:textId="77777777">
      <w:pPr>
        <w:spacing w:line="240" w:lineRule="auto"/>
        <w:contextualSpacing/>
        <w:rPr>
          <w:sz w:val="24"/>
        </w:rPr>
      </w:pPr>
    </w:p>
    <w:p w:rsidRPr="005E6DE4" w:rsidR="001643B3" w:rsidP="001643B3" w:rsidRDefault="001643B3" w14:paraId="240A1A6F" w14:textId="77777777">
      <w:pPr>
        <w:spacing w:line="240" w:lineRule="auto"/>
        <w:contextualSpacing/>
        <w:rPr>
          <w:sz w:val="24"/>
        </w:rPr>
      </w:pPr>
      <w:r w:rsidRPr="005E6DE4">
        <w:rPr>
          <w:sz w:val="24"/>
        </w:rPr>
        <w:t>Publíquese en el Diario Oficial La Gaceta.</w:t>
      </w:r>
    </w:p>
    <w:p w:rsidRPr="00BF3029" w:rsidR="001643B3" w:rsidP="001643B3" w:rsidRDefault="001643B3" w14:paraId="32A4DE6E" w14:textId="77777777">
      <w:pPr>
        <w:pStyle w:val="Texto"/>
        <w:spacing w:before="0" w:after="0" w:line="240" w:lineRule="auto"/>
        <w:contextualSpacing/>
        <w:rPr>
          <w:sz w:val="24"/>
        </w:rPr>
      </w:pPr>
    </w:p>
    <w:p w:rsidRPr="00BF3029" w:rsidR="001643B3" w:rsidP="001643B3" w:rsidRDefault="001643B3" w14:paraId="79F5EE16" w14:textId="77777777">
      <w:pPr>
        <w:pStyle w:val="Texto"/>
        <w:spacing w:before="0" w:after="0" w:line="240" w:lineRule="auto"/>
        <w:contextualSpacing/>
        <w:rPr>
          <w:sz w:val="24"/>
        </w:rPr>
      </w:pPr>
      <w:r w:rsidRPr="00BF3029">
        <w:rPr>
          <w:sz w:val="24"/>
        </w:rPr>
        <w:t>Atentamente,</w:t>
      </w:r>
    </w:p>
    <w:p w:rsidRPr="00BF3029" w:rsidR="001643B3" w:rsidP="001643B3" w:rsidRDefault="001643B3" w14:paraId="6ABBB0CF" w14:textId="77777777">
      <w:pPr>
        <w:spacing w:line="240" w:lineRule="auto"/>
        <w:contextualSpacing/>
        <w:rPr>
          <w:sz w:val="24"/>
        </w:rPr>
      </w:pPr>
      <w:r w:rsidRPr="00BF3029">
        <w:rPr>
          <w:noProof/>
          <w:sz w:val="24"/>
          <w:lang w:val="es-CR" w:eastAsia="es-CR"/>
        </w:rPr>
        <w:drawing>
          <wp:anchor distT="0" distB="0" distL="114300" distR="114300" simplePos="0" relativeHeight="251661312" behindDoc="1" locked="0" layoutInCell="1" allowOverlap="1" wp14:editId="3CA6530F" wp14:anchorId="413C2D65">
            <wp:simplePos x="0" y="0"/>
            <wp:positionH relativeFrom="column">
              <wp:posOffset>-59055</wp:posOffset>
            </wp:positionH>
            <wp:positionV relativeFrom="paragraph">
              <wp:posOffset>64770</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BF3029" w:rsidR="001643B3" w:rsidP="001643B3" w:rsidRDefault="001643B3" w14:paraId="3D7AE7EA" w14:textId="77777777">
      <w:pPr>
        <w:spacing w:line="240" w:lineRule="auto"/>
        <w:contextualSpacing/>
        <w:rPr>
          <w:sz w:val="24"/>
        </w:rPr>
      </w:pPr>
    </w:p>
    <w:p w:rsidRPr="00BF3029" w:rsidR="001643B3" w:rsidP="001643B3" w:rsidRDefault="001643B3" w14:paraId="2F1FD95F" w14:textId="77777777">
      <w:pPr>
        <w:spacing w:line="240" w:lineRule="auto"/>
        <w:contextualSpacing/>
        <w:rPr>
          <w:sz w:val="24"/>
        </w:rPr>
      </w:pPr>
    </w:p>
    <w:p w:rsidRPr="00BF3029" w:rsidR="001643B3" w:rsidP="001643B3" w:rsidRDefault="001643B3" w14:paraId="73E2D16C" w14:textId="77777777">
      <w:pPr>
        <w:spacing w:line="240" w:lineRule="auto"/>
        <w:contextualSpacing/>
        <w:rPr>
          <w:sz w:val="24"/>
        </w:rPr>
      </w:pPr>
      <w:r w:rsidRPr="00BF3029">
        <w:rPr>
          <w:sz w:val="24"/>
        </w:rPr>
        <w:t>Bernardo Alfaro A.</w:t>
      </w:r>
    </w:p>
    <w:p w:rsidRPr="00BF3029" w:rsidR="001643B3" w:rsidP="001643B3" w:rsidRDefault="001643B3" w14:paraId="5F891A1D" w14:textId="77777777">
      <w:pPr>
        <w:spacing w:line="240" w:lineRule="auto"/>
        <w:contextualSpacing/>
        <w:rPr>
          <w:sz w:val="24"/>
        </w:rPr>
      </w:pPr>
      <w:r w:rsidRPr="00BF3029">
        <w:rPr>
          <w:b/>
          <w:sz w:val="24"/>
        </w:rPr>
        <w:t>Superintendente</w:t>
      </w:r>
    </w:p>
    <w:p w:rsidRPr="003B3CD0" w:rsidR="001643B3" w:rsidP="001643B3" w:rsidRDefault="001643B3" w14:paraId="29BBAA5F" w14:textId="77777777">
      <w:pPr>
        <w:spacing w:line="240" w:lineRule="auto"/>
        <w:contextualSpacing/>
        <w:rPr>
          <w:sz w:val="20"/>
          <w:szCs w:val="20"/>
        </w:rPr>
      </w:pPr>
    </w:p>
    <w:p w:rsidRPr="003B3CD0" w:rsidR="001643B3" w:rsidP="001643B3" w:rsidRDefault="001643B3" w14:paraId="1F83BE34" w14:textId="77777777">
      <w:pPr>
        <w:spacing w:before="120" w:after="120" w:line="240" w:lineRule="auto"/>
        <w:contextualSpacing/>
        <w:rPr>
          <w:rFonts w:eastAsia="Calibri"/>
          <w:bCs/>
          <w:sz w:val="20"/>
          <w:szCs w:val="20"/>
        </w:rPr>
      </w:pPr>
    </w:p>
    <w:p w:rsidRPr="003B3CD0" w:rsidR="001643B3" w:rsidP="001643B3" w:rsidRDefault="001643B3" w14:paraId="1C249381" w14:textId="77777777">
      <w:pPr>
        <w:spacing w:before="120" w:after="120" w:line="240" w:lineRule="auto"/>
        <w:contextualSpacing/>
        <w:rPr>
          <w:rFonts w:eastAsia="Calibri"/>
          <w:b/>
          <w:bCs/>
          <w:sz w:val="20"/>
          <w:szCs w:val="20"/>
          <w:lang w:val="es-CR"/>
        </w:rPr>
      </w:pPr>
      <w:r w:rsidRPr="003B3CD0">
        <w:rPr>
          <w:rFonts w:eastAsia="Calibri"/>
          <w:b/>
          <w:bCs/>
          <w:sz w:val="20"/>
          <w:szCs w:val="20"/>
          <w:lang w:val="es-CR"/>
        </w:rPr>
        <w:t>JSC/GAA/CRC/gvl*</w:t>
      </w:r>
    </w:p>
    <w:p w:rsidRPr="001643B3" w:rsidR="006972C9" w:rsidP="001F00EB" w:rsidRDefault="006972C9" w14:paraId="423B81B2" w14:textId="77777777">
      <w:pPr>
        <w:spacing w:line="240" w:lineRule="auto"/>
        <w:rPr>
          <w:sz w:val="24"/>
          <w:lang w:val="es-CR"/>
        </w:rPr>
      </w:pPr>
    </w:p>
    <w:sectPr w:rsidRPr="001643B3" w:rsidR="006972C9">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5DB9C" w14:textId="77777777" w:rsidR="007B3565" w:rsidRDefault="007B3565" w:rsidP="009349F3">
      <w:pPr>
        <w:spacing w:line="240" w:lineRule="auto"/>
      </w:pPr>
      <w:r>
        <w:separator/>
      </w:r>
    </w:p>
  </w:endnote>
  <w:endnote w:type="continuationSeparator" w:id="0">
    <w:p w14:paraId="6ACA2C90" w14:textId="77777777" w:rsidR="007B3565" w:rsidRDefault="007B3565"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D67" w:rsidRDefault="002A1D67" w14:paraId="7DBB0F71" w14:textId="7777777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0E8DF2D2" w14:textId="77777777">
      <w:tc>
        <w:tcPr>
          <w:tcW w:w="2942" w:type="dxa"/>
        </w:tcPr>
        <w:p w:rsidR="00517D62" w:rsidRDefault="00517D62" w14:paraId="6A004252"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8748CC">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26FD2EA3"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8748CC">
            <w:rPr>
              <w:b/>
              <w:color w:val="7F7F7F" w:themeColor="text1" w:themeTint="80"/>
              <w:sz w:val="16"/>
              <w:szCs w:val="16"/>
            </w:rPr>
            <w:t>-4849</w:t>
          </w:r>
        </w:p>
        <w:p w:rsidRPr="009349F3" w:rsidR="00517D62" w:rsidRDefault="00517D62" w14:paraId="59F2FDCD" w14:textId="77777777">
          <w:pPr>
            <w:pStyle w:val="Piedepgina"/>
            <w:rPr>
              <w:b/>
              <w:color w:val="7F7F7F" w:themeColor="text1" w:themeTint="80"/>
              <w:sz w:val="16"/>
              <w:szCs w:val="16"/>
            </w:rPr>
          </w:pPr>
        </w:p>
      </w:tc>
      <w:tc>
        <w:tcPr>
          <w:tcW w:w="2943" w:type="dxa"/>
        </w:tcPr>
        <w:p w:rsidRPr="009349F3" w:rsidR="00517D62" w:rsidP="00855792" w:rsidRDefault="00517D62" w14:paraId="59FF9277"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3CA2B5C6"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49243EE7"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0A6C8A">
            <w:rPr>
              <w:b/>
              <w:noProof/>
              <w:color w:val="7F7F7F" w:themeColor="text1" w:themeTint="80"/>
              <w:sz w:val="16"/>
              <w:szCs w:val="16"/>
            </w:rPr>
            <w:t>4</w:t>
          </w:r>
          <w:r w:rsidRPr="006972C9">
            <w:rPr>
              <w:b/>
              <w:color w:val="7F7F7F" w:themeColor="text1" w:themeTint="80"/>
              <w:sz w:val="16"/>
              <w:szCs w:val="16"/>
            </w:rPr>
            <w:fldChar w:fldCharType="end"/>
          </w:r>
        </w:p>
      </w:tc>
    </w:tr>
  </w:tbl>
  <w:p w:rsidR="009349F3" w:rsidRDefault="009349F3" w14:paraId="76A92007" w14:textId="7777777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D67" w:rsidRDefault="002A1D67" w14:paraId="7CFA9B27"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0D090" w14:textId="77777777" w:rsidR="007B3565" w:rsidRDefault="007B3565" w:rsidP="009349F3">
      <w:pPr>
        <w:spacing w:line="240" w:lineRule="auto"/>
      </w:pPr>
      <w:r>
        <w:separator/>
      </w:r>
    </w:p>
  </w:footnote>
  <w:footnote w:type="continuationSeparator" w:id="0">
    <w:p w14:paraId="7F6A7AFF" w14:textId="77777777" w:rsidR="007B3565" w:rsidRDefault="007B3565" w:rsidP="009349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D67" w:rsidRDefault="002A1D67" w14:paraId="070C3346"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14:paraId="7BA66910" w14:textId="77777777">
    <w:pPr>
      <w:pStyle w:val="Encabezado"/>
    </w:pPr>
    <w:r>
      <w:ptab w:alignment="center" w:relativeTo="margin" w:leader="none"/>
    </w:r>
    <w:r>
      <w:rPr>
        <w:noProof/>
        <w:lang w:val="es-CR" w:eastAsia="es-CR"/>
      </w:rPr>
      <w:drawing>
        <wp:inline distT="0" distB="0" distL="0" distR="0" wp14:anchorId="411AFCB1" wp14:editId="435CFB80">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D67" w:rsidRDefault="002A1D67" w14:paraId="6A9302DC" w14:textId="777777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40000CC3"/>
    <w:multiLevelType w:val="hybridMultilevel"/>
    <w:tmpl w:val="E7C40EFC"/>
    <w:lvl w:ilvl="0" w:tplc="76C29216">
      <w:start w:val="1"/>
      <w:numFmt w:val="upperRoman"/>
      <w:lvlText w:val="%1."/>
      <w:lvlJc w:val="right"/>
      <w:pPr>
        <w:ind w:left="720" w:hanging="360"/>
      </w:pPr>
      <w:rPr>
        <w:rFonts w:ascii="Cambria" w:hAnsi="Cambria"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4" w15:restartNumberingAfterBreak="0">
    <w:nsid w:val="7F2C0DEB"/>
    <w:multiLevelType w:val="hybridMultilevel"/>
    <w:tmpl w:val="B8AA0570"/>
    <w:lvl w:ilvl="0" w:tplc="B6E877A0">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565"/>
    <w:rsid w:val="00094C30"/>
    <w:rsid w:val="000A6C8A"/>
    <w:rsid w:val="001155A7"/>
    <w:rsid w:val="001643B3"/>
    <w:rsid w:val="001F00EB"/>
    <w:rsid w:val="002A1D67"/>
    <w:rsid w:val="004313B1"/>
    <w:rsid w:val="00517D62"/>
    <w:rsid w:val="006972C9"/>
    <w:rsid w:val="007B3565"/>
    <w:rsid w:val="007E1EC2"/>
    <w:rsid w:val="008200B7"/>
    <w:rsid w:val="00855792"/>
    <w:rsid w:val="008748CC"/>
    <w:rsid w:val="008B0595"/>
    <w:rsid w:val="008E1275"/>
    <w:rsid w:val="00900B79"/>
    <w:rsid w:val="009349F3"/>
    <w:rsid w:val="00AD5B5C"/>
    <w:rsid w:val="00AF06C5"/>
    <w:rsid w:val="00B7752A"/>
    <w:rsid w:val="00BB0D39"/>
    <w:rsid w:val="00DE2D06"/>
    <w:rsid w:val="00DF14D4"/>
    <w:rsid w:val="00F476DF"/>
    <w:rsid w:val="00FD2AB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29383D"/>
  <w15:chartTrackingRefBased/>
  <w15:docId w15:val="{158C8279-9EAD-445E-B7C2-37676658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E127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1275"/>
    <w:rPr>
      <w:rFonts w:ascii="Segoe UI" w:eastAsia="Times New Roman" w:hAnsi="Segoe UI" w:cs="Segoe UI"/>
      <w:sz w:val="18"/>
      <w:szCs w:val="18"/>
      <w:lang w:val="es-ES"/>
    </w:rPr>
  </w:style>
  <w:style w:type="character" w:customStyle="1" w:styleId="PrrafodelistaCar">
    <w:name w:val="Párrafo de lista Car"/>
    <w:link w:val="Prrafodelista"/>
    <w:uiPriority w:val="34"/>
    <w:locked/>
    <w:rsid w:val="001643B3"/>
    <w:rPr>
      <w:rFonts w:ascii="Calibri" w:hAnsi="Calibri" w:cs="Calibri"/>
    </w:rPr>
  </w:style>
  <w:style w:type="paragraph" w:styleId="Prrafodelista">
    <w:name w:val="List Paragraph"/>
    <w:basedOn w:val="Normal"/>
    <w:link w:val="PrrafodelistaCar"/>
    <w:uiPriority w:val="34"/>
    <w:qFormat/>
    <w:rsid w:val="001643B3"/>
    <w:pPr>
      <w:spacing w:after="200" w:line="276" w:lineRule="auto"/>
      <w:ind w:left="720"/>
      <w:contextualSpacing/>
      <w:jc w:val="left"/>
    </w:pPr>
    <w:rPr>
      <w:rFonts w:ascii="Calibri" w:eastAsiaTheme="minorHAnsi" w:hAnsi="Calibri" w:cs="Calibri"/>
      <w:szCs w:val="22"/>
      <w:lang w:val="es-CR"/>
    </w:rPr>
  </w:style>
  <w:style w:type="paragraph" w:styleId="NormalWeb">
    <w:name w:val="Normal (Web)"/>
    <w:basedOn w:val="Normal"/>
    <w:uiPriority w:val="99"/>
    <w:rsid w:val="001643B3"/>
    <w:pPr>
      <w:spacing w:before="100" w:beforeAutospacing="1" w:after="100" w:afterAutospacing="1" w:line="240" w:lineRule="auto"/>
      <w:jc w:val="left"/>
    </w:pPr>
    <w:rPr>
      <w:rFonts w:ascii="Times New Roman" w:hAnsi="Times New Roman"/>
      <w:color w:val="000000"/>
      <w:sz w:val="20"/>
      <w:szCs w:val="20"/>
      <w:lang w:eastAsia="es-ES"/>
    </w:rPr>
  </w:style>
  <w:style w:type="table" w:styleId="Cuadrculadetablaclara">
    <w:name w:val="Grid Table Light"/>
    <w:basedOn w:val="Tablanormal"/>
    <w:uiPriority w:val="40"/>
    <w:rsid w:val="001643B3"/>
    <w:pPr>
      <w:spacing w:after="0" w:line="240" w:lineRule="auto"/>
    </w:pPr>
    <w:rPr>
      <w:rFonts w:ascii="Franklin Gothic Book" w:eastAsia="Calibri" w:hAnsi="Franklin Gothic Book" w:cs="Times New Roman"/>
      <w:sz w:val="20"/>
      <w:szCs w:val="20"/>
      <w:lang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CF83304AA347A58D89D45105A48D2B"/>
        <w:category>
          <w:name w:val="General"/>
          <w:gallery w:val="placeholder"/>
        </w:category>
        <w:types>
          <w:type w:val="bbPlcHdr"/>
        </w:types>
        <w:behaviors>
          <w:behavior w:val="content"/>
        </w:behaviors>
        <w:guid w:val="{E2027945-3978-4751-B345-AFED7A35A0EB}"/>
      </w:docPartPr>
      <w:docPartBody>
        <w:p w:rsidR="00000000" w:rsidRDefault="00E9062B" w:rsidP="00E9062B">
          <w:pPr>
            <w:pStyle w:val="97CF83304AA347A58D89D45105A48D2B"/>
          </w:pPr>
          <w:r w:rsidRPr="001E0779">
            <w:rPr>
              <w:rStyle w:val="Textodelmarcadordeposicin"/>
            </w:rPr>
            <w:t>Haga clic aquí para escribir texto.</w:t>
          </w:r>
        </w:p>
      </w:docPartBody>
    </w:docPart>
    <w:docPart>
      <w:docPartPr>
        <w:name w:val="B9D0E384589F4F9CB32238B3EED665DA"/>
        <w:category>
          <w:name w:val="General"/>
          <w:gallery w:val="placeholder"/>
        </w:category>
        <w:types>
          <w:type w:val="bbPlcHdr"/>
        </w:types>
        <w:behaviors>
          <w:behavior w:val="content"/>
        </w:behaviors>
        <w:guid w:val="{64807C11-00BF-458E-BF2B-FA7D2C026350}"/>
      </w:docPartPr>
      <w:docPartBody>
        <w:p w:rsidR="00000000" w:rsidRDefault="00E9062B" w:rsidP="00E9062B">
          <w:pPr>
            <w:pStyle w:val="B9D0E384589F4F9CB32238B3EED665DA"/>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A50"/>
    <w:rsid w:val="00476A50"/>
    <w:rsid w:val="00E9062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9062B"/>
  </w:style>
  <w:style w:type="paragraph" w:customStyle="1" w:styleId="9F300270D1E74D87B357F02AD3420B19">
    <w:name w:val="9F300270D1E74D87B357F02AD3420B19"/>
  </w:style>
  <w:style w:type="paragraph" w:customStyle="1" w:styleId="C118207D313A480E8B10FF22E516444C">
    <w:name w:val="C118207D313A480E8B10FF22E516444C"/>
  </w:style>
  <w:style w:type="paragraph" w:customStyle="1" w:styleId="FE16C3B9A7C94F41BDCEC1163CE1D61B">
    <w:name w:val="FE16C3B9A7C94F41BDCEC1163CE1D61B"/>
    <w:rsid w:val="00476A50"/>
  </w:style>
  <w:style w:type="paragraph" w:customStyle="1" w:styleId="FDB56D0499284F7790B58AA3CAA70C27">
    <w:name w:val="FDB56D0499284F7790B58AA3CAA70C27"/>
    <w:rsid w:val="00476A50"/>
  </w:style>
  <w:style w:type="paragraph" w:customStyle="1" w:styleId="97CF83304AA347A58D89D45105A48D2B">
    <w:name w:val="97CF83304AA347A58D89D45105A48D2B"/>
    <w:rsid w:val="00E9062B"/>
  </w:style>
  <w:style w:type="paragraph" w:customStyle="1" w:styleId="B9D0E384589F4F9CB32238B3EED665DA">
    <w:name w:val="B9D0E384589F4F9CB32238B3EED665DA"/>
    <w:rsid w:val="00E906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26IqyZeip2cOHQ1pUJgv2mfie2nU8KDb79hm0WZ3Bc8=</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uARl8dzfCY62ERuvMLl9QGNlFiWTcrUL3rimNZROxMQ=</DigestValue>
    </Reference>
  </SignedInfo>
  <SignatureValue>XUPOUNQr9H+MQ3Wl+jqwkftZYnatPmZSVpDRVtd5N7QFuWcaM1IP77Y7f0tK8+PPxhKysB9TcW0h
/yYT+7uCzuNA12CJvmq5k/G8T9rioPLXBnf1nA43lJCfPPlBhfIxelVQwSqVuk39muZ0vHNAJ2rv
BbGiJm25gszIFOQnETHkePSBQEX9O1SF8ziO+4RObrSViy4nAQuFEng76lmRsrw3JMc3eovvAgT1
r9SclSojJh9NYS7XNJJNRpeWrSKE3OosDYVdB5pFynd+pqJqMF65t+jqOWeFjjdIfgg41Rv9QZOR
mdrYs4y4NMGfw5bW5fTIeFCLt5XMuJ5L/lk9Pw==</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JruRXOw1UI+Bm6C1naTamAiHNZJHZ/SP914Pk1pGL18=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mWOLpeQa1WBRixhMZPegvQ96NEY3WPJWyN1qeka76c8=</DigestValue>
      </Reference>
      <Reference URI="/word/document.xml?ContentType=application/vnd.openxmlformats-officedocument.wordprocessingml.document.main+xml">
        <DigestMethod Algorithm="http://www.w3.org/2001/04/xmlenc#sha256"/>
        <DigestValue>UupCybYzGd+H8EBLE/IxVd2PfGNAEIfxr3i12cP13iQ=</DigestValue>
      </Reference>
      <Reference URI="/word/endnotes.xml?ContentType=application/vnd.openxmlformats-officedocument.wordprocessingml.endnotes+xml">
        <DigestMethod Algorithm="http://www.w3.org/2001/04/xmlenc#sha256"/>
        <DigestValue>el3RzGCpdOp+xXf4WmnRJJSQzIkMeBZ2Z3tW2dtVVsI=</DigestValue>
      </Reference>
      <Reference URI="/word/fontTable.xml?ContentType=application/vnd.openxmlformats-officedocument.wordprocessingml.fontTable+xml">
        <DigestMethod Algorithm="http://www.w3.org/2001/04/xmlenc#sha256"/>
        <DigestValue>lGHIm9zpYYCWCIFv+UeZLgj+Qgddp7sO5p2g28CNUL4=</DigestValue>
      </Reference>
      <Reference URI="/word/footer1.xml?ContentType=application/vnd.openxmlformats-officedocument.wordprocessingml.footer+xml">
        <DigestMethod Algorithm="http://www.w3.org/2001/04/xmlenc#sha256"/>
        <DigestValue>LCHyWKaTHUedpWWtnTZ08jVpy9qLBNjFePhubuSJ5ys=</DigestValue>
      </Reference>
      <Reference URI="/word/footer2.xml?ContentType=application/vnd.openxmlformats-officedocument.wordprocessingml.footer+xml">
        <DigestMethod Algorithm="http://www.w3.org/2001/04/xmlenc#sha256"/>
        <DigestValue>NmgADduNrFhTYL+Z7jTcOvUOWefOToQeWNt4TR/xSjQ=</DigestValue>
      </Reference>
      <Reference URI="/word/footer3.xml?ContentType=application/vnd.openxmlformats-officedocument.wordprocessingml.footer+xml">
        <DigestMethod Algorithm="http://www.w3.org/2001/04/xmlenc#sha256"/>
        <DigestValue>BtzOFN++eNTzW9OBPRmbwdjeS5eAC5KaMOIKMYueC2s=</DigestValue>
      </Reference>
      <Reference URI="/word/footnotes.xml?ContentType=application/vnd.openxmlformats-officedocument.wordprocessingml.footnotes+xml">
        <DigestMethod Algorithm="http://www.w3.org/2001/04/xmlenc#sha256"/>
        <DigestValue>+vq4+x2lFV+j3iORKKFklN9QZUMgJiLg5wRqLH8OfrQ=</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9jjq+9mpEU/f483CIfzQoXmsWryNvG0+hSjSVv5k/ig=</DigestValue>
      </Reference>
      <Reference URI="/word/glossary/fontTable.xml?ContentType=application/vnd.openxmlformats-officedocument.wordprocessingml.fontTable+xml">
        <DigestMethod Algorithm="http://www.w3.org/2001/04/xmlenc#sha256"/>
        <DigestValue>lGHIm9zpYYCWCIFv+UeZLgj+Qgddp7sO5p2g28CNUL4=</DigestValue>
      </Reference>
      <Reference URI="/word/glossary/settings.xml?ContentType=application/vnd.openxmlformats-officedocument.wordprocessingml.settings+xml">
        <DigestMethod Algorithm="http://www.w3.org/2001/04/xmlenc#sha256"/>
        <DigestValue>GQy3LLBbzO7inhSmmMcNosd6iKHIuDxwN0bKCemdiBs=</DigestValue>
      </Reference>
      <Reference URI="/word/glossary/styles.xml?ContentType=application/vnd.openxmlformats-officedocument.wordprocessingml.styles+xml">
        <DigestMethod Algorithm="http://www.w3.org/2001/04/xmlenc#sha256"/>
        <DigestValue>FPlhyrA9GIu5tlobdP9StC/QMFFHLIm6CBLjuLi+phc=</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zrmfqfQ23+c6v0OBGSc5HmH9LHXKUcRyj5+t4ZO4v38=</DigestValue>
      </Reference>
      <Reference URI="/word/header2.xml?ContentType=application/vnd.openxmlformats-officedocument.wordprocessingml.header+xml">
        <DigestMethod Algorithm="http://www.w3.org/2001/04/xmlenc#sha256"/>
        <DigestValue>VNpxxAwmutRnR9e1rVBeXisfSHShVAs5dEDZjOn8A8M=</DigestValue>
      </Reference>
      <Reference URI="/word/header3.xml?ContentType=application/vnd.openxmlformats-officedocument.wordprocessingml.header+xml">
        <DigestMethod Algorithm="http://www.w3.org/2001/04/xmlenc#sha256"/>
        <DigestValue>VRogT0NqnFVcsUSAVWSWtcj3zD3RJxaYsZJtFC2baV0=</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D7sgpbE0IZDLL5AjzQ3N8JXoLRaRMxqIgLLv42dvNOc=</DigestValue>
      </Reference>
      <Reference URI="/word/settings.xml?ContentType=application/vnd.openxmlformats-officedocument.wordprocessingml.settings+xml">
        <DigestMethod Algorithm="http://www.w3.org/2001/04/xmlenc#sha256"/>
        <DigestValue>ueYvtDPC8hStel12TDCynxztxJl/cwoAkG1/qHvycaw=</DigestValue>
      </Reference>
      <Reference URI="/word/styles.xml?ContentType=application/vnd.openxmlformats-officedocument.wordprocessingml.styles+xml">
        <DigestMethod Algorithm="http://www.w3.org/2001/04/xmlenc#sha256"/>
        <DigestValue>KQjknbuH8G1ekPcGUfHygR97iJ/ClAxDJTqnFwwt++Q=</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4R6+CInr/wXTFIZEF6UJNO/PGXNJ2fOomAK+MHb6KnM=</DigestValue>
      </Reference>
    </Manifest>
    <SignatureProperties>
      <SignatureProperty Id="idSignatureTime" Target="#idPackageSignature">
        <mdssi:SignatureTime xmlns:mdssi="http://schemas.openxmlformats.org/package/2006/digital-signature">
          <mdssi:Format>YYYY-MM-DDThh:mm:ssTZD</mdssi:Format>
          <mdssi:Value>2020-06-11T00:36:42Z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2020-06-11T00:36:42Z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sa1Rq6JLzzAm7VGWt9LEjdff2bDsb1TH91aD7AWjLpICBAnv2ZsYDzIwMjAwNjExMDAzNjU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</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</xd:EncapsulatedCRLValue>
                <xd:EncapsulatedCRLValue>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X4rRKvtMOC4TDMxPZ9J3s2v8U08=</xd:ByKey>
                  </xd:ResponderID>
                  <xd:ProducedAt>2020-06-11T00:24:12Z</xd:ProducedAt>
                </xd:OCSPIdentifier>
                <xd:DigestAlgAndValue>
                  <DigestMethod Algorithm="http://www.w3.org/2001/04/xmlenc#sha256"/>
                  <DigestValue>XAI6HUpaUaYCNiZzXf0axUgog8ua7IyRZ1cLsP9Wu40=</DigestValue>
                </xd:DigestAlgAndValue>
              </xd:OCSPRef>
            </xd:OCSPRefs>
            <xd:CRLRefs>
              <xd:CRLRef>
                <xd:DigestAlgAndValue>
                  <DigestMethod Algorithm="http://www.w3.org/2001/04/xmlenc#sha256"/>
                  <DigestValue>4k5NmmNd3USkBwZp4RwL9qd8665U/Lu8ngPcxNIJCPU=</DigestValue>
                </xd:DigestAlgAndValue>
                <xd:CRLIdentifier>
                  <xd:Issuer>CN=CA POLITICA PERSONA FISICA - COSTA RICA v2, OU=DCFD, O=MICITT, C=CR, SERIALNUMBER=CPJ-2-100-098311</xd:Issuer>
                  <xd:IssueTime>2020-05-15T17:39:22Z</xd:IssueTime>
                </xd:CRLIdentifier>
              </xd:CRLRef>
              <xd:CRLRef>
                <xd:DigestAlgAndValue>
                  <DigestMethod Algorithm="http://www.w3.org/2001/04/xmlenc#sha256"/>
                  <DigestValue>5oogyZeGbDhG0LzyS2Dt49yDLGWsgSPrJMafbH3ZacQ=</DigestValue>
                </xd:DigestAlgAndValue>
                <xd:CRLIdentifier>
                  <xd:Issuer>CN=CA RAIZ NACIONAL - COSTA RICA v2, C=CR, O=MICITT, OU=DCFD, SERIALNUMBER=CPJ-2-100-098311</xd:Issuer>
                  <xd:IssueTime>2020-05-15T17:00:18Z</xd:IssueTime>
                </xd:CRLIdentifier>
              </xd:CRLRef>
            </xd:CRLRefs>
          </xd:CompleteRevocationRefs>
          <xd:RevocationValues>
            <xd:OCSPValues>
              <xd:EncapsulatedOCSPValue>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</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</xd:EncapsulatedCRLValue>
              <xd:EncapsulatedCRLValue>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5rOV+Q8kPU7u635lebosW9zqK9KviiN4u1OTxZevzW8CBAnv2ZwYDzIwMjAwNjExMDAzNjU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</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6" ma:contentTypeDescription="Crear nuevo documento." ma:contentTypeScope="" ma:versionID="9303bbb7a954049fe7f8e13ccb76af09">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183</Value>
      <Value>63</Value>
      <Value>109</Value>
      <Value>3</Value>
      <Value>2</Value>
      <Value>1</Value>
    </TaxCatchAll>
    <OtraEntidadExterna xmlns="b875e23b-67d9-4b2e-bdec-edacbf90b326">A todas las entidades indicadas en la Resolución</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SALIENTE NORMAS</DisplayName>
        <AccountId>708</AccountId>
        <AccountType/>
      </UserInfo>
      <UserInfo>
        <DisplayName>SALIENTE DIRECTORES DE SUPERVISION</DisplayName>
        <AccountId>717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responde a ninguna referencia</NoReferencia>
    <l7effaed12754cb5ac10c41f8d7b4c94 xmlns="b875e23b-67d9-4b2e-bdec-edacbf90b326">
      <Terms xmlns="http://schemas.microsoft.com/office/infopath/2007/PartnerControls">
        <TermInfo xmlns="http://schemas.microsoft.com/office/infopath/2007/PartnerControls">
          <TermName>Resolución</TermName>
          <TermId>8250c29f-4595-4728-bcc1-a5fc6a20ed53</TermId>
        </TermInfo>
      </Terms>
    </l7effaed12754cb5ac10c41f8d7b4c94>
    <ObservacionesCorrespondencia xmlns="b875e23b-67d9-4b2e-bdec-edacbf90b326">Se envía a la Entrante de Administrativo para la respectiva publicación en el Diario Oficial La Gaceta
Resolución - Lineamientos Generales - Acuerdo SUGEF 3-06
COPIAR A:
Saliente Normas, Bancos Privados, Bancos Públicos, Cooperativas</ObservacionesCorrespondencia>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2020-06-05T17:52:00+00:00</FechaDocumento>
    <RemitenteOriginal xmlns="b875e23b-67d9-4b2e-bdec-edacbf90b326">Departamento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Área Coordinación Administrativa</TermName>
          <TermId xmlns="http://schemas.microsoft.com/office/infopath/2007/PartnerControls">39ce7748-92aa-4572-8334-49785789cb1c</TermId>
        </TermInfo>
      </Terms>
    </e78d451c341b4341be14d5956588aac4>
    <Año xmlns="b875e23b-67d9-4b2e-bdec-edacbf90b326">2020</Año>
    <AcuseRecibo xmlns="b875e23b-67d9-4b2e-bdec-edacbf90b326">No</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Resolución - Lineamientos Generales - Acuerdo SUGEF 3-06</Subject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53E74DC3-9DDA-4640-81D2-0375843C2C5C}">
  <ds:schemaRefs>
    <ds:schemaRef ds:uri="Microsoft.SharePoint.Taxonomy.ContentTypeSync"/>
  </ds:schemaRefs>
</ds:datastoreItem>
</file>

<file path=customXml/itemProps2.xml><?xml version="1.0" encoding="utf-8"?>
<ds:datastoreItem xmlns:ds="http://schemas.openxmlformats.org/officeDocument/2006/customXml" ds:itemID="{44D18743-76B6-4F8B-B2FF-01B2732E0B8E}"/>
</file>

<file path=customXml/itemProps3.xml><?xml version="1.0" encoding="utf-8"?>
<ds:datastoreItem xmlns:ds="http://schemas.openxmlformats.org/officeDocument/2006/customXml" ds:itemID="{1A6FB7B0-B425-4B89-A5C1-7E9987DC47BE}">
  <ds:schemaRefs>
    <ds:schemaRef ds:uri="http://www.w3.org/XML/1998/namespace"/>
    <ds:schemaRef ds:uri="http://purl.org/dc/dcmitype/"/>
    <ds:schemaRef ds:uri="http://schemas.microsoft.com/office/infopath/2007/PartnerControls"/>
    <ds:schemaRef ds:uri="http://purl.org/dc/elements/1.1/"/>
    <ds:schemaRef ds:uri="http://schemas.microsoft.com/office/2006/documentManagement/types"/>
    <ds:schemaRef ds:uri="b875e23b-67d9-4b2e-bdec-edacbf90b326"/>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D7C9C8F1-5065-4F94-9744-FA03DCD0EAA0}">
  <ds:schemaRefs>
    <ds:schemaRef ds:uri="http://schemas.microsoft.com/sharepoint/v3/contenttype/forms"/>
  </ds:schemaRefs>
</ds:datastoreItem>
</file>

<file path=customXml/itemProps5.xml><?xml version="1.0" encoding="utf-8"?>
<ds:datastoreItem xmlns:ds="http://schemas.openxmlformats.org/officeDocument/2006/customXml" ds:itemID="{6991B442-B051-4CD1-B3AC-1F75F84784C2}"/>
</file>

<file path=customXml/itemProps6.xml><?xml version="1.0" encoding="utf-8"?>
<ds:datastoreItem xmlns:ds="http://schemas.openxmlformats.org/officeDocument/2006/customXml" ds:itemID="{A71C68DA-3A4D-4069-BD05-276B6A07DCA8}"/>
</file>

<file path=docProps/app.xml><?xml version="1.0" encoding="utf-8"?>
<Properties xmlns="http://schemas.openxmlformats.org/officeDocument/2006/extended-properties" xmlns:vt="http://schemas.openxmlformats.org/officeDocument/2006/docPropsVTypes">
  <Template>plantillas-SGF-13-Normas</Template>
  <TotalTime>24</TotalTime>
  <Pages>4</Pages>
  <Words>926</Words>
  <Characters>5096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6010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ROJAS CORDERO CARLOS ALBERTO</dc:creator>
  <cp:keywords/>
  <dc:description/>
  <cp:lastModifiedBy>VARGAS LEAL MARIA GABRIELA</cp:lastModifiedBy>
  <cp:revision>3</cp:revision>
  <dcterms:created xsi:type="dcterms:W3CDTF">2020-06-05T16:07:00Z</dcterms:created>
  <dcterms:modified xsi:type="dcterms:W3CDTF">2020-06-08T22:32:00Z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183;#Resolución|8250c29f-4595-4728-bcc1-a5fc6a20ed53</vt:lpwstr>
  </property>
  <property fmtid="{D5CDD505-2E9C-101B-9397-08002B2CF9AE}" pid="5" name="Unidad de Destino">
    <vt:lpwstr>109;#Área Coordinación Administrativa|39ce7748-92aa-4572-8334-49785789cb1c</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Order">
    <vt:r8>54100</vt:r8>
  </property>
  <property fmtid="{D5CDD505-2E9C-101B-9397-08002B2CF9AE}" pid="12" name="_dlc_policyId">
    <vt:lpwstr>0x010100E97154E09FCE6A4E8EAEBD5C54DD1AE4|-1695030217</vt:lpwstr>
  </property>
  <property fmtid="{D5CDD505-2E9C-101B-9397-08002B2CF9AE}" pid="13"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4" name="Confidencialidad">
    <vt:lpwstr>Público|99c2402f-8ec3-4ca8-8024-be52e4e7f629</vt:lpwstr>
  </property>
  <property fmtid="{D5CDD505-2E9C-101B-9397-08002B2CF9AE}" pid="15" name="WorkflowChangePath">
    <vt:lpwstr>546dfbb4-8cc0-45d4-a64c-4db3fdd3f8fe,5;ab7952a0-1ae5-4b26-8d7a-be63a467751b,8;</vt:lpwstr>
  </property>
</Properties>
</file>