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glossary/webSettings.xml" ContentType="application/vnd.openxmlformats-officedocument.wordprocessingml.webSetting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AFDB8A" w14:textId="77777777" w:rsidR="003554C5" w:rsidRPr="002018D1" w:rsidRDefault="003C7AA7" w:rsidP="003C7AA7">
      <w:pPr>
        <w:pStyle w:val="Texto0"/>
        <w:spacing w:before="0" w:after="0" w:line="240" w:lineRule="auto"/>
        <w:jc w:val="center"/>
        <w:rPr>
          <w:rFonts w:asciiTheme="majorHAnsi" w:hAnsiTheme="majorHAnsi"/>
          <w:b/>
          <w:sz w:val="24"/>
        </w:rPr>
      </w:pPr>
      <w:r w:rsidRPr="002018D1">
        <w:rPr>
          <w:rFonts w:asciiTheme="majorHAnsi" w:hAnsiTheme="majorHAnsi"/>
          <w:b/>
          <w:sz w:val="24"/>
        </w:rPr>
        <w:t>Resolución</w:t>
      </w:r>
    </w:p>
    <w:sdt>
      <w:sdtPr>
        <w:rPr>
          <w:rFonts w:asciiTheme="majorHAnsi" w:hAnsiTheme="majorHAnsi"/>
          <w:sz w:val="24"/>
        </w:rPr>
        <w:alias w:val="Consecutivo"/>
        <w:tag w:val="Consecutivo"/>
        <w:id w:val="2052717023"/>
        <w:placeholder>
          <w:docPart w:val="2CC4184D94014F458168E797535A32F5"/>
        </w:placeholder>
        <w:text/>
      </w:sdtPr>
      <w:sdtEndPr/>
      <w:sdtContent>
        <w:p w14:paraId="2F85F8ED" w14:textId="77777777" w:rsidR="00E0013C" w:rsidRPr="002018D1" w:rsidRDefault="00DB7D64" w:rsidP="003C7AA7">
          <w:pPr>
            <w:tabs>
              <w:tab w:val="left" w:pos="2843"/>
            </w:tabs>
            <w:spacing w:line="240" w:lineRule="auto"/>
            <w:jc w:val="center"/>
            <w:rPr>
              <w:rFonts w:asciiTheme="majorHAnsi" w:hAnsiTheme="majorHAnsi"/>
              <w:sz w:val="24"/>
            </w:rPr>
          </w:pPr>
          <w:r>
            <w:t>SGF-1528-2018</w:t>
          </w:r>
        </w:p>
      </w:sdtContent>
    </w:sdt>
    <w:p w14:paraId="41AB73FE" w14:textId="77777777" w:rsidR="002A14D5" w:rsidRPr="002018D1" w:rsidRDefault="00FC2242" w:rsidP="003C7AA7">
      <w:pPr>
        <w:tabs>
          <w:tab w:val="left" w:pos="2843"/>
        </w:tabs>
        <w:spacing w:line="240" w:lineRule="auto"/>
        <w:jc w:val="center"/>
        <w:rPr>
          <w:rFonts w:asciiTheme="majorHAnsi" w:hAnsiTheme="majorHAnsi"/>
          <w:sz w:val="24"/>
        </w:rPr>
      </w:pPr>
      <w:sdt>
        <w:sdtPr>
          <w:rPr>
            <w:rFonts w:asciiTheme="majorHAnsi" w:hAnsiTheme="majorHAnsi"/>
            <w:sz w:val="24"/>
          </w:rPr>
          <w:alias w:val="Confidencialidad"/>
          <w:tag w:val="Confidencialidad"/>
          <w:id w:val="1447896894"/>
          <w:placeholder>
            <w:docPart w:val="76503476DBAF4E7583A138728AAA529C"/>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3C7AA7" w:rsidRPr="002018D1">
            <w:rPr>
              <w:rFonts w:asciiTheme="majorHAnsi" w:hAnsiTheme="majorHAnsi"/>
              <w:sz w:val="24"/>
            </w:rPr>
            <w:t>SGF-CONFIDENCIAL</w:t>
          </w:r>
        </w:sdtContent>
      </w:sdt>
    </w:p>
    <w:p w14:paraId="698DA439" w14:textId="421804BE" w:rsidR="003C7AA7" w:rsidRPr="002018D1" w:rsidRDefault="00935166" w:rsidP="003C7AA7">
      <w:pPr>
        <w:tabs>
          <w:tab w:val="left" w:pos="2843"/>
        </w:tabs>
        <w:spacing w:line="240" w:lineRule="auto"/>
        <w:jc w:val="center"/>
        <w:rPr>
          <w:rFonts w:asciiTheme="majorHAnsi" w:hAnsiTheme="majorHAnsi"/>
          <w:sz w:val="24"/>
        </w:rPr>
      </w:pPr>
      <w:r>
        <w:rPr>
          <w:rFonts w:asciiTheme="majorHAnsi" w:hAnsiTheme="majorHAnsi"/>
          <w:sz w:val="24"/>
        </w:rPr>
        <w:t>2</w:t>
      </w:r>
      <w:r w:rsidR="00FE1D6F">
        <w:rPr>
          <w:rFonts w:asciiTheme="majorHAnsi" w:hAnsiTheme="majorHAnsi"/>
          <w:sz w:val="24"/>
        </w:rPr>
        <w:t>5</w:t>
      </w:r>
      <w:r w:rsidR="003C7AA7" w:rsidRPr="002018D1">
        <w:rPr>
          <w:rFonts w:asciiTheme="majorHAnsi" w:hAnsiTheme="majorHAnsi"/>
          <w:sz w:val="24"/>
        </w:rPr>
        <w:t xml:space="preserve"> de mayo del 2018</w:t>
      </w:r>
    </w:p>
    <w:p w14:paraId="79E20D73" w14:textId="77777777" w:rsidR="003554C5" w:rsidRPr="002018D1" w:rsidRDefault="008F1461" w:rsidP="003C7AA7">
      <w:pPr>
        <w:tabs>
          <w:tab w:val="left" w:pos="2843"/>
        </w:tabs>
        <w:spacing w:line="240" w:lineRule="auto"/>
        <w:rPr>
          <w:rFonts w:asciiTheme="majorHAnsi" w:hAnsiTheme="majorHAnsi"/>
          <w:sz w:val="24"/>
        </w:rPr>
      </w:pPr>
      <w:r w:rsidRPr="002018D1">
        <w:rPr>
          <w:rFonts w:asciiTheme="majorHAnsi" w:hAnsiTheme="majorHAnsi"/>
          <w:sz w:val="24"/>
        </w:rPr>
        <w:tab/>
      </w:r>
    </w:p>
    <w:p w14:paraId="702AE072" w14:textId="77777777" w:rsidR="003C7AA7" w:rsidRPr="002018D1" w:rsidRDefault="003C7AA7" w:rsidP="003C7AA7">
      <w:pPr>
        <w:widowControl w:val="0"/>
        <w:spacing w:line="240" w:lineRule="auto"/>
        <w:ind w:left="34" w:right="86"/>
        <w:rPr>
          <w:rFonts w:asciiTheme="majorHAnsi" w:hAnsiTheme="majorHAnsi"/>
          <w:b/>
          <w:sz w:val="24"/>
          <w:lang w:val="es-CR"/>
        </w:rPr>
      </w:pPr>
      <w:r w:rsidRPr="002018D1">
        <w:rPr>
          <w:rFonts w:asciiTheme="majorHAnsi" w:hAnsiTheme="majorHAnsi"/>
          <w:b/>
          <w:sz w:val="24"/>
          <w:lang w:val="es-CR"/>
        </w:rPr>
        <w:t>DIRIGIDA A:</w:t>
      </w:r>
    </w:p>
    <w:p w14:paraId="37F1765E" w14:textId="77777777" w:rsidR="003C7AA7" w:rsidRPr="002018D1" w:rsidRDefault="003C7AA7" w:rsidP="003C7AA7">
      <w:pPr>
        <w:pStyle w:val="NormalWeb"/>
        <w:spacing w:before="0" w:beforeAutospacing="0" w:after="0" w:afterAutospacing="0"/>
        <w:jc w:val="both"/>
        <w:rPr>
          <w:rFonts w:asciiTheme="majorHAnsi" w:hAnsiTheme="majorHAnsi"/>
          <w:b/>
          <w:sz w:val="24"/>
          <w:szCs w:val="24"/>
        </w:rPr>
      </w:pPr>
    </w:p>
    <w:p w14:paraId="4556BEDA" w14:textId="5E10EC2A" w:rsidR="003C7AA7" w:rsidRPr="002018D1" w:rsidRDefault="003C7AA7" w:rsidP="003C7AA7">
      <w:pPr>
        <w:widowControl w:val="0"/>
        <w:numPr>
          <w:ilvl w:val="0"/>
          <w:numId w:val="16"/>
        </w:numPr>
        <w:spacing w:after="200" w:line="240" w:lineRule="auto"/>
        <w:ind w:left="567" w:right="86" w:hanging="567"/>
        <w:contextualSpacing/>
        <w:rPr>
          <w:rFonts w:asciiTheme="majorHAnsi" w:hAnsiTheme="majorHAnsi"/>
          <w:b/>
          <w:sz w:val="24"/>
          <w:lang w:val="es-CR" w:eastAsia="es-ES"/>
        </w:rPr>
      </w:pPr>
      <w:r w:rsidRPr="002018D1">
        <w:rPr>
          <w:rFonts w:asciiTheme="majorHAnsi" w:hAnsiTheme="majorHAnsi"/>
          <w:sz w:val="24"/>
        </w:rPr>
        <w:t>Banco Central de Costa Rica</w:t>
      </w:r>
    </w:p>
    <w:p w14:paraId="2BE48EB5" w14:textId="77777777" w:rsidR="003C7AA7" w:rsidRPr="002018D1" w:rsidRDefault="003C7AA7" w:rsidP="003C7AA7">
      <w:pPr>
        <w:widowControl w:val="0"/>
        <w:numPr>
          <w:ilvl w:val="0"/>
          <w:numId w:val="16"/>
        </w:numPr>
        <w:spacing w:after="200" w:line="240" w:lineRule="auto"/>
        <w:ind w:left="567" w:right="86" w:hanging="567"/>
        <w:contextualSpacing/>
        <w:rPr>
          <w:rFonts w:asciiTheme="majorHAnsi" w:hAnsiTheme="majorHAnsi"/>
          <w:b/>
          <w:sz w:val="24"/>
          <w:lang w:val="es-CR" w:eastAsia="es-ES"/>
        </w:rPr>
      </w:pPr>
      <w:r w:rsidRPr="002018D1">
        <w:rPr>
          <w:rFonts w:asciiTheme="majorHAnsi" w:hAnsiTheme="majorHAnsi"/>
          <w:sz w:val="24"/>
        </w:rPr>
        <w:t>Bancos públicos, Banco Popular y de Desarrollo Comunal, Banco Hipotecario de la Vivienda, Caja de Ahorro y Préstamo de la Ande.</w:t>
      </w:r>
    </w:p>
    <w:p w14:paraId="7A43839A" w14:textId="77777777" w:rsidR="003C7AA7" w:rsidRPr="002018D1" w:rsidRDefault="003C7AA7" w:rsidP="003C7AA7">
      <w:pPr>
        <w:widowControl w:val="0"/>
        <w:numPr>
          <w:ilvl w:val="0"/>
          <w:numId w:val="16"/>
        </w:numPr>
        <w:spacing w:after="200" w:line="240" w:lineRule="auto"/>
        <w:ind w:left="567" w:right="86" w:hanging="567"/>
        <w:contextualSpacing/>
        <w:rPr>
          <w:rFonts w:asciiTheme="majorHAnsi" w:hAnsiTheme="majorHAnsi"/>
          <w:b/>
          <w:sz w:val="24"/>
          <w:lang w:val="es-CR" w:eastAsia="es-ES"/>
        </w:rPr>
      </w:pPr>
      <w:r w:rsidRPr="002018D1">
        <w:rPr>
          <w:rFonts w:asciiTheme="majorHAnsi" w:hAnsiTheme="majorHAnsi"/>
          <w:sz w:val="24"/>
        </w:rPr>
        <w:t>Grupos financieros, bancos privados.</w:t>
      </w:r>
    </w:p>
    <w:p w14:paraId="0B1CA096" w14:textId="77777777" w:rsidR="003C7AA7" w:rsidRPr="002018D1" w:rsidRDefault="003C7AA7" w:rsidP="003C7AA7">
      <w:pPr>
        <w:widowControl w:val="0"/>
        <w:numPr>
          <w:ilvl w:val="0"/>
          <w:numId w:val="16"/>
        </w:numPr>
        <w:spacing w:after="200" w:line="240" w:lineRule="auto"/>
        <w:ind w:left="567" w:right="86" w:hanging="567"/>
        <w:contextualSpacing/>
        <w:rPr>
          <w:rFonts w:asciiTheme="majorHAnsi" w:hAnsiTheme="majorHAnsi"/>
          <w:b/>
          <w:sz w:val="24"/>
          <w:lang w:val="es-CR" w:eastAsia="es-ES"/>
        </w:rPr>
      </w:pPr>
      <w:r w:rsidRPr="002018D1">
        <w:rPr>
          <w:rFonts w:asciiTheme="majorHAnsi" w:hAnsiTheme="majorHAnsi"/>
          <w:sz w:val="24"/>
        </w:rPr>
        <w:t>Federación de Cooperativas de Ahorro y Crédito FEDEAC R.L.</w:t>
      </w:r>
    </w:p>
    <w:p w14:paraId="644954DC" w14:textId="77777777" w:rsidR="003C7AA7" w:rsidRPr="002018D1" w:rsidRDefault="003C7AA7" w:rsidP="003C7AA7">
      <w:pPr>
        <w:widowControl w:val="0"/>
        <w:numPr>
          <w:ilvl w:val="0"/>
          <w:numId w:val="16"/>
        </w:numPr>
        <w:spacing w:after="200" w:line="240" w:lineRule="auto"/>
        <w:ind w:left="567" w:right="86" w:hanging="567"/>
        <w:contextualSpacing/>
        <w:rPr>
          <w:rFonts w:asciiTheme="majorHAnsi" w:hAnsiTheme="majorHAnsi"/>
          <w:b/>
          <w:sz w:val="24"/>
          <w:lang w:val="es-CR" w:eastAsia="es-ES"/>
        </w:rPr>
      </w:pPr>
      <w:r w:rsidRPr="002018D1">
        <w:rPr>
          <w:rFonts w:asciiTheme="majorHAnsi" w:hAnsiTheme="majorHAnsi"/>
          <w:sz w:val="24"/>
        </w:rPr>
        <w:t>Federación de Cooperativas de Ahorro y Crédito FECOOPSE R.L.</w:t>
      </w:r>
    </w:p>
    <w:p w14:paraId="6C4968DD" w14:textId="77777777" w:rsidR="003C7AA7" w:rsidRPr="002018D1" w:rsidRDefault="003C7AA7" w:rsidP="003C7AA7">
      <w:pPr>
        <w:widowControl w:val="0"/>
        <w:numPr>
          <w:ilvl w:val="0"/>
          <w:numId w:val="16"/>
        </w:numPr>
        <w:spacing w:after="200" w:line="240" w:lineRule="auto"/>
        <w:ind w:left="567" w:right="86" w:hanging="567"/>
        <w:contextualSpacing/>
        <w:rPr>
          <w:rFonts w:asciiTheme="majorHAnsi" w:hAnsiTheme="majorHAnsi"/>
          <w:b/>
          <w:sz w:val="24"/>
          <w:lang w:val="es-CR" w:eastAsia="es-ES"/>
        </w:rPr>
      </w:pPr>
      <w:r w:rsidRPr="002018D1">
        <w:rPr>
          <w:rFonts w:asciiTheme="majorHAnsi" w:hAnsiTheme="majorHAnsi"/>
          <w:sz w:val="24"/>
        </w:rPr>
        <w:t>Cooperativas de ahorro y crédito.</w:t>
      </w:r>
    </w:p>
    <w:p w14:paraId="5748EA88" w14:textId="77777777" w:rsidR="003C7AA7" w:rsidRPr="002018D1" w:rsidRDefault="003C7AA7" w:rsidP="003C7AA7">
      <w:pPr>
        <w:widowControl w:val="0"/>
        <w:numPr>
          <w:ilvl w:val="0"/>
          <w:numId w:val="16"/>
        </w:numPr>
        <w:spacing w:after="200" w:line="240" w:lineRule="auto"/>
        <w:ind w:left="567" w:right="86" w:hanging="567"/>
        <w:contextualSpacing/>
        <w:rPr>
          <w:rFonts w:asciiTheme="majorHAnsi" w:hAnsiTheme="majorHAnsi"/>
          <w:b/>
          <w:sz w:val="24"/>
          <w:lang w:val="es-CR" w:eastAsia="es-ES"/>
        </w:rPr>
      </w:pPr>
      <w:r w:rsidRPr="002018D1">
        <w:rPr>
          <w:rFonts w:asciiTheme="majorHAnsi" w:hAnsiTheme="majorHAnsi"/>
          <w:sz w:val="24"/>
        </w:rPr>
        <w:t>Asociación Bancaria Costarricense</w:t>
      </w:r>
    </w:p>
    <w:p w14:paraId="235A542D" w14:textId="77777777" w:rsidR="003C7AA7" w:rsidRPr="002018D1" w:rsidRDefault="003C7AA7" w:rsidP="003C7AA7">
      <w:pPr>
        <w:widowControl w:val="0"/>
        <w:numPr>
          <w:ilvl w:val="0"/>
          <w:numId w:val="16"/>
        </w:numPr>
        <w:spacing w:after="200" w:line="240" w:lineRule="auto"/>
        <w:ind w:left="567" w:right="86" w:hanging="567"/>
        <w:contextualSpacing/>
        <w:rPr>
          <w:rFonts w:asciiTheme="majorHAnsi" w:hAnsiTheme="majorHAnsi"/>
          <w:b/>
          <w:sz w:val="24"/>
          <w:lang w:val="es-CR" w:eastAsia="es-ES"/>
        </w:rPr>
      </w:pPr>
      <w:r w:rsidRPr="002018D1">
        <w:rPr>
          <w:rFonts w:asciiTheme="majorHAnsi" w:hAnsiTheme="majorHAnsi"/>
          <w:sz w:val="24"/>
        </w:rPr>
        <w:t>Cámara de Bancos e Instituciones Financieras de Costa Rica</w:t>
      </w:r>
    </w:p>
    <w:p w14:paraId="5B5C03FC" w14:textId="77777777" w:rsidR="003C7AA7" w:rsidRPr="002018D1" w:rsidRDefault="003C7AA7" w:rsidP="003C7AA7">
      <w:pPr>
        <w:widowControl w:val="0"/>
        <w:numPr>
          <w:ilvl w:val="0"/>
          <w:numId w:val="16"/>
        </w:numPr>
        <w:spacing w:after="200" w:line="240" w:lineRule="auto"/>
        <w:ind w:left="567" w:right="86" w:hanging="567"/>
        <w:contextualSpacing/>
        <w:rPr>
          <w:rFonts w:asciiTheme="majorHAnsi" w:hAnsiTheme="majorHAnsi"/>
          <w:b/>
          <w:sz w:val="24"/>
          <w:lang w:val="es-CR" w:eastAsia="es-ES"/>
        </w:rPr>
      </w:pPr>
      <w:r w:rsidRPr="002018D1">
        <w:rPr>
          <w:rFonts w:asciiTheme="majorHAnsi" w:hAnsiTheme="majorHAnsi"/>
          <w:sz w:val="24"/>
        </w:rPr>
        <w:t>Federación de Mutuales de Ahorro y Préstamo de Costa Rica</w:t>
      </w:r>
    </w:p>
    <w:p w14:paraId="7411B8E1" w14:textId="77777777" w:rsidR="003C7AA7" w:rsidRPr="002018D1" w:rsidRDefault="003C7AA7" w:rsidP="003C7AA7">
      <w:pPr>
        <w:widowControl w:val="0"/>
        <w:numPr>
          <w:ilvl w:val="0"/>
          <w:numId w:val="16"/>
        </w:numPr>
        <w:spacing w:after="200" w:line="240" w:lineRule="auto"/>
        <w:ind w:left="567" w:right="86" w:hanging="567"/>
        <w:contextualSpacing/>
        <w:rPr>
          <w:rFonts w:asciiTheme="majorHAnsi" w:hAnsiTheme="majorHAnsi"/>
          <w:b/>
          <w:sz w:val="24"/>
          <w:lang w:val="es-CR" w:eastAsia="es-ES"/>
        </w:rPr>
      </w:pPr>
      <w:r w:rsidRPr="002018D1">
        <w:rPr>
          <w:rFonts w:asciiTheme="majorHAnsi" w:hAnsiTheme="majorHAnsi"/>
          <w:sz w:val="24"/>
        </w:rPr>
        <w:t>Secretaría Técnica del Sistema de Banca para el Desarrollo</w:t>
      </w:r>
    </w:p>
    <w:p w14:paraId="66EE83E0" w14:textId="77777777" w:rsidR="003C7AA7" w:rsidRPr="002018D1" w:rsidRDefault="003C7AA7" w:rsidP="003C7AA7">
      <w:pPr>
        <w:spacing w:before="120" w:after="120" w:line="240" w:lineRule="auto"/>
        <w:ind w:left="33"/>
        <w:rPr>
          <w:rFonts w:asciiTheme="majorHAnsi" w:hAnsiTheme="majorHAnsi"/>
          <w:b/>
          <w:sz w:val="24"/>
        </w:rPr>
      </w:pPr>
    </w:p>
    <w:p w14:paraId="67461731" w14:textId="3F7B619A" w:rsidR="000E27A9" w:rsidRPr="002018D1" w:rsidRDefault="000E27A9" w:rsidP="003C7AA7">
      <w:pPr>
        <w:spacing w:before="120" w:after="120" w:line="240" w:lineRule="auto"/>
        <w:ind w:left="33"/>
        <w:rPr>
          <w:rFonts w:asciiTheme="majorHAnsi" w:hAnsiTheme="majorHAnsi"/>
          <w:sz w:val="24"/>
        </w:rPr>
      </w:pPr>
      <w:r w:rsidRPr="002018D1">
        <w:rPr>
          <w:rFonts w:asciiTheme="majorHAnsi" w:hAnsiTheme="majorHAnsi"/>
          <w:b/>
          <w:sz w:val="24"/>
        </w:rPr>
        <w:t xml:space="preserve">Asunto: </w:t>
      </w:r>
      <w:bookmarkStart w:id="0" w:name="_GoBack"/>
      <w:r w:rsidR="00FC2242" w:rsidRPr="00FC2242">
        <w:rPr>
          <w:rFonts w:asciiTheme="majorHAnsi" w:hAnsiTheme="majorHAnsi"/>
          <w:sz w:val="24"/>
        </w:rPr>
        <w:t>Envío en consulta m</w:t>
      </w:r>
      <w:r w:rsidRPr="00FC2242">
        <w:rPr>
          <w:rFonts w:asciiTheme="majorHAnsi" w:hAnsiTheme="majorHAnsi"/>
          <w:sz w:val="24"/>
        </w:rPr>
        <w:t>odificación</w:t>
      </w:r>
      <w:r w:rsidRPr="002018D1">
        <w:rPr>
          <w:rFonts w:asciiTheme="majorHAnsi" w:hAnsiTheme="majorHAnsi"/>
          <w:sz w:val="24"/>
        </w:rPr>
        <w:t xml:space="preserve"> </w:t>
      </w:r>
      <w:bookmarkEnd w:id="0"/>
      <w:r w:rsidRPr="002018D1">
        <w:rPr>
          <w:rFonts w:asciiTheme="majorHAnsi" w:hAnsiTheme="majorHAnsi"/>
          <w:sz w:val="24"/>
        </w:rPr>
        <w:t>a los Lineamientos Generales de los Acuerdos SUGEF 1-05 y SUGEF 15-16</w:t>
      </w:r>
    </w:p>
    <w:p w14:paraId="06F4A572" w14:textId="77777777" w:rsidR="000E27A9" w:rsidRPr="002018D1" w:rsidRDefault="000E27A9" w:rsidP="003C7AA7">
      <w:pPr>
        <w:spacing w:before="120" w:after="120" w:line="240" w:lineRule="auto"/>
        <w:ind w:left="33"/>
        <w:rPr>
          <w:rFonts w:asciiTheme="majorHAnsi" w:hAnsiTheme="majorHAnsi"/>
          <w:b/>
          <w:sz w:val="24"/>
        </w:rPr>
      </w:pPr>
    </w:p>
    <w:p w14:paraId="727BB671" w14:textId="77777777" w:rsidR="003C7AA7" w:rsidRPr="002018D1" w:rsidRDefault="003C7AA7" w:rsidP="003C7AA7">
      <w:pPr>
        <w:spacing w:before="120" w:after="120" w:line="240" w:lineRule="auto"/>
        <w:ind w:left="33"/>
        <w:rPr>
          <w:rFonts w:asciiTheme="majorHAnsi" w:hAnsiTheme="majorHAnsi"/>
          <w:b/>
          <w:sz w:val="24"/>
        </w:rPr>
      </w:pPr>
      <w:r w:rsidRPr="002018D1">
        <w:rPr>
          <w:rFonts w:asciiTheme="majorHAnsi" w:hAnsiTheme="majorHAnsi"/>
          <w:b/>
          <w:sz w:val="24"/>
        </w:rPr>
        <w:t>El Superintendente General de Entidades Financieras,</w:t>
      </w:r>
    </w:p>
    <w:p w14:paraId="0F12F774" w14:textId="77777777" w:rsidR="003C7AA7" w:rsidRPr="002018D1" w:rsidRDefault="003C7AA7" w:rsidP="003C7AA7">
      <w:pPr>
        <w:spacing w:before="120" w:after="120" w:line="240" w:lineRule="auto"/>
        <w:ind w:left="33"/>
        <w:rPr>
          <w:rFonts w:asciiTheme="majorHAnsi" w:hAnsiTheme="majorHAnsi"/>
          <w:b/>
          <w:sz w:val="24"/>
        </w:rPr>
      </w:pPr>
    </w:p>
    <w:p w14:paraId="65ABCDEB" w14:textId="77777777" w:rsidR="003C7AA7" w:rsidRPr="002018D1" w:rsidRDefault="003C7AA7" w:rsidP="003C7AA7">
      <w:pPr>
        <w:spacing w:before="120" w:after="120" w:line="240" w:lineRule="auto"/>
        <w:ind w:left="33"/>
        <w:rPr>
          <w:rFonts w:asciiTheme="majorHAnsi" w:hAnsiTheme="majorHAnsi"/>
          <w:sz w:val="24"/>
        </w:rPr>
      </w:pPr>
      <w:r w:rsidRPr="002018D1">
        <w:rPr>
          <w:rFonts w:asciiTheme="majorHAnsi" w:hAnsiTheme="majorHAnsi"/>
          <w:b/>
          <w:sz w:val="24"/>
        </w:rPr>
        <w:t>Considerando que</w:t>
      </w:r>
      <w:r w:rsidRPr="002018D1">
        <w:rPr>
          <w:rFonts w:asciiTheme="majorHAnsi" w:hAnsiTheme="majorHAnsi"/>
          <w:sz w:val="24"/>
        </w:rPr>
        <w:t>:</w:t>
      </w:r>
    </w:p>
    <w:p w14:paraId="0B0793BB" w14:textId="77777777" w:rsidR="003C7AA7" w:rsidRPr="002018D1" w:rsidRDefault="003C7AA7" w:rsidP="003C7AA7">
      <w:pPr>
        <w:pStyle w:val="Prrafodelista"/>
        <w:numPr>
          <w:ilvl w:val="0"/>
          <w:numId w:val="14"/>
        </w:numPr>
        <w:spacing w:before="120" w:after="120" w:line="240" w:lineRule="auto"/>
        <w:contextualSpacing w:val="0"/>
        <w:jc w:val="both"/>
        <w:rPr>
          <w:rFonts w:asciiTheme="majorHAnsi" w:hAnsiTheme="majorHAnsi"/>
          <w:sz w:val="24"/>
          <w:szCs w:val="24"/>
        </w:rPr>
      </w:pPr>
      <w:r w:rsidRPr="002018D1">
        <w:rPr>
          <w:rFonts w:asciiTheme="majorHAnsi" w:hAnsiTheme="majorHAnsi"/>
          <w:sz w:val="24"/>
          <w:szCs w:val="24"/>
        </w:rPr>
        <w:t>Mediante Artículo 7, del Acta de la Sesión 540-2005, celebrada el 24 de noviembre del 2005, fue aprobado el Acuerdo SUGEF 1-05 “</w:t>
      </w:r>
      <w:r w:rsidRPr="002018D1">
        <w:rPr>
          <w:rFonts w:asciiTheme="majorHAnsi" w:hAnsiTheme="majorHAnsi"/>
          <w:i/>
          <w:sz w:val="24"/>
          <w:szCs w:val="24"/>
        </w:rPr>
        <w:t>Reglamento para la calificación de deudores</w:t>
      </w:r>
      <w:r w:rsidRPr="002018D1">
        <w:rPr>
          <w:rFonts w:asciiTheme="majorHAnsi" w:hAnsiTheme="majorHAnsi"/>
          <w:sz w:val="24"/>
          <w:szCs w:val="24"/>
        </w:rPr>
        <w:t>”, por parte del Consejo Nacional de Supervisión del Sistema Financiero. Dicho Reglamento fue publicado en el Diario Oficial La Gaceta N° 238 del viernes 9 de diciembre del 2005 y entró en vigencia a partir del 9 de octubre del 2006.</w:t>
      </w:r>
    </w:p>
    <w:p w14:paraId="3CBB1ADD" w14:textId="77777777" w:rsidR="003C7AA7" w:rsidRPr="002018D1" w:rsidRDefault="003C7AA7" w:rsidP="003C7AA7">
      <w:pPr>
        <w:pStyle w:val="Prrafodelista"/>
        <w:numPr>
          <w:ilvl w:val="0"/>
          <w:numId w:val="14"/>
        </w:numPr>
        <w:spacing w:before="120" w:after="120" w:line="240" w:lineRule="auto"/>
        <w:contextualSpacing w:val="0"/>
        <w:jc w:val="both"/>
        <w:rPr>
          <w:rFonts w:asciiTheme="majorHAnsi" w:hAnsiTheme="majorHAnsi"/>
          <w:sz w:val="24"/>
          <w:szCs w:val="24"/>
        </w:rPr>
      </w:pPr>
      <w:r w:rsidRPr="002018D1">
        <w:rPr>
          <w:rFonts w:asciiTheme="majorHAnsi" w:hAnsiTheme="majorHAnsi"/>
          <w:sz w:val="24"/>
          <w:szCs w:val="24"/>
        </w:rPr>
        <w:t>Mediante acta de la sesión 1251-2016 Articulo 12, celebrada el 10 de mayo del 2016, fue aprobado el Acuerdo SUGEF 15-16 “Reglamento sobre gestión y evaluación del riesgo de crédito para el Sistema de Banca para el Desarrollo”. Dicho Reglamento fue publicado en el Alcance No. 97 del 14 de junio del 2016, del Diario Oficial La Gaceta No.114.</w:t>
      </w:r>
    </w:p>
    <w:p w14:paraId="09A3F6A2" w14:textId="77777777" w:rsidR="007427BA" w:rsidRPr="002018D1" w:rsidRDefault="003C7AA7" w:rsidP="002018D1">
      <w:pPr>
        <w:pStyle w:val="Prrafodelista"/>
        <w:numPr>
          <w:ilvl w:val="0"/>
          <w:numId w:val="14"/>
        </w:numPr>
        <w:spacing w:before="120" w:after="120" w:line="240" w:lineRule="auto"/>
        <w:contextualSpacing w:val="0"/>
        <w:jc w:val="both"/>
        <w:rPr>
          <w:rFonts w:asciiTheme="majorHAnsi" w:hAnsiTheme="majorHAnsi"/>
          <w:sz w:val="24"/>
        </w:rPr>
      </w:pPr>
      <w:r w:rsidRPr="002018D1">
        <w:rPr>
          <w:rFonts w:asciiTheme="majorHAnsi" w:hAnsiTheme="majorHAnsi"/>
          <w:sz w:val="24"/>
          <w:szCs w:val="24"/>
        </w:rPr>
        <w:t xml:space="preserve">Los Acuerdos SUGEF 1-05 y 15-16 establecen el marco metodológico que deben aplicar las entidades supervisadas por la SUGEF, con el propósito de </w:t>
      </w:r>
      <w:r w:rsidRPr="002018D1">
        <w:rPr>
          <w:rFonts w:asciiTheme="majorHAnsi" w:hAnsiTheme="majorHAnsi"/>
          <w:sz w:val="24"/>
          <w:szCs w:val="24"/>
        </w:rPr>
        <w:lastRenderedPageBreak/>
        <w:t>cuantificar el riesgo de crédito de los deudores y constituir las estimaciones correspondientes.</w:t>
      </w:r>
    </w:p>
    <w:p w14:paraId="1149DD57" w14:textId="5C804816" w:rsidR="007427BA" w:rsidRPr="002018D1" w:rsidRDefault="007427BA" w:rsidP="002018D1">
      <w:pPr>
        <w:pStyle w:val="Prrafodelista"/>
        <w:numPr>
          <w:ilvl w:val="0"/>
          <w:numId w:val="14"/>
        </w:numPr>
        <w:spacing w:before="120" w:after="120" w:line="240" w:lineRule="auto"/>
        <w:contextualSpacing w:val="0"/>
        <w:jc w:val="both"/>
        <w:rPr>
          <w:rFonts w:asciiTheme="majorHAnsi" w:hAnsiTheme="majorHAnsi"/>
          <w:sz w:val="24"/>
        </w:rPr>
      </w:pPr>
      <w:r w:rsidRPr="002018D1">
        <w:rPr>
          <w:rFonts w:asciiTheme="majorHAnsi" w:hAnsiTheme="majorHAnsi"/>
          <w:sz w:val="24"/>
        </w:rPr>
        <w:t xml:space="preserve">El Consejo Nacional de Supervisión del Sistema Financiero mediante el artículo </w:t>
      </w:r>
      <w:r w:rsidR="002018D1">
        <w:rPr>
          <w:rFonts w:asciiTheme="majorHAnsi" w:hAnsiTheme="majorHAnsi"/>
          <w:sz w:val="24"/>
        </w:rPr>
        <w:t>13</w:t>
      </w:r>
      <w:r w:rsidRPr="002018D1">
        <w:rPr>
          <w:rFonts w:asciiTheme="majorHAnsi" w:hAnsiTheme="majorHAnsi"/>
          <w:sz w:val="24"/>
        </w:rPr>
        <w:t xml:space="preserve"> del acta de la Sesión </w:t>
      </w:r>
      <w:r w:rsidR="002018D1">
        <w:rPr>
          <w:rFonts w:asciiTheme="majorHAnsi" w:hAnsiTheme="majorHAnsi"/>
          <w:sz w:val="24"/>
        </w:rPr>
        <w:t>1416</w:t>
      </w:r>
      <w:r w:rsidRPr="002018D1">
        <w:rPr>
          <w:rFonts w:asciiTheme="majorHAnsi" w:hAnsiTheme="majorHAnsi"/>
          <w:sz w:val="24"/>
        </w:rPr>
        <w:t xml:space="preserve">-2018 celebrada el </w:t>
      </w:r>
      <w:r w:rsidR="002018D1">
        <w:rPr>
          <w:rFonts w:asciiTheme="majorHAnsi" w:hAnsiTheme="majorHAnsi"/>
          <w:sz w:val="24"/>
        </w:rPr>
        <w:t xml:space="preserve">15 </w:t>
      </w:r>
      <w:r w:rsidRPr="002018D1">
        <w:rPr>
          <w:rFonts w:asciiTheme="majorHAnsi" w:hAnsiTheme="majorHAnsi"/>
          <w:sz w:val="24"/>
        </w:rPr>
        <w:t xml:space="preserve">de mayo del 2018, aprobó la modificación </w:t>
      </w:r>
      <w:r w:rsidR="000A5CEA" w:rsidRPr="002018D1">
        <w:rPr>
          <w:rFonts w:asciiTheme="majorHAnsi" w:hAnsiTheme="majorHAnsi"/>
          <w:sz w:val="24"/>
        </w:rPr>
        <w:t>a</w:t>
      </w:r>
      <w:r w:rsidRPr="002018D1">
        <w:rPr>
          <w:rFonts w:asciiTheme="majorHAnsi" w:hAnsiTheme="majorHAnsi"/>
          <w:sz w:val="24"/>
        </w:rPr>
        <w:t xml:space="preserve">l </w:t>
      </w:r>
      <w:r w:rsidRPr="002018D1">
        <w:rPr>
          <w:rFonts w:asciiTheme="majorHAnsi" w:hAnsiTheme="majorHAnsi"/>
          <w:i/>
          <w:color w:val="000000"/>
          <w:sz w:val="24"/>
        </w:rPr>
        <w:t xml:space="preserve">Acuerdo SUGEF 19-16, Reglamento para la determinación y el registro de estimaciones contracíclicas, </w:t>
      </w:r>
      <w:r w:rsidRPr="002018D1">
        <w:rPr>
          <w:rFonts w:asciiTheme="majorHAnsi" w:hAnsiTheme="majorHAnsi"/>
          <w:color w:val="000000"/>
          <w:sz w:val="24"/>
        </w:rPr>
        <w:t xml:space="preserve">al </w:t>
      </w:r>
      <w:r w:rsidRPr="002018D1">
        <w:rPr>
          <w:rFonts w:asciiTheme="majorHAnsi" w:hAnsiTheme="majorHAnsi"/>
          <w:i/>
          <w:color w:val="000000"/>
          <w:sz w:val="24"/>
        </w:rPr>
        <w:t xml:space="preserve">Acuerdo SUGEF 1-05, Reglamento sobre Calificación de Deudores, </w:t>
      </w:r>
      <w:r w:rsidRPr="002018D1">
        <w:rPr>
          <w:rFonts w:asciiTheme="majorHAnsi" w:hAnsiTheme="majorHAnsi"/>
          <w:color w:val="000000"/>
          <w:sz w:val="24"/>
        </w:rPr>
        <w:t>y al</w:t>
      </w:r>
      <w:r w:rsidRPr="002018D1">
        <w:rPr>
          <w:rFonts w:asciiTheme="majorHAnsi" w:hAnsiTheme="majorHAnsi"/>
          <w:i/>
          <w:color w:val="000000"/>
          <w:sz w:val="24"/>
        </w:rPr>
        <w:t xml:space="preserve"> Acuerdo SUGEF 3-06, Reglamento sobre suficiencia patrimonial de las entidades financieras.</w:t>
      </w:r>
      <w:r w:rsidRPr="002018D1">
        <w:rPr>
          <w:rFonts w:asciiTheme="majorHAnsi" w:hAnsiTheme="majorHAnsi"/>
          <w:sz w:val="24"/>
        </w:rPr>
        <w:t xml:space="preserve"> </w:t>
      </w:r>
    </w:p>
    <w:p w14:paraId="23E70CAF" w14:textId="77777777" w:rsidR="002018D1" w:rsidRDefault="003C7AA7" w:rsidP="007771F3">
      <w:pPr>
        <w:pStyle w:val="Prrafodelista"/>
        <w:numPr>
          <w:ilvl w:val="0"/>
          <w:numId w:val="14"/>
        </w:numPr>
        <w:spacing w:before="120" w:after="120" w:line="240" w:lineRule="auto"/>
        <w:contextualSpacing w:val="0"/>
        <w:jc w:val="both"/>
        <w:rPr>
          <w:rFonts w:asciiTheme="majorHAnsi" w:hAnsiTheme="majorHAnsi"/>
          <w:sz w:val="24"/>
        </w:rPr>
      </w:pPr>
      <w:r w:rsidRPr="002018D1">
        <w:rPr>
          <w:rFonts w:asciiTheme="majorHAnsi" w:hAnsiTheme="majorHAnsi"/>
          <w:sz w:val="24"/>
        </w:rPr>
        <w:t>El Artículo 6 del Acuerdo SUGEF 1-05 y Articulo 4 del Acuerdo 15-16, disponen que el Superintendente puede complementar esta regulación mediante Lineamientos Generales, los cuales se consideran necesarios para la aplicación de esta normativa. Estos lineamientos generales pueden ser modificados por el Superintendente.</w:t>
      </w:r>
      <w:r w:rsidR="002018D1" w:rsidRPr="002018D1">
        <w:rPr>
          <w:rFonts w:asciiTheme="majorHAnsi" w:hAnsiTheme="majorHAnsi"/>
          <w:sz w:val="24"/>
        </w:rPr>
        <w:t xml:space="preserve"> </w:t>
      </w:r>
      <w:r w:rsidRPr="002018D1">
        <w:rPr>
          <w:rFonts w:asciiTheme="majorHAnsi" w:hAnsiTheme="majorHAnsi"/>
          <w:sz w:val="24"/>
        </w:rPr>
        <w:t>Los Lineamientos Generales de los Acuerdos SUGEF 1-05 y SUGEF 15-16 incluyen la definición de Deudores Generadores y No Generadores de Moneda Extranjera.</w:t>
      </w:r>
    </w:p>
    <w:p w14:paraId="65A2B6B8" w14:textId="230D857C" w:rsidR="003C7AA7" w:rsidRPr="002018D1" w:rsidRDefault="002018D1" w:rsidP="007771F3">
      <w:pPr>
        <w:pStyle w:val="Prrafodelista"/>
        <w:numPr>
          <w:ilvl w:val="0"/>
          <w:numId w:val="14"/>
        </w:numPr>
        <w:spacing w:before="120" w:after="120" w:line="240" w:lineRule="auto"/>
        <w:contextualSpacing w:val="0"/>
        <w:jc w:val="both"/>
        <w:rPr>
          <w:rFonts w:asciiTheme="majorHAnsi" w:hAnsiTheme="majorHAnsi"/>
          <w:sz w:val="24"/>
        </w:rPr>
      </w:pPr>
      <w:r>
        <w:rPr>
          <w:rFonts w:asciiTheme="majorHAnsi" w:hAnsiTheme="majorHAnsi"/>
          <w:sz w:val="24"/>
        </w:rPr>
        <w:t>R</w:t>
      </w:r>
      <w:r w:rsidR="003C7AA7" w:rsidRPr="002018D1">
        <w:rPr>
          <w:rFonts w:asciiTheme="majorHAnsi" w:hAnsiTheme="majorHAnsi"/>
          <w:sz w:val="24"/>
        </w:rPr>
        <w:t xml:space="preserve">esulta necesario estandarizar en el marco normativo, </w:t>
      </w:r>
      <w:r>
        <w:rPr>
          <w:rFonts w:asciiTheme="majorHAnsi" w:hAnsiTheme="majorHAnsi"/>
          <w:sz w:val="24"/>
        </w:rPr>
        <w:t xml:space="preserve">los conceptos </w:t>
      </w:r>
      <w:r w:rsidR="003C7AA7" w:rsidRPr="002018D1">
        <w:rPr>
          <w:rFonts w:asciiTheme="majorHAnsi" w:hAnsiTheme="majorHAnsi"/>
          <w:sz w:val="24"/>
        </w:rPr>
        <w:t xml:space="preserve">contenidos en la Sección VI </w:t>
      </w:r>
      <w:r>
        <w:rPr>
          <w:rFonts w:asciiTheme="majorHAnsi" w:hAnsiTheme="majorHAnsi"/>
          <w:sz w:val="24"/>
        </w:rPr>
        <w:t>“</w:t>
      </w:r>
      <w:r w:rsidR="003C7AA7" w:rsidRPr="002018D1">
        <w:rPr>
          <w:rFonts w:asciiTheme="majorHAnsi" w:hAnsiTheme="majorHAnsi"/>
          <w:sz w:val="24"/>
        </w:rPr>
        <w:t>Definición de deudores generadores y no generadores de moneda extranjera</w:t>
      </w:r>
      <w:r>
        <w:rPr>
          <w:rFonts w:asciiTheme="majorHAnsi" w:hAnsiTheme="majorHAnsi"/>
          <w:sz w:val="24"/>
        </w:rPr>
        <w:t>”</w:t>
      </w:r>
      <w:r w:rsidR="003C7AA7" w:rsidRPr="002018D1">
        <w:rPr>
          <w:rFonts w:asciiTheme="majorHAnsi" w:hAnsiTheme="majorHAnsi"/>
          <w:sz w:val="24"/>
        </w:rPr>
        <w:t xml:space="preserve"> de los Lineamientos Generales del Acuerdo SUGEF 1-05 “Reglamento para la calificación de deudores” y la Sección VII. </w:t>
      </w:r>
      <w:r>
        <w:rPr>
          <w:rFonts w:asciiTheme="majorHAnsi" w:hAnsiTheme="majorHAnsi"/>
          <w:sz w:val="24"/>
        </w:rPr>
        <w:t>“</w:t>
      </w:r>
      <w:r w:rsidR="003C7AA7" w:rsidRPr="002018D1">
        <w:rPr>
          <w:rFonts w:asciiTheme="majorHAnsi" w:hAnsiTheme="majorHAnsi"/>
          <w:sz w:val="24"/>
        </w:rPr>
        <w:t>Definición de deudores generadores y no generadores de moneda extranjera</w:t>
      </w:r>
      <w:r>
        <w:rPr>
          <w:rFonts w:asciiTheme="majorHAnsi" w:hAnsiTheme="majorHAnsi"/>
          <w:sz w:val="24"/>
        </w:rPr>
        <w:t>”</w:t>
      </w:r>
      <w:r w:rsidR="003C7AA7" w:rsidRPr="002018D1">
        <w:rPr>
          <w:rFonts w:asciiTheme="majorHAnsi" w:hAnsiTheme="majorHAnsi"/>
          <w:sz w:val="24"/>
        </w:rPr>
        <w:t xml:space="preserve"> de los Lineamientos Generales del Acuerdo SUGEF 15-16 “Reglamento sobre gestión y evaluación del riesgo de crédito para el Sistema de Banca para el Desarrollo.” </w:t>
      </w:r>
      <w:r>
        <w:rPr>
          <w:rFonts w:asciiTheme="majorHAnsi" w:hAnsiTheme="majorHAnsi"/>
          <w:sz w:val="24"/>
        </w:rPr>
        <w:t xml:space="preserve">Adicionalmente, resulta necesario </w:t>
      </w:r>
      <w:r w:rsidRPr="002018D1">
        <w:rPr>
          <w:rFonts w:asciiTheme="majorHAnsi" w:hAnsiTheme="majorHAnsi"/>
          <w:sz w:val="24"/>
        </w:rPr>
        <w:t>que las definiciones vigentes adquieran más objetividad y robustez, en cuanto a los atributos que determinan la condición del deudor como Generador y No Generador.</w:t>
      </w:r>
      <w:r w:rsidRPr="002018D1" w:rsidDel="002018D1">
        <w:rPr>
          <w:rFonts w:asciiTheme="majorHAnsi" w:hAnsiTheme="majorHAnsi"/>
          <w:sz w:val="24"/>
        </w:rPr>
        <w:t xml:space="preserve"> </w:t>
      </w:r>
    </w:p>
    <w:p w14:paraId="2E48A1FD" w14:textId="77777777" w:rsidR="003C7AA7" w:rsidRPr="002018D1" w:rsidRDefault="003C7AA7" w:rsidP="003C7AA7">
      <w:pPr>
        <w:pStyle w:val="Prrafodelista"/>
        <w:spacing w:before="120" w:after="120" w:line="240" w:lineRule="auto"/>
        <w:contextualSpacing w:val="0"/>
        <w:jc w:val="both"/>
        <w:rPr>
          <w:rFonts w:asciiTheme="majorHAnsi" w:hAnsiTheme="majorHAnsi"/>
          <w:sz w:val="24"/>
          <w:szCs w:val="24"/>
        </w:rPr>
      </w:pPr>
    </w:p>
    <w:p w14:paraId="337B2507" w14:textId="77777777" w:rsidR="003C7AA7" w:rsidRPr="002018D1" w:rsidRDefault="003C7AA7" w:rsidP="003C7AA7">
      <w:pPr>
        <w:spacing w:before="120" w:after="120" w:line="240" w:lineRule="auto"/>
        <w:ind w:left="33"/>
        <w:rPr>
          <w:rFonts w:asciiTheme="majorHAnsi" w:hAnsiTheme="majorHAnsi"/>
          <w:sz w:val="24"/>
        </w:rPr>
      </w:pPr>
      <w:r w:rsidRPr="002018D1">
        <w:rPr>
          <w:rFonts w:asciiTheme="majorHAnsi" w:hAnsiTheme="majorHAnsi"/>
          <w:b/>
          <w:sz w:val="24"/>
        </w:rPr>
        <w:t>Dispone</w:t>
      </w:r>
      <w:r w:rsidRPr="002018D1">
        <w:rPr>
          <w:rFonts w:asciiTheme="majorHAnsi" w:hAnsiTheme="majorHAnsi"/>
          <w:sz w:val="24"/>
        </w:rPr>
        <w:t>:</w:t>
      </w:r>
    </w:p>
    <w:p w14:paraId="16484746" w14:textId="0739593A" w:rsidR="003C7AA7" w:rsidRPr="002018D1" w:rsidRDefault="003C7AA7" w:rsidP="00BF45B0">
      <w:pPr>
        <w:pStyle w:val="Prrafodelista"/>
        <w:numPr>
          <w:ilvl w:val="0"/>
          <w:numId w:val="17"/>
        </w:numPr>
        <w:spacing w:before="120" w:after="120" w:line="240" w:lineRule="auto"/>
        <w:jc w:val="both"/>
        <w:rPr>
          <w:rFonts w:asciiTheme="majorHAnsi" w:hAnsiTheme="majorHAnsi"/>
          <w:sz w:val="24"/>
        </w:rPr>
      </w:pPr>
      <w:r w:rsidRPr="002018D1">
        <w:rPr>
          <w:rFonts w:asciiTheme="majorHAnsi" w:hAnsiTheme="majorHAnsi"/>
          <w:sz w:val="24"/>
        </w:rPr>
        <w:t>Remitir en consulta, en acatamiento de lo estipulado en el artículo 361, numeral 2, de la Ley General de la Administración Pública</w:t>
      </w:r>
      <w:r w:rsidR="002018D1">
        <w:rPr>
          <w:rFonts w:asciiTheme="majorHAnsi" w:hAnsiTheme="majorHAnsi"/>
          <w:sz w:val="24"/>
        </w:rPr>
        <w:t xml:space="preserve">, </w:t>
      </w:r>
      <w:r w:rsidRPr="002018D1">
        <w:rPr>
          <w:rFonts w:asciiTheme="majorHAnsi" w:hAnsiTheme="majorHAnsi"/>
          <w:sz w:val="24"/>
        </w:rPr>
        <w:t xml:space="preserve">la siguiente propuesta de modificación a los Lineamientos Generales de los Acuerdos SUGEF 1-05 y SUGEF 15-16, lo anterior en el entendido de que en un plazo máximo de </w:t>
      </w:r>
      <w:r w:rsidRPr="002018D1">
        <w:rPr>
          <w:rFonts w:asciiTheme="majorHAnsi" w:hAnsiTheme="majorHAnsi"/>
          <w:b/>
          <w:sz w:val="24"/>
        </w:rPr>
        <w:t>diez días hábiles</w:t>
      </w:r>
      <w:r w:rsidRPr="002018D1">
        <w:rPr>
          <w:rFonts w:asciiTheme="majorHAnsi" w:hAnsiTheme="majorHAnsi"/>
          <w:sz w:val="24"/>
        </w:rPr>
        <w:t xml:space="preserve">, contados a partir del día hábil siguiente al recibo de esta Resolución, deberán enviar al Despacho del Superintendente General de Entidades Financieras, sus comentarios y observaciones, al texto que a continuación se transcribe. De manera complementaria el archivo electrónico deberá remitirse a: </w:t>
      </w:r>
      <w:r w:rsidRPr="002018D1">
        <w:rPr>
          <w:rFonts w:asciiTheme="majorHAnsi" w:hAnsiTheme="majorHAnsi"/>
          <w:b/>
          <w:sz w:val="24"/>
        </w:rPr>
        <w:t>normativaenconsulta@sugef.fi.cr</w:t>
      </w:r>
    </w:p>
    <w:p w14:paraId="6DE31813" w14:textId="77777777" w:rsidR="003C7AA7" w:rsidRPr="002018D1" w:rsidRDefault="003C7AA7" w:rsidP="003C7AA7">
      <w:pPr>
        <w:spacing w:before="120" w:after="120" w:line="240" w:lineRule="auto"/>
        <w:ind w:left="33"/>
        <w:rPr>
          <w:rFonts w:asciiTheme="majorHAnsi" w:hAnsiTheme="majorHAnsi"/>
          <w:sz w:val="24"/>
        </w:rPr>
      </w:pPr>
    </w:p>
    <w:p w14:paraId="3C1F9454" w14:textId="77777777" w:rsidR="003C7AA7" w:rsidRPr="002018D1" w:rsidRDefault="003C7AA7" w:rsidP="003C7AA7">
      <w:pPr>
        <w:pStyle w:val="Prrafodelista"/>
        <w:numPr>
          <w:ilvl w:val="0"/>
          <w:numId w:val="13"/>
        </w:numPr>
        <w:spacing w:before="120" w:after="120" w:line="240" w:lineRule="auto"/>
        <w:jc w:val="both"/>
        <w:rPr>
          <w:rFonts w:asciiTheme="majorHAnsi" w:hAnsiTheme="majorHAnsi"/>
          <w:sz w:val="24"/>
          <w:szCs w:val="24"/>
        </w:rPr>
      </w:pPr>
      <w:r w:rsidRPr="002018D1">
        <w:rPr>
          <w:rFonts w:asciiTheme="majorHAnsi" w:hAnsiTheme="majorHAnsi"/>
          <w:sz w:val="24"/>
          <w:szCs w:val="24"/>
        </w:rPr>
        <w:lastRenderedPageBreak/>
        <w:t>“Modificar la Sección VI DEFINICIÓN DE DEUDORES GENERADORES Y NO GENERADORES DE MONEDA EXTRANJERA, de los Lineamientos Generales del Acuerdo SUGEF 1-05, conforme al siguiente texto:</w:t>
      </w:r>
    </w:p>
    <w:p w14:paraId="228A2512" w14:textId="77777777" w:rsidR="003C7AA7" w:rsidRPr="002018D1" w:rsidRDefault="003C7AA7" w:rsidP="003C7AA7">
      <w:pPr>
        <w:spacing w:before="120" w:after="120" w:line="240" w:lineRule="auto"/>
        <w:ind w:left="709" w:right="190"/>
        <w:rPr>
          <w:rFonts w:asciiTheme="majorHAnsi" w:hAnsiTheme="majorHAnsi"/>
          <w:b/>
          <w:i/>
          <w:sz w:val="24"/>
        </w:rPr>
      </w:pPr>
      <w:r w:rsidRPr="002018D1">
        <w:rPr>
          <w:rFonts w:asciiTheme="majorHAnsi" w:hAnsiTheme="majorHAnsi"/>
          <w:b/>
          <w:i/>
          <w:sz w:val="24"/>
        </w:rPr>
        <w:t xml:space="preserve">“VI. </w:t>
      </w:r>
      <w:r w:rsidRPr="002018D1">
        <w:rPr>
          <w:rFonts w:asciiTheme="majorHAnsi" w:hAnsiTheme="majorHAnsi"/>
          <w:b/>
          <w:i/>
          <w:sz w:val="24"/>
        </w:rPr>
        <w:tab/>
        <w:t>DEFINICIÓN DE DEUDORES GENERADORES Y NO GENERADORES DE MONEDA EXTRANJERA</w:t>
      </w:r>
    </w:p>
    <w:p w14:paraId="28BCF31D" w14:textId="77777777" w:rsidR="003C7AA7" w:rsidRPr="002018D1" w:rsidRDefault="003C7AA7" w:rsidP="003C7AA7">
      <w:pPr>
        <w:spacing w:before="120" w:after="120" w:line="240" w:lineRule="auto"/>
        <w:ind w:left="709" w:right="190"/>
        <w:rPr>
          <w:rFonts w:asciiTheme="majorHAnsi" w:hAnsiTheme="majorHAnsi"/>
          <w:i/>
          <w:sz w:val="24"/>
        </w:rPr>
      </w:pPr>
      <w:r w:rsidRPr="002018D1">
        <w:rPr>
          <w:rFonts w:asciiTheme="majorHAnsi" w:hAnsiTheme="majorHAnsi"/>
          <w:b/>
          <w:i/>
          <w:sz w:val="24"/>
        </w:rPr>
        <w:t>Objetivo:</w:t>
      </w:r>
      <w:r w:rsidRPr="002018D1">
        <w:rPr>
          <w:rFonts w:asciiTheme="majorHAnsi" w:hAnsiTheme="majorHAnsi"/>
          <w:i/>
          <w:sz w:val="24"/>
        </w:rPr>
        <w:t xml:space="preserve"> Establecer los criterios para definir deudor generador y no generador de moneda extranjera. </w:t>
      </w:r>
    </w:p>
    <w:p w14:paraId="73C775A0" w14:textId="77777777" w:rsidR="003C7AA7" w:rsidRPr="002018D1" w:rsidRDefault="003C7AA7" w:rsidP="003C7AA7">
      <w:pPr>
        <w:spacing w:before="120" w:after="120" w:line="240" w:lineRule="auto"/>
        <w:ind w:left="709" w:right="190"/>
        <w:rPr>
          <w:rFonts w:asciiTheme="majorHAnsi" w:hAnsiTheme="majorHAnsi"/>
          <w:b/>
          <w:i/>
          <w:sz w:val="24"/>
        </w:rPr>
      </w:pPr>
      <w:r w:rsidRPr="002018D1">
        <w:rPr>
          <w:rFonts w:asciiTheme="majorHAnsi" w:hAnsiTheme="majorHAnsi"/>
          <w:b/>
          <w:i/>
          <w:sz w:val="24"/>
        </w:rPr>
        <w:t xml:space="preserve">Definiciones </w:t>
      </w:r>
    </w:p>
    <w:p w14:paraId="45F87003" w14:textId="77777777" w:rsidR="003C7AA7" w:rsidRPr="002018D1" w:rsidRDefault="003C7AA7" w:rsidP="003C7AA7">
      <w:pPr>
        <w:pStyle w:val="Default"/>
        <w:spacing w:after="120"/>
        <w:ind w:left="709"/>
        <w:jc w:val="both"/>
        <w:rPr>
          <w:rFonts w:asciiTheme="majorHAnsi" w:hAnsiTheme="majorHAnsi"/>
          <w:bCs/>
          <w:i/>
        </w:rPr>
      </w:pPr>
      <w:r w:rsidRPr="002018D1">
        <w:rPr>
          <w:rFonts w:asciiTheme="majorHAnsi" w:hAnsiTheme="majorHAnsi"/>
          <w:b/>
          <w:bCs/>
          <w:i/>
        </w:rPr>
        <w:t xml:space="preserve">Generador de moneda extranjera: </w:t>
      </w:r>
      <w:r w:rsidRPr="002018D1">
        <w:rPr>
          <w:rFonts w:asciiTheme="majorHAnsi" w:hAnsiTheme="majorHAnsi"/>
          <w:bCs/>
          <w:i/>
        </w:rPr>
        <w:t xml:space="preserve">persona física o jurídica cuyas actividades regulares proveen un flujo de ingresos en la misma moneda extranjera en que están denominadas las operaciones crediticias del deudor, por un monto igual o superior al servicio de estas operaciones durante el siguiente año. </w:t>
      </w:r>
    </w:p>
    <w:p w14:paraId="66EE0AB7" w14:textId="77777777" w:rsidR="003C7AA7" w:rsidRPr="002018D1" w:rsidRDefault="003C7AA7" w:rsidP="003C7AA7">
      <w:pPr>
        <w:pStyle w:val="Default"/>
        <w:spacing w:after="120"/>
        <w:ind w:left="709"/>
        <w:jc w:val="both"/>
        <w:rPr>
          <w:rFonts w:asciiTheme="majorHAnsi" w:hAnsiTheme="majorHAnsi"/>
          <w:bCs/>
          <w:i/>
        </w:rPr>
      </w:pPr>
      <w:r w:rsidRPr="002018D1">
        <w:rPr>
          <w:rFonts w:asciiTheme="majorHAnsi" w:hAnsiTheme="majorHAnsi"/>
          <w:bCs/>
          <w:i/>
        </w:rPr>
        <w:t xml:space="preserve">La compra de las divisas en el mercado cambiario o el sólo hecho de que los precios de los bienes o servicios que comercializa en el país se encuentren expresados en moneda extranjera no serán elementos suficientes para considerarlo como deudor generador, a menos que exista evidencia de que el deudor es proveedor regular de bienes o servicios a clientes generadores de moneda extranjera que le garantice el flujo de ingresos suficiente, de lo cual debe quedar constancia en el expediente de crédito. </w:t>
      </w:r>
    </w:p>
    <w:p w14:paraId="551DF056" w14:textId="77777777" w:rsidR="000E27A9" w:rsidRPr="002018D1" w:rsidRDefault="000E27A9" w:rsidP="003C7AA7">
      <w:pPr>
        <w:pStyle w:val="Default"/>
        <w:spacing w:after="120"/>
        <w:ind w:left="709"/>
        <w:jc w:val="both"/>
        <w:rPr>
          <w:rFonts w:asciiTheme="majorHAnsi" w:hAnsiTheme="majorHAnsi"/>
          <w:b/>
          <w:bCs/>
          <w:i/>
        </w:rPr>
      </w:pPr>
    </w:p>
    <w:p w14:paraId="7899F59F" w14:textId="77777777" w:rsidR="003C7AA7" w:rsidRPr="002018D1" w:rsidRDefault="003C7AA7" w:rsidP="003C7AA7">
      <w:pPr>
        <w:pStyle w:val="Default"/>
        <w:spacing w:after="120"/>
        <w:ind w:left="709"/>
        <w:jc w:val="both"/>
        <w:rPr>
          <w:rFonts w:asciiTheme="majorHAnsi" w:hAnsiTheme="majorHAnsi"/>
          <w:bCs/>
          <w:i/>
        </w:rPr>
      </w:pPr>
      <w:r w:rsidRPr="002018D1">
        <w:rPr>
          <w:rFonts w:asciiTheme="majorHAnsi" w:hAnsiTheme="majorHAnsi"/>
          <w:b/>
          <w:bCs/>
          <w:i/>
        </w:rPr>
        <w:t>No generador de moneda extranjera:</w:t>
      </w:r>
      <w:r w:rsidRPr="002018D1">
        <w:rPr>
          <w:rFonts w:asciiTheme="majorHAnsi" w:hAnsiTheme="majorHAnsi"/>
          <w:bCs/>
          <w:i/>
        </w:rPr>
        <w:t xml:space="preserve"> deudor que no cumple con la definición de generador de moneda extranjera. </w:t>
      </w:r>
    </w:p>
    <w:p w14:paraId="4570C18F" w14:textId="77777777" w:rsidR="003C7AA7" w:rsidRPr="002018D1" w:rsidRDefault="003C7AA7" w:rsidP="003C7AA7">
      <w:pPr>
        <w:pStyle w:val="Default"/>
        <w:spacing w:after="120"/>
        <w:ind w:left="709"/>
        <w:jc w:val="both"/>
        <w:rPr>
          <w:rFonts w:asciiTheme="majorHAnsi" w:hAnsiTheme="majorHAnsi"/>
          <w:i/>
        </w:rPr>
      </w:pPr>
      <w:r w:rsidRPr="002018D1">
        <w:rPr>
          <w:rFonts w:asciiTheme="majorHAnsi" w:hAnsiTheme="majorHAnsi"/>
          <w:i/>
        </w:rPr>
        <w:t xml:space="preserve">Los deudores no generadores se clasifican en las siguientes dos categorías: </w:t>
      </w:r>
    </w:p>
    <w:p w14:paraId="11BE5AE7" w14:textId="77777777" w:rsidR="003C7AA7" w:rsidRPr="002018D1" w:rsidRDefault="003C7AA7" w:rsidP="003C7AA7">
      <w:pPr>
        <w:pStyle w:val="Default"/>
        <w:spacing w:after="120"/>
        <w:ind w:left="709"/>
        <w:jc w:val="both"/>
        <w:rPr>
          <w:rFonts w:asciiTheme="majorHAnsi" w:hAnsiTheme="majorHAnsi"/>
          <w:i/>
          <w:color w:val="auto"/>
        </w:rPr>
      </w:pPr>
      <w:r w:rsidRPr="002018D1">
        <w:rPr>
          <w:rFonts w:asciiTheme="majorHAnsi" w:hAnsiTheme="majorHAnsi"/>
          <w:b/>
          <w:bCs/>
          <w:i/>
        </w:rPr>
        <w:t>No Generador de moneda extranjera de bajo riesgo:</w:t>
      </w:r>
      <w:r w:rsidRPr="002018D1">
        <w:rPr>
          <w:rFonts w:asciiTheme="majorHAnsi" w:hAnsiTheme="majorHAnsi"/>
          <w:i/>
        </w:rPr>
        <w:t xml:space="preserve"> C</w:t>
      </w:r>
      <w:r w:rsidRPr="002018D1">
        <w:rPr>
          <w:rFonts w:asciiTheme="majorHAnsi" w:hAnsiTheme="majorHAnsi"/>
          <w:i/>
          <w:color w:val="auto"/>
        </w:rPr>
        <w:t>orresponde al deudor no generador de moneda extranjera, cuyas actividades regulares proveen un flujo de ingresos suficiente para atender sus deudas en moneda nacional y</w:t>
      </w:r>
      <w:r w:rsidRPr="002018D1">
        <w:rPr>
          <w:rFonts w:asciiTheme="majorHAnsi" w:hAnsiTheme="majorHAnsi"/>
          <w:i/>
          <w:color w:val="3882C6" w:themeColor="accent1"/>
          <w:u w:val="single"/>
        </w:rPr>
        <w:t xml:space="preserve"> </w:t>
      </w:r>
      <w:r w:rsidRPr="002018D1">
        <w:rPr>
          <w:rFonts w:asciiTheme="majorHAnsi" w:hAnsiTheme="majorHAnsi"/>
          <w:i/>
          <w:color w:val="auto"/>
        </w:rPr>
        <w:t>extranjera, aún después de considerar el escenario de estrés de tipo de cambio, definido por la entidad.</w:t>
      </w:r>
    </w:p>
    <w:p w14:paraId="4EB1FC20" w14:textId="77777777" w:rsidR="003C7AA7" w:rsidRPr="002018D1" w:rsidRDefault="003C7AA7" w:rsidP="003C7AA7">
      <w:pPr>
        <w:pStyle w:val="Default"/>
        <w:spacing w:after="120"/>
        <w:ind w:left="709"/>
        <w:jc w:val="both"/>
        <w:rPr>
          <w:rFonts w:asciiTheme="majorHAnsi" w:hAnsiTheme="majorHAnsi"/>
          <w:i/>
          <w:color w:val="auto"/>
        </w:rPr>
      </w:pPr>
      <w:r w:rsidRPr="002018D1">
        <w:rPr>
          <w:rFonts w:asciiTheme="majorHAnsi" w:hAnsiTheme="majorHAnsi"/>
          <w:i/>
          <w:color w:val="auto"/>
        </w:rPr>
        <w:t xml:space="preserve">Además, corresponde al deudor no generador de moneda extranjera, cuyas operaciones crediticias en moneda extranjera cumplen, cada una, con que el saldo de la operación crediticia, luego de considerar el escenario de estrés de tipo de cambio, definido por la entidad, es menor o igual al valor de referencia de la garantía multiplicado por el factor de ajuste aplicable. Cuando la garantía no es hipotecaria ni prendaria, la moneda de la garantía debe ser la misma que la moneda de la operación crediticia. </w:t>
      </w:r>
    </w:p>
    <w:p w14:paraId="1D2237E9" w14:textId="77777777" w:rsidR="003C7AA7" w:rsidRPr="002018D1" w:rsidRDefault="003C7AA7" w:rsidP="003C7AA7">
      <w:pPr>
        <w:spacing w:before="120" w:after="120" w:line="240" w:lineRule="auto"/>
        <w:ind w:left="709" w:right="190"/>
        <w:rPr>
          <w:rFonts w:asciiTheme="majorHAnsi" w:hAnsiTheme="majorHAnsi"/>
          <w:i/>
          <w:sz w:val="24"/>
        </w:rPr>
      </w:pPr>
      <w:r w:rsidRPr="002018D1">
        <w:rPr>
          <w:rFonts w:asciiTheme="majorHAnsi" w:hAnsiTheme="majorHAnsi"/>
          <w:b/>
          <w:bCs/>
          <w:i/>
          <w:sz w:val="24"/>
        </w:rPr>
        <w:lastRenderedPageBreak/>
        <w:t xml:space="preserve">No Generador de moneda extranjera de alto riesgo: </w:t>
      </w:r>
      <w:r w:rsidRPr="002018D1">
        <w:rPr>
          <w:rFonts w:asciiTheme="majorHAnsi" w:hAnsiTheme="majorHAnsi"/>
          <w:i/>
          <w:sz w:val="24"/>
        </w:rPr>
        <w:t>Corresponde al deudor no generador de moneda extranjera, que no cumple con la definición de ser de bajo riesgo.”</w:t>
      </w:r>
    </w:p>
    <w:p w14:paraId="44C7A8C8" w14:textId="77777777" w:rsidR="003C7AA7" w:rsidRPr="002018D1" w:rsidRDefault="003C7AA7" w:rsidP="003C7AA7">
      <w:pPr>
        <w:pStyle w:val="Prrafodelista"/>
        <w:numPr>
          <w:ilvl w:val="0"/>
          <w:numId w:val="13"/>
        </w:numPr>
        <w:spacing w:before="120" w:after="120" w:line="240" w:lineRule="auto"/>
        <w:jc w:val="both"/>
        <w:rPr>
          <w:rFonts w:asciiTheme="majorHAnsi" w:hAnsiTheme="majorHAnsi"/>
          <w:sz w:val="24"/>
          <w:szCs w:val="24"/>
        </w:rPr>
      </w:pPr>
      <w:r w:rsidRPr="002018D1">
        <w:rPr>
          <w:rFonts w:asciiTheme="majorHAnsi" w:hAnsiTheme="majorHAnsi"/>
          <w:sz w:val="24"/>
          <w:szCs w:val="24"/>
        </w:rPr>
        <w:t>Modificar la Sección VII. DEFINICIÓN DE DEUDORES GENERADORES Y NO GENERADORES DE MONEDA EXTRANJERA, de los Lineamientos Generales del Acuerdo SUGEF 15-16, conforme al siguiente texto:</w:t>
      </w:r>
    </w:p>
    <w:p w14:paraId="3AA2D0E8" w14:textId="77777777" w:rsidR="003C7AA7" w:rsidRPr="002018D1" w:rsidRDefault="003C7AA7" w:rsidP="003C7AA7">
      <w:pPr>
        <w:spacing w:before="120" w:after="120" w:line="240" w:lineRule="auto"/>
        <w:ind w:left="709" w:right="190"/>
        <w:rPr>
          <w:rFonts w:asciiTheme="majorHAnsi" w:hAnsiTheme="majorHAnsi"/>
          <w:b/>
          <w:i/>
          <w:sz w:val="24"/>
        </w:rPr>
      </w:pPr>
      <w:r w:rsidRPr="002018D1">
        <w:rPr>
          <w:rFonts w:asciiTheme="majorHAnsi" w:hAnsiTheme="majorHAnsi"/>
          <w:b/>
          <w:i/>
          <w:sz w:val="24"/>
        </w:rPr>
        <w:t xml:space="preserve">“VII. </w:t>
      </w:r>
      <w:r w:rsidRPr="002018D1">
        <w:rPr>
          <w:rFonts w:asciiTheme="majorHAnsi" w:hAnsiTheme="majorHAnsi"/>
          <w:b/>
          <w:i/>
          <w:sz w:val="24"/>
        </w:rPr>
        <w:tab/>
        <w:t>DEFINICIÓN DE DEUDORES GENERADORES Y NO GENERADORES DE MONEDA EXTRANJERA</w:t>
      </w:r>
    </w:p>
    <w:p w14:paraId="13351C5E" w14:textId="77777777" w:rsidR="003C7AA7" w:rsidRPr="002018D1" w:rsidRDefault="003C7AA7" w:rsidP="003C7AA7">
      <w:pPr>
        <w:spacing w:before="120" w:after="120" w:line="240" w:lineRule="auto"/>
        <w:ind w:left="709" w:right="190"/>
        <w:rPr>
          <w:rFonts w:asciiTheme="majorHAnsi" w:hAnsiTheme="majorHAnsi"/>
          <w:i/>
          <w:sz w:val="24"/>
        </w:rPr>
      </w:pPr>
      <w:r w:rsidRPr="002018D1">
        <w:rPr>
          <w:rFonts w:asciiTheme="majorHAnsi" w:hAnsiTheme="majorHAnsi"/>
          <w:b/>
          <w:i/>
          <w:sz w:val="24"/>
        </w:rPr>
        <w:t>Objetivo:</w:t>
      </w:r>
      <w:r w:rsidRPr="002018D1">
        <w:rPr>
          <w:rFonts w:asciiTheme="majorHAnsi" w:hAnsiTheme="majorHAnsi"/>
          <w:i/>
          <w:sz w:val="24"/>
        </w:rPr>
        <w:t xml:space="preserve"> Establecer los criterios para definir deudor generador y no generador de moneda extranjera. </w:t>
      </w:r>
    </w:p>
    <w:p w14:paraId="778DEB95" w14:textId="77777777" w:rsidR="003C7AA7" w:rsidRPr="002018D1" w:rsidRDefault="003C7AA7" w:rsidP="003C7AA7">
      <w:pPr>
        <w:spacing w:before="120" w:after="120" w:line="240" w:lineRule="auto"/>
        <w:ind w:left="709" w:right="190"/>
        <w:rPr>
          <w:rFonts w:asciiTheme="majorHAnsi" w:hAnsiTheme="majorHAnsi"/>
          <w:b/>
          <w:i/>
          <w:sz w:val="24"/>
        </w:rPr>
      </w:pPr>
      <w:r w:rsidRPr="002018D1">
        <w:rPr>
          <w:rFonts w:asciiTheme="majorHAnsi" w:hAnsiTheme="majorHAnsi"/>
          <w:b/>
          <w:i/>
          <w:sz w:val="24"/>
        </w:rPr>
        <w:t xml:space="preserve">Definiciones </w:t>
      </w:r>
    </w:p>
    <w:p w14:paraId="1A939E21" w14:textId="77777777" w:rsidR="003C7AA7" w:rsidRPr="002018D1" w:rsidRDefault="003C7AA7" w:rsidP="003C7AA7">
      <w:pPr>
        <w:pStyle w:val="Default"/>
        <w:spacing w:after="120"/>
        <w:ind w:left="709"/>
        <w:jc w:val="both"/>
        <w:rPr>
          <w:rFonts w:asciiTheme="majorHAnsi" w:hAnsiTheme="majorHAnsi"/>
          <w:bCs/>
          <w:i/>
        </w:rPr>
      </w:pPr>
      <w:r w:rsidRPr="002018D1">
        <w:rPr>
          <w:rFonts w:asciiTheme="majorHAnsi" w:hAnsiTheme="majorHAnsi"/>
          <w:b/>
          <w:bCs/>
          <w:i/>
        </w:rPr>
        <w:t xml:space="preserve">Generador de moneda extranjera: </w:t>
      </w:r>
      <w:r w:rsidRPr="002018D1">
        <w:rPr>
          <w:rFonts w:asciiTheme="majorHAnsi" w:hAnsiTheme="majorHAnsi"/>
          <w:bCs/>
          <w:i/>
        </w:rPr>
        <w:t xml:space="preserve">persona física o jurídica cuyas actividades regulares proveen un flujo de ingresos en la misma moneda extranjera en que están denominadas las operaciones crediticias del deudor, por un monto igual o superior al servicio de estas operaciones durante el siguiente año. </w:t>
      </w:r>
    </w:p>
    <w:p w14:paraId="2C261A27" w14:textId="77777777" w:rsidR="003C7AA7" w:rsidRPr="002018D1" w:rsidRDefault="003C7AA7" w:rsidP="003C7AA7">
      <w:pPr>
        <w:pStyle w:val="Default"/>
        <w:spacing w:after="120"/>
        <w:ind w:left="709"/>
        <w:jc w:val="both"/>
        <w:rPr>
          <w:rFonts w:asciiTheme="majorHAnsi" w:hAnsiTheme="majorHAnsi"/>
          <w:bCs/>
          <w:i/>
        </w:rPr>
      </w:pPr>
      <w:r w:rsidRPr="002018D1">
        <w:rPr>
          <w:rFonts w:asciiTheme="majorHAnsi" w:hAnsiTheme="majorHAnsi"/>
          <w:bCs/>
          <w:i/>
        </w:rPr>
        <w:t xml:space="preserve">La compra de las divisas en el mercado cambiario o el sólo hecho de que los precios de los bienes o servicios que comercializa en el país se encuentren expresados en moneda extranjera no serán elementos suficientes para considerarlo como deudor generador, a menos que exista evidencia de que el deudor es proveedor regular de bienes o servicios a clientes generadores de moneda extranjera que le garantice el flujo de ingresos suficiente, de lo cual debe quedar constancia en el expediente de crédito. </w:t>
      </w:r>
    </w:p>
    <w:p w14:paraId="4CC60C8E" w14:textId="77777777" w:rsidR="003C7AA7" w:rsidRPr="002018D1" w:rsidRDefault="003C7AA7" w:rsidP="003C7AA7">
      <w:pPr>
        <w:pStyle w:val="Default"/>
        <w:spacing w:after="120"/>
        <w:ind w:left="709"/>
        <w:jc w:val="both"/>
        <w:rPr>
          <w:rFonts w:asciiTheme="majorHAnsi" w:hAnsiTheme="majorHAnsi"/>
          <w:bCs/>
          <w:i/>
        </w:rPr>
      </w:pPr>
    </w:p>
    <w:p w14:paraId="64DC7AE0" w14:textId="77777777" w:rsidR="003C7AA7" w:rsidRPr="002018D1" w:rsidRDefault="003C7AA7" w:rsidP="003C7AA7">
      <w:pPr>
        <w:pStyle w:val="Default"/>
        <w:spacing w:after="120"/>
        <w:ind w:left="709"/>
        <w:jc w:val="both"/>
        <w:rPr>
          <w:rFonts w:asciiTheme="majorHAnsi" w:hAnsiTheme="majorHAnsi"/>
          <w:bCs/>
          <w:i/>
        </w:rPr>
      </w:pPr>
      <w:r w:rsidRPr="002018D1">
        <w:rPr>
          <w:rFonts w:asciiTheme="majorHAnsi" w:hAnsiTheme="majorHAnsi"/>
          <w:b/>
          <w:bCs/>
          <w:i/>
        </w:rPr>
        <w:t>No generador de moneda extranjera:</w:t>
      </w:r>
      <w:r w:rsidRPr="002018D1">
        <w:rPr>
          <w:rFonts w:asciiTheme="majorHAnsi" w:hAnsiTheme="majorHAnsi"/>
          <w:bCs/>
          <w:i/>
        </w:rPr>
        <w:t xml:space="preserve"> deudor que no cumple con la definición de generador de moneda extranjera. </w:t>
      </w:r>
    </w:p>
    <w:p w14:paraId="7962D4AA" w14:textId="77777777" w:rsidR="003C7AA7" w:rsidRPr="002018D1" w:rsidRDefault="003C7AA7" w:rsidP="003C7AA7">
      <w:pPr>
        <w:pStyle w:val="Default"/>
        <w:spacing w:after="120"/>
        <w:ind w:left="709"/>
        <w:jc w:val="both"/>
        <w:rPr>
          <w:rFonts w:asciiTheme="majorHAnsi" w:hAnsiTheme="majorHAnsi"/>
          <w:i/>
        </w:rPr>
      </w:pPr>
      <w:r w:rsidRPr="002018D1">
        <w:rPr>
          <w:rFonts w:asciiTheme="majorHAnsi" w:hAnsiTheme="majorHAnsi"/>
          <w:i/>
        </w:rPr>
        <w:t xml:space="preserve">Los deudores no generadores se clasifican en las siguientes dos categorías: </w:t>
      </w:r>
    </w:p>
    <w:p w14:paraId="5F85702C" w14:textId="77777777" w:rsidR="003C7AA7" w:rsidRPr="002018D1" w:rsidRDefault="003C7AA7" w:rsidP="003C7AA7">
      <w:pPr>
        <w:pStyle w:val="Default"/>
        <w:spacing w:after="120"/>
        <w:ind w:left="709"/>
        <w:jc w:val="both"/>
        <w:rPr>
          <w:rFonts w:asciiTheme="majorHAnsi" w:hAnsiTheme="majorHAnsi"/>
          <w:i/>
          <w:color w:val="auto"/>
        </w:rPr>
      </w:pPr>
      <w:r w:rsidRPr="002018D1">
        <w:rPr>
          <w:rFonts w:asciiTheme="majorHAnsi" w:hAnsiTheme="majorHAnsi"/>
          <w:b/>
          <w:bCs/>
          <w:i/>
        </w:rPr>
        <w:t>No Generador de moneda extranjera de bajo riesgo:</w:t>
      </w:r>
      <w:r w:rsidRPr="002018D1">
        <w:rPr>
          <w:rFonts w:asciiTheme="majorHAnsi" w:hAnsiTheme="majorHAnsi"/>
          <w:i/>
        </w:rPr>
        <w:t xml:space="preserve"> C</w:t>
      </w:r>
      <w:r w:rsidRPr="002018D1">
        <w:rPr>
          <w:rFonts w:asciiTheme="majorHAnsi" w:hAnsiTheme="majorHAnsi"/>
          <w:i/>
          <w:color w:val="auto"/>
        </w:rPr>
        <w:t>orresponde al deudor no generador de moneda extranjera, cuyas actividades regulares proveen un flujo de ingresos suficiente para atender sus deudas en moneda nacional y</w:t>
      </w:r>
      <w:r w:rsidRPr="002018D1">
        <w:rPr>
          <w:rFonts w:asciiTheme="majorHAnsi" w:hAnsiTheme="majorHAnsi"/>
          <w:i/>
          <w:color w:val="3882C6" w:themeColor="accent1"/>
          <w:u w:val="single"/>
        </w:rPr>
        <w:t xml:space="preserve"> </w:t>
      </w:r>
      <w:r w:rsidRPr="002018D1">
        <w:rPr>
          <w:rFonts w:asciiTheme="majorHAnsi" w:hAnsiTheme="majorHAnsi"/>
          <w:i/>
          <w:color w:val="auto"/>
        </w:rPr>
        <w:t>extranjera, aún después de considerar el escenario de estrés de tipo de cambio, definido por la entidad.</w:t>
      </w:r>
    </w:p>
    <w:p w14:paraId="1D2D2FEA" w14:textId="77777777" w:rsidR="003C7AA7" w:rsidRPr="002018D1" w:rsidRDefault="003C7AA7" w:rsidP="003C7AA7">
      <w:pPr>
        <w:pStyle w:val="Default"/>
        <w:spacing w:after="120"/>
        <w:ind w:left="709"/>
        <w:jc w:val="both"/>
        <w:rPr>
          <w:rFonts w:asciiTheme="majorHAnsi" w:hAnsiTheme="majorHAnsi"/>
          <w:i/>
          <w:color w:val="auto"/>
        </w:rPr>
      </w:pPr>
      <w:r w:rsidRPr="002018D1">
        <w:rPr>
          <w:rFonts w:asciiTheme="majorHAnsi" w:hAnsiTheme="majorHAnsi"/>
          <w:i/>
          <w:color w:val="auto"/>
        </w:rPr>
        <w:t xml:space="preserve">Además, corresponde al deudor no generador de moneda extranjera, cuyas operaciones crediticias en moneda extranjera cumplen, cada una, con que el saldo de la operación crediticia, luego de considerar el escenario de estrés de tipo de cambio, definido por la entidad, es menor o igual al valor de referencia de la garantía multiplicado por el factor de ajuste aplicable. Cuando la garantía </w:t>
      </w:r>
      <w:r w:rsidRPr="002018D1">
        <w:rPr>
          <w:rFonts w:asciiTheme="majorHAnsi" w:hAnsiTheme="majorHAnsi"/>
          <w:i/>
          <w:color w:val="auto"/>
        </w:rPr>
        <w:lastRenderedPageBreak/>
        <w:t xml:space="preserve">no es hipotecaria ni prendaria, la moneda de la garantía debe ser la misma que la moneda de la operación crediticia. </w:t>
      </w:r>
    </w:p>
    <w:p w14:paraId="6993D502" w14:textId="77777777" w:rsidR="003C7AA7" w:rsidRPr="002018D1" w:rsidRDefault="003C7AA7" w:rsidP="003C7AA7">
      <w:pPr>
        <w:spacing w:before="120" w:after="120" w:line="240" w:lineRule="auto"/>
        <w:ind w:left="709" w:right="190"/>
        <w:rPr>
          <w:rFonts w:asciiTheme="majorHAnsi" w:hAnsiTheme="majorHAnsi"/>
          <w:i/>
          <w:sz w:val="24"/>
        </w:rPr>
      </w:pPr>
      <w:r w:rsidRPr="002018D1">
        <w:rPr>
          <w:rFonts w:asciiTheme="majorHAnsi" w:hAnsiTheme="majorHAnsi"/>
          <w:b/>
          <w:bCs/>
          <w:i/>
          <w:sz w:val="24"/>
        </w:rPr>
        <w:t xml:space="preserve">No Generador de moneda extranjera de alto riesgo: </w:t>
      </w:r>
      <w:r w:rsidRPr="002018D1">
        <w:rPr>
          <w:rFonts w:asciiTheme="majorHAnsi" w:hAnsiTheme="majorHAnsi"/>
          <w:i/>
          <w:sz w:val="24"/>
        </w:rPr>
        <w:t>Corresponde al deudor no generador de moneda extranjera, que no cumple con la definición de ser de bajo riesgo.”</w:t>
      </w:r>
    </w:p>
    <w:p w14:paraId="675FA5FC" w14:textId="77777777" w:rsidR="003C7AA7" w:rsidRPr="002018D1" w:rsidRDefault="003C7AA7" w:rsidP="003C7AA7">
      <w:pPr>
        <w:spacing w:before="120" w:after="120" w:line="240" w:lineRule="auto"/>
        <w:ind w:left="709" w:right="190"/>
        <w:rPr>
          <w:rFonts w:asciiTheme="majorHAnsi" w:hAnsiTheme="majorHAnsi"/>
          <w:i/>
          <w:sz w:val="24"/>
          <w:lang w:val="es-CR"/>
        </w:rPr>
      </w:pPr>
    </w:p>
    <w:p w14:paraId="5B6FA2D7" w14:textId="77777777" w:rsidR="003C7AA7" w:rsidRPr="002018D1" w:rsidRDefault="003C7AA7" w:rsidP="003C7AA7">
      <w:pPr>
        <w:pStyle w:val="Prrafodelista"/>
        <w:numPr>
          <w:ilvl w:val="0"/>
          <w:numId w:val="13"/>
        </w:numPr>
        <w:spacing w:before="120" w:after="120" w:line="240" w:lineRule="auto"/>
        <w:jc w:val="both"/>
        <w:rPr>
          <w:rFonts w:asciiTheme="majorHAnsi" w:hAnsiTheme="majorHAnsi"/>
          <w:sz w:val="24"/>
          <w:szCs w:val="24"/>
        </w:rPr>
      </w:pPr>
      <w:r w:rsidRPr="002018D1">
        <w:rPr>
          <w:rFonts w:asciiTheme="majorHAnsi" w:hAnsiTheme="majorHAnsi"/>
          <w:sz w:val="24"/>
          <w:szCs w:val="24"/>
        </w:rPr>
        <w:t>Adicionar un Transitorio I a los Lineamientos Generales del Acuerdo SUGEF 1-05, conforme al siguiente texto:</w:t>
      </w:r>
    </w:p>
    <w:p w14:paraId="64C6FA54" w14:textId="77777777" w:rsidR="003C7AA7" w:rsidRPr="002018D1" w:rsidRDefault="003C7AA7" w:rsidP="003C7AA7">
      <w:pPr>
        <w:spacing w:before="120" w:after="120" w:line="240" w:lineRule="auto"/>
        <w:ind w:left="709" w:right="190"/>
        <w:rPr>
          <w:rFonts w:asciiTheme="majorHAnsi" w:hAnsiTheme="majorHAnsi"/>
          <w:b/>
          <w:i/>
          <w:sz w:val="24"/>
          <w:lang w:val="es-CR"/>
        </w:rPr>
      </w:pPr>
      <w:r w:rsidRPr="002018D1">
        <w:rPr>
          <w:rFonts w:asciiTheme="majorHAnsi" w:hAnsiTheme="majorHAnsi"/>
          <w:b/>
          <w:i/>
          <w:sz w:val="24"/>
          <w:lang w:val="es-CR"/>
        </w:rPr>
        <w:t>“Transitorio I.</w:t>
      </w:r>
    </w:p>
    <w:p w14:paraId="407E5BC1" w14:textId="77777777" w:rsidR="003C7AA7" w:rsidRPr="002018D1" w:rsidRDefault="003C7AA7" w:rsidP="003C7AA7">
      <w:pPr>
        <w:spacing w:before="120" w:after="120" w:line="240" w:lineRule="auto"/>
        <w:ind w:left="709" w:right="190"/>
        <w:rPr>
          <w:rFonts w:asciiTheme="majorHAnsi" w:hAnsiTheme="majorHAnsi"/>
          <w:i/>
          <w:sz w:val="24"/>
          <w:lang w:val="es-CR"/>
        </w:rPr>
      </w:pPr>
      <w:r w:rsidRPr="002018D1">
        <w:rPr>
          <w:rFonts w:asciiTheme="majorHAnsi" w:hAnsiTheme="majorHAnsi"/>
          <w:i/>
          <w:sz w:val="24"/>
          <w:lang w:val="es-CR"/>
        </w:rPr>
        <w:t>La modificación a la Sección VI de los Lineamientos Generales del Acuerdo SUGEF 1-05, serán aplicadas para las nuevas operaciones que se constituyan a partir de la entrada en vigencia de esta modificación.”</w:t>
      </w:r>
    </w:p>
    <w:p w14:paraId="4A92E2E3" w14:textId="77777777" w:rsidR="003C7AA7" w:rsidRPr="002018D1" w:rsidRDefault="003C7AA7" w:rsidP="003C7AA7">
      <w:pPr>
        <w:spacing w:before="120" w:after="120" w:line="240" w:lineRule="auto"/>
        <w:ind w:left="709" w:right="190"/>
        <w:rPr>
          <w:rFonts w:asciiTheme="majorHAnsi" w:hAnsiTheme="majorHAnsi"/>
          <w:i/>
          <w:sz w:val="24"/>
          <w:lang w:val="es-CR"/>
        </w:rPr>
      </w:pPr>
    </w:p>
    <w:p w14:paraId="00170E43" w14:textId="77777777" w:rsidR="003C7AA7" w:rsidRPr="002018D1" w:rsidRDefault="003C7AA7" w:rsidP="003C7AA7">
      <w:pPr>
        <w:pStyle w:val="Prrafodelista"/>
        <w:numPr>
          <w:ilvl w:val="0"/>
          <w:numId w:val="13"/>
        </w:numPr>
        <w:spacing w:before="120" w:after="120" w:line="240" w:lineRule="auto"/>
        <w:jc w:val="both"/>
        <w:rPr>
          <w:rFonts w:asciiTheme="majorHAnsi" w:hAnsiTheme="majorHAnsi"/>
          <w:sz w:val="24"/>
          <w:szCs w:val="24"/>
        </w:rPr>
      </w:pPr>
      <w:r w:rsidRPr="002018D1">
        <w:rPr>
          <w:rFonts w:asciiTheme="majorHAnsi" w:hAnsiTheme="majorHAnsi"/>
          <w:sz w:val="24"/>
          <w:szCs w:val="24"/>
        </w:rPr>
        <w:t>Adicionar un Transitorio I a los Lineamientos Generales del Acuerdo SUGEF 15-16, conforme al siguiente texto:</w:t>
      </w:r>
    </w:p>
    <w:p w14:paraId="0F8AD41E" w14:textId="77777777" w:rsidR="003C7AA7" w:rsidRPr="002018D1" w:rsidRDefault="003C7AA7" w:rsidP="003C7AA7">
      <w:pPr>
        <w:spacing w:before="120" w:after="120" w:line="240" w:lineRule="auto"/>
        <w:ind w:left="709" w:right="190"/>
        <w:rPr>
          <w:rFonts w:asciiTheme="majorHAnsi" w:hAnsiTheme="majorHAnsi"/>
          <w:b/>
          <w:i/>
          <w:sz w:val="24"/>
          <w:lang w:val="es-CR"/>
        </w:rPr>
      </w:pPr>
      <w:r w:rsidRPr="002018D1">
        <w:rPr>
          <w:rFonts w:asciiTheme="majorHAnsi" w:hAnsiTheme="majorHAnsi"/>
          <w:b/>
          <w:i/>
          <w:sz w:val="24"/>
          <w:lang w:val="es-CR"/>
        </w:rPr>
        <w:t>“Transitorio I.</w:t>
      </w:r>
    </w:p>
    <w:p w14:paraId="5BF84A15" w14:textId="77777777" w:rsidR="003C7AA7" w:rsidRPr="002018D1" w:rsidRDefault="003C7AA7" w:rsidP="003C7AA7">
      <w:pPr>
        <w:spacing w:before="120" w:after="120" w:line="240" w:lineRule="auto"/>
        <w:ind w:left="709" w:right="190"/>
        <w:rPr>
          <w:rFonts w:asciiTheme="majorHAnsi" w:hAnsiTheme="majorHAnsi"/>
          <w:i/>
          <w:sz w:val="24"/>
          <w:lang w:val="es-CR"/>
        </w:rPr>
      </w:pPr>
      <w:r w:rsidRPr="002018D1">
        <w:rPr>
          <w:rFonts w:asciiTheme="majorHAnsi" w:hAnsiTheme="majorHAnsi"/>
          <w:i/>
          <w:sz w:val="24"/>
          <w:lang w:val="es-CR"/>
        </w:rPr>
        <w:t>La modificación a la Sección VII de los Lineamientos Generales del Acuerdo SUGEF 15-16, serán aplicadas para las nuevas operaciones que se constituyan a partir de la entrada en vigencia de esta modificación.”</w:t>
      </w:r>
    </w:p>
    <w:p w14:paraId="5F3EDE30" w14:textId="77777777" w:rsidR="003C7AA7" w:rsidRPr="002018D1" w:rsidRDefault="003C7AA7" w:rsidP="003C7AA7">
      <w:pPr>
        <w:tabs>
          <w:tab w:val="left" w:pos="2843"/>
        </w:tabs>
        <w:spacing w:line="240" w:lineRule="auto"/>
        <w:rPr>
          <w:rFonts w:asciiTheme="majorHAnsi" w:hAnsiTheme="majorHAnsi"/>
          <w:sz w:val="24"/>
        </w:rPr>
      </w:pPr>
    </w:p>
    <w:p w14:paraId="09DEC7E9" w14:textId="328049FB" w:rsidR="003C7AA7" w:rsidRPr="002018D1" w:rsidRDefault="002018D1" w:rsidP="003C7AA7">
      <w:pPr>
        <w:tabs>
          <w:tab w:val="left" w:pos="2843"/>
        </w:tabs>
        <w:spacing w:line="240" w:lineRule="auto"/>
        <w:rPr>
          <w:rFonts w:asciiTheme="majorHAnsi" w:hAnsiTheme="majorHAnsi"/>
          <w:sz w:val="24"/>
        </w:rPr>
      </w:pPr>
      <w:r w:rsidRPr="002018D1">
        <w:rPr>
          <w:rFonts w:asciiTheme="majorHAnsi" w:hAnsiTheme="majorHAnsi"/>
          <w:sz w:val="24"/>
        </w:rPr>
        <w:t>“</w:t>
      </w:r>
      <w:r w:rsidR="003C7AA7" w:rsidRPr="002018D1">
        <w:rPr>
          <w:rFonts w:asciiTheme="majorHAnsi" w:hAnsiTheme="majorHAnsi"/>
          <w:sz w:val="24"/>
        </w:rPr>
        <w:t xml:space="preserve">Rige </w:t>
      </w:r>
      <w:r w:rsidR="000A5CEA" w:rsidRPr="002018D1">
        <w:rPr>
          <w:rFonts w:asciiTheme="majorHAnsi" w:hAnsiTheme="majorHAnsi"/>
          <w:sz w:val="24"/>
        </w:rPr>
        <w:t>a partir de</w:t>
      </w:r>
      <w:r w:rsidRPr="002018D1">
        <w:rPr>
          <w:rFonts w:asciiTheme="majorHAnsi" w:hAnsiTheme="majorHAnsi"/>
          <w:sz w:val="24"/>
        </w:rPr>
        <w:t>l primero de julio de 2018.”</w:t>
      </w:r>
    </w:p>
    <w:p w14:paraId="42A7DB69" w14:textId="77777777" w:rsidR="003C7AA7" w:rsidRPr="002018D1" w:rsidRDefault="003C7AA7" w:rsidP="003C7AA7">
      <w:pPr>
        <w:pStyle w:val="Texto0"/>
        <w:spacing w:before="0" w:after="0" w:line="240" w:lineRule="auto"/>
        <w:rPr>
          <w:rFonts w:asciiTheme="majorHAnsi" w:hAnsiTheme="majorHAnsi"/>
          <w:sz w:val="24"/>
        </w:rPr>
      </w:pPr>
    </w:p>
    <w:p w14:paraId="3C99139A" w14:textId="3E239240" w:rsidR="003C7AA7" w:rsidRPr="002018D1" w:rsidRDefault="003C7AA7" w:rsidP="003C7AA7">
      <w:pPr>
        <w:pStyle w:val="Texto0"/>
        <w:spacing w:before="0" w:after="0" w:line="240" w:lineRule="auto"/>
        <w:rPr>
          <w:rFonts w:asciiTheme="majorHAnsi" w:hAnsiTheme="majorHAnsi"/>
          <w:sz w:val="24"/>
        </w:rPr>
      </w:pPr>
      <w:r w:rsidRPr="002018D1">
        <w:rPr>
          <w:rFonts w:asciiTheme="majorHAnsi" w:hAnsiTheme="majorHAnsi"/>
          <w:sz w:val="24"/>
        </w:rPr>
        <w:t>Atentamente,</w:t>
      </w:r>
    </w:p>
    <w:p w14:paraId="5791C739" w14:textId="77777777" w:rsidR="003C7AA7" w:rsidRPr="002018D1" w:rsidRDefault="003C7AA7" w:rsidP="003C7AA7">
      <w:pPr>
        <w:spacing w:line="240" w:lineRule="auto"/>
        <w:rPr>
          <w:rFonts w:asciiTheme="majorHAnsi" w:hAnsiTheme="majorHAnsi"/>
          <w:sz w:val="24"/>
        </w:rPr>
      </w:pPr>
      <w:r w:rsidRPr="002018D1">
        <w:rPr>
          <w:rFonts w:asciiTheme="majorHAnsi" w:hAnsiTheme="majorHAnsi"/>
          <w:noProof/>
          <w:sz w:val="24"/>
          <w:lang w:val="es-CR" w:eastAsia="es-CR"/>
        </w:rPr>
        <w:drawing>
          <wp:anchor distT="0" distB="0" distL="114300" distR="114300" simplePos="0" relativeHeight="251660288" behindDoc="1" locked="0" layoutInCell="1" allowOverlap="1" wp14:anchorId="78672DFE" wp14:editId="295C5240">
            <wp:simplePos x="0" y="0"/>
            <wp:positionH relativeFrom="column">
              <wp:posOffset>-129540</wp:posOffset>
            </wp:positionH>
            <wp:positionV relativeFrom="paragraph">
              <wp:posOffset>142875</wp:posOffset>
            </wp:positionV>
            <wp:extent cx="2519680" cy="3905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14:paraId="0E94AC1A" w14:textId="77777777" w:rsidR="003C7AA7" w:rsidRPr="002018D1" w:rsidRDefault="003C7AA7" w:rsidP="003C7AA7">
      <w:pPr>
        <w:spacing w:line="240" w:lineRule="auto"/>
        <w:rPr>
          <w:rFonts w:asciiTheme="majorHAnsi" w:hAnsiTheme="majorHAnsi"/>
          <w:sz w:val="24"/>
        </w:rPr>
      </w:pPr>
    </w:p>
    <w:p w14:paraId="789B257A" w14:textId="77777777" w:rsidR="003C7AA7" w:rsidRPr="002018D1" w:rsidRDefault="003C7AA7" w:rsidP="003C7AA7">
      <w:pPr>
        <w:spacing w:line="240" w:lineRule="auto"/>
        <w:rPr>
          <w:rFonts w:asciiTheme="majorHAnsi" w:hAnsiTheme="majorHAnsi"/>
          <w:sz w:val="24"/>
        </w:rPr>
      </w:pPr>
    </w:p>
    <w:p w14:paraId="72F9B6D3" w14:textId="77777777" w:rsidR="003C7AA7" w:rsidRPr="002018D1" w:rsidRDefault="003C7AA7" w:rsidP="003C7AA7">
      <w:pPr>
        <w:spacing w:line="240" w:lineRule="auto"/>
        <w:rPr>
          <w:rFonts w:asciiTheme="majorHAnsi" w:hAnsiTheme="majorHAnsi"/>
          <w:sz w:val="24"/>
        </w:rPr>
      </w:pPr>
    </w:p>
    <w:p w14:paraId="70E7A014" w14:textId="77777777" w:rsidR="003C7AA7" w:rsidRPr="002018D1" w:rsidRDefault="003C7AA7" w:rsidP="003C7AA7">
      <w:pPr>
        <w:spacing w:line="240" w:lineRule="auto"/>
        <w:rPr>
          <w:rFonts w:asciiTheme="majorHAnsi" w:hAnsiTheme="majorHAnsi"/>
          <w:b/>
          <w:sz w:val="24"/>
        </w:rPr>
      </w:pPr>
      <w:r w:rsidRPr="002018D1">
        <w:rPr>
          <w:rFonts w:asciiTheme="majorHAnsi" w:hAnsiTheme="majorHAnsi"/>
          <w:b/>
          <w:sz w:val="24"/>
        </w:rPr>
        <w:t>Jenaro Segura Calderón</w:t>
      </w:r>
    </w:p>
    <w:p w14:paraId="00F520F8" w14:textId="77777777" w:rsidR="003C7AA7" w:rsidRPr="002018D1" w:rsidRDefault="003C7AA7" w:rsidP="003C7AA7">
      <w:pPr>
        <w:spacing w:line="240" w:lineRule="auto"/>
        <w:rPr>
          <w:rFonts w:asciiTheme="majorHAnsi" w:hAnsiTheme="majorHAnsi"/>
          <w:sz w:val="24"/>
        </w:rPr>
      </w:pPr>
      <w:r w:rsidRPr="002018D1">
        <w:rPr>
          <w:rFonts w:asciiTheme="majorHAnsi" w:hAnsiTheme="majorHAnsi"/>
          <w:sz w:val="24"/>
        </w:rPr>
        <w:t>Superintendente a.í.</w:t>
      </w:r>
    </w:p>
    <w:p w14:paraId="56FE8DC1" w14:textId="77777777" w:rsidR="003C7AA7" w:rsidRPr="002018D1" w:rsidRDefault="003C7AA7" w:rsidP="003C7AA7">
      <w:pPr>
        <w:rPr>
          <w:rFonts w:asciiTheme="majorHAnsi" w:hAnsiTheme="majorHAnsi"/>
          <w:sz w:val="24"/>
        </w:rPr>
      </w:pPr>
    </w:p>
    <w:p w14:paraId="7E90FFC6" w14:textId="77777777" w:rsidR="003C7AA7" w:rsidRPr="002018D1" w:rsidRDefault="003C7AA7" w:rsidP="003C7AA7">
      <w:pPr>
        <w:pStyle w:val="CC"/>
        <w:rPr>
          <w:rFonts w:asciiTheme="majorHAnsi" w:hAnsiTheme="majorHAnsi"/>
          <w:b/>
          <w:sz w:val="24"/>
          <w:szCs w:val="24"/>
        </w:rPr>
      </w:pPr>
      <w:r w:rsidRPr="002018D1">
        <w:rPr>
          <w:rFonts w:asciiTheme="majorHAnsi" w:hAnsiTheme="majorHAnsi"/>
          <w:b/>
          <w:sz w:val="24"/>
          <w:szCs w:val="24"/>
        </w:rPr>
        <w:t>GAA/gvl*</w:t>
      </w:r>
    </w:p>
    <w:p w14:paraId="1BB1525B" w14:textId="77777777" w:rsidR="00EB4E27" w:rsidRPr="002018D1" w:rsidRDefault="00EB4E27" w:rsidP="003C7AA7">
      <w:pPr>
        <w:rPr>
          <w:rFonts w:asciiTheme="majorHAnsi" w:hAnsiTheme="majorHAnsi"/>
          <w:sz w:val="24"/>
        </w:rPr>
      </w:pPr>
    </w:p>
    <w:sectPr w:rsidR="00EB4E27" w:rsidRPr="002018D1" w:rsidSect="005739A8">
      <w:headerReference w:type="default" r:id="rId14"/>
      <w:footerReference w:type="default" r:id="rId15"/>
      <w:headerReference w:type="first" r:id="rId16"/>
      <w:footerReference w:type="first" r:id="rId17"/>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968A6F" w14:textId="77777777" w:rsidR="003C7AA7" w:rsidRDefault="003C7AA7" w:rsidP="00D43D57">
      <w:r>
        <w:separator/>
      </w:r>
    </w:p>
  </w:endnote>
  <w:endnote w:type="continuationSeparator" w:id="0">
    <w:p w14:paraId="4AD61603" w14:textId="77777777" w:rsidR="003C7AA7" w:rsidRDefault="003C7AA7"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CFDD9" w14:textId="77777777" w:rsidR="005B448F" w:rsidRDefault="005B448F"/>
  <w:tbl>
    <w:tblPr>
      <w:tblW w:w="86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14:paraId="16B0BFDF" w14:textId="77777777" w:rsidTr="008F1461">
      <w:trPr>
        <w:trHeight w:val="546"/>
      </w:trPr>
      <w:tc>
        <w:tcPr>
          <w:tcW w:w="3189" w:type="dxa"/>
          <w:shd w:val="clear" w:color="auto" w:fill="FFFFFF"/>
          <w:vAlign w:val="center"/>
        </w:tcPr>
        <w:p w14:paraId="7A531D55" w14:textId="77777777" w:rsidR="008F1461" w:rsidRDefault="008F1461" w:rsidP="000C62BB">
          <w:pPr>
            <w:pStyle w:val="Piepagina"/>
          </w:pPr>
          <w:r>
            <w:rPr>
              <w:b/>
              <w:bCs/>
            </w:rPr>
            <w:t>Teléfono</w:t>
          </w:r>
          <w:r>
            <w:t xml:space="preserve">   (506) 2243-4848</w:t>
          </w:r>
        </w:p>
        <w:p w14:paraId="61994C39" w14:textId="77777777" w:rsidR="008F1461" w:rsidRDefault="008F1461" w:rsidP="000C62BB">
          <w:pPr>
            <w:pStyle w:val="Piepagina"/>
          </w:pPr>
          <w:r>
            <w:rPr>
              <w:b/>
              <w:bCs/>
            </w:rPr>
            <w:t>Facsímile</w:t>
          </w:r>
          <w:r>
            <w:t xml:space="preserve">  (506) 2243-4849</w:t>
          </w:r>
        </w:p>
      </w:tc>
      <w:tc>
        <w:tcPr>
          <w:tcW w:w="2835" w:type="dxa"/>
          <w:shd w:val="clear" w:color="auto" w:fill="FFFFFF"/>
          <w:vAlign w:val="center"/>
        </w:tcPr>
        <w:p w14:paraId="510E1AC5" w14:textId="77777777" w:rsidR="008F1461" w:rsidRDefault="008F1461" w:rsidP="000C62BB">
          <w:pPr>
            <w:pStyle w:val="Piepagina"/>
          </w:pPr>
          <w:r>
            <w:rPr>
              <w:b/>
              <w:bCs/>
            </w:rPr>
            <w:t>Apartado</w:t>
          </w:r>
          <w:r>
            <w:t xml:space="preserve"> 2762-1000</w:t>
          </w:r>
        </w:p>
        <w:p w14:paraId="2525DF45" w14:textId="77777777" w:rsidR="008F1461" w:rsidRDefault="008F1461" w:rsidP="000C62BB">
          <w:pPr>
            <w:pStyle w:val="Piepagina"/>
          </w:pPr>
          <w:r>
            <w:t>San José, Costa Rica</w:t>
          </w:r>
        </w:p>
      </w:tc>
      <w:tc>
        <w:tcPr>
          <w:tcW w:w="2410" w:type="dxa"/>
          <w:shd w:val="clear" w:color="auto" w:fill="FFFFFF"/>
          <w:vAlign w:val="center"/>
        </w:tcPr>
        <w:p w14:paraId="38F31C87" w14:textId="77777777" w:rsidR="008F1461" w:rsidRDefault="008F1461" w:rsidP="000C62BB">
          <w:pPr>
            <w:pStyle w:val="Piepagina"/>
          </w:pPr>
          <w:r>
            <w:t>www.sugef.fi.cr</w:t>
          </w:r>
        </w:p>
        <w:p w14:paraId="619A454D" w14:textId="77777777" w:rsidR="008F1461" w:rsidRDefault="008F1461" w:rsidP="000C62BB">
          <w:pPr>
            <w:pStyle w:val="Piepagina"/>
          </w:pPr>
          <w:r>
            <w:t>sugefcr@sugef.fi.cr</w:t>
          </w:r>
        </w:p>
      </w:tc>
      <w:tc>
        <w:tcPr>
          <w:tcW w:w="260" w:type="dxa"/>
          <w:shd w:val="clear" w:color="auto" w:fill="FFFFFF"/>
        </w:tcPr>
        <w:p w14:paraId="76618824" w14:textId="77777777" w:rsidR="008F1461" w:rsidRDefault="008F1461" w:rsidP="000C62BB">
          <w:pPr>
            <w:pStyle w:val="Piepagina"/>
          </w:pPr>
          <w:r>
            <w:fldChar w:fldCharType="begin"/>
          </w:r>
          <w:r>
            <w:instrText>PAGE   \* MERGEFORMAT</w:instrText>
          </w:r>
          <w:r>
            <w:fldChar w:fldCharType="separate"/>
          </w:r>
          <w:r w:rsidR="00FC2242">
            <w:rPr>
              <w:noProof/>
            </w:rPr>
            <w:t>5</w:t>
          </w:r>
          <w:r>
            <w:fldChar w:fldCharType="end"/>
          </w:r>
        </w:p>
      </w:tc>
    </w:tr>
  </w:tbl>
  <w:p w14:paraId="15BD8BFB" w14:textId="77777777" w:rsidR="00590F07" w:rsidRPr="000C62BB" w:rsidRDefault="00590F07">
    <w:pPr>
      <w:pStyle w:val="Piedepgina"/>
      <w:jc w:val="right"/>
      <w:rPr>
        <w:color w:val="969696"/>
        <w:sz w:val="20"/>
        <w:szCs w:val="20"/>
      </w:rPr>
    </w:pPr>
  </w:p>
  <w:p w14:paraId="23AFD7FA" w14:textId="77777777" w:rsidR="001C075B" w:rsidRDefault="001C075B" w:rsidP="00FA54DF">
    <w:pPr>
      <w:pStyle w:val="Piedepgina"/>
      <w:tabs>
        <w:tab w:val="center" w:pos="4305"/>
        <w:tab w:val="left" w:pos="6290"/>
      </w:tabs>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45313" w14:textId="77777777" w:rsidR="001C075B" w:rsidRDefault="001C075B" w:rsidP="008C0BF0">
    <w:pPr>
      <w:pStyle w:val="Piepagina"/>
      <w:jc w:val="center"/>
    </w:pPr>
    <w:r>
      <w:rPr>
        <w:noProof/>
        <w:lang w:val="es-CR" w:eastAsia="es-CR"/>
      </w:rPr>
      <w:drawing>
        <wp:anchor distT="0" distB="0" distL="114300" distR="114300" simplePos="0" relativeHeight="251669504" behindDoc="1" locked="0" layoutInCell="1" allowOverlap="1" wp14:anchorId="4CF3930F" wp14:editId="375D7FC4">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anchorId="18FB4976" wp14:editId="7B3E03BD">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A8FB0" w14:textId="77777777" w:rsidR="001C075B" w:rsidRPr="00FA54DF" w:rsidRDefault="001C075B">
                          <w:pPr>
                            <w:rPr>
                              <w:color w:val="003A68"/>
                              <w:sz w:val="14"/>
                              <w:szCs w:val="14"/>
                            </w:rPr>
                          </w:pPr>
                          <w:r w:rsidRPr="00FA54DF">
                            <w:rPr>
                              <w:color w:val="003A68"/>
                              <w:sz w:val="14"/>
                              <w:szCs w:val="14"/>
                            </w:rPr>
                            <w:t xml:space="preserve">T. (506) 2243-3631   </w:t>
                          </w:r>
                        </w:p>
                        <w:p w14:paraId="14071C5F" w14:textId="77777777" w:rsidR="001C075B" w:rsidRPr="00FA54DF" w:rsidRDefault="001C075B">
                          <w:pPr>
                            <w:rPr>
                              <w:color w:val="003A68"/>
                              <w:sz w:val="14"/>
                              <w:szCs w:val="14"/>
                            </w:rPr>
                          </w:pPr>
                          <w:r w:rsidRPr="00FA54DF">
                            <w:rPr>
                              <w:color w:val="003A68"/>
                              <w:sz w:val="14"/>
                              <w:szCs w:val="14"/>
                            </w:rPr>
                            <w:t xml:space="preserve">F. (506) 2243-4579   </w:t>
                          </w:r>
                        </w:p>
                        <w:p w14:paraId="6FD81C49" w14:textId="77777777" w:rsidR="001C075B" w:rsidRDefault="001C075B">
                          <w:pPr>
                            <w:rPr>
                              <w:color w:val="003A68"/>
                              <w:sz w:val="14"/>
                              <w:szCs w:val="14"/>
                            </w:rPr>
                          </w:pPr>
                          <w:r w:rsidRPr="00FA54DF">
                            <w:rPr>
                              <w:color w:val="003A68"/>
                              <w:sz w:val="14"/>
                              <w:szCs w:val="14"/>
                            </w:rPr>
                            <w:t>Apdo. 10058-1000</w:t>
                          </w:r>
                        </w:p>
                        <w:p w14:paraId="50C20A10" w14:textId="77777777" w:rsidR="001C075B" w:rsidRDefault="001C075B">
                          <w:pPr>
                            <w:rPr>
                              <w:color w:val="003A68"/>
                              <w:sz w:val="14"/>
                              <w:szCs w:val="14"/>
                            </w:rPr>
                          </w:pPr>
                          <w:r w:rsidRPr="00FA54DF">
                            <w:rPr>
                              <w:color w:val="003A68"/>
                              <w:sz w:val="14"/>
                              <w:szCs w:val="14"/>
                            </w:rPr>
                            <w:t>Av. 1 y Central, Calles 2 y 4</w:t>
                          </w:r>
                        </w:p>
                        <w:p w14:paraId="3F08F73B" w14:textId="77777777" w:rsidR="001C075B" w:rsidRPr="00FA54DF" w:rsidRDefault="001C075B">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18FB4976">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161A8FB0" w14:textId="77777777">
                    <w:pPr>
                      <w:rPr>
                        <w:color w:val="003A68"/>
                        <w:sz w:val="14"/>
                        <w:szCs w:val="14"/>
                      </w:rPr>
                    </w:pPr>
                    <w:r w:rsidRPr="00FA54DF">
                      <w:rPr>
                        <w:color w:val="003A68"/>
                        <w:sz w:val="14"/>
                        <w:szCs w:val="14"/>
                      </w:rPr>
                      <w:t xml:space="preserve">T. (506) 2243-3631   </w:t>
                    </w:r>
                  </w:p>
                  <w:p w:rsidRPr="00FA54DF" w:rsidR="001C075B" w:rsidRDefault="001C075B" w14:paraId="14071C5F" w14:textId="77777777">
                    <w:pPr>
                      <w:rPr>
                        <w:color w:val="003A68"/>
                        <w:sz w:val="14"/>
                        <w:szCs w:val="14"/>
                      </w:rPr>
                    </w:pPr>
                    <w:r w:rsidRPr="00FA54DF">
                      <w:rPr>
                        <w:color w:val="003A68"/>
                        <w:sz w:val="14"/>
                        <w:szCs w:val="14"/>
                      </w:rPr>
                      <w:t xml:space="preserve">F. (506) 2243-4579   </w:t>
                    </w:r>
                  </w:p>
                  <w:p w:rsidR="001C075B" w:rsidRDefault="001C075B" w14:paraId="6FD81C49" w14:textId="77777777">
                    <w:pPr>
                      <w:rPr>
                        <w:color w:val="003A68"/>
                        <w:sz w:val="14"/>
                        <w:szCs w:val="14"/>
                      </w:rPr>
                    </w:pPr>
                    <w:r w:rsidRPr="00FA54DF">
                      <w:rPr>
                        <w:color w:val="003A68"/>
                        <w:sz w:val="14"/>
                        <w:szCs w:val="14"/>
                      </w:rPr>
                      <w:t>Apdo. 10058-1000</w:t>
                    </w:r>
                  </w:p>
                  <w:p w:rsidR="001C075B" w:rsidRDefault="001C075B" w14:paraId="50C20A10" w14:textId="77777777">
                    <w:pPr>
                      <w:rPr>
                        <w:color w:val="003A68"/>
                        <w:sz w:val="14"/>
                        <w:szCs w:val="14"/>
                      </w:rPr>
                    </w:pPr>
                    <w:r w:rsidRPr="00FA54DF">
                      <w:rPr>
                        <w:color w:val="003A68"/>
                        <w:sz w:val="14"/>
                        <w:szCs w:val="14"/>
                      </w:rPr>
                      <w:t>Av. 1 y Central, Calles 2 y 4</w:t>
                    </w:r>
                  </w:p>
                  <w:p w:rsidRPr="00FA54DF" w:rsidR="001C075B" w:rsidRDefault="001C075B" w14:paraId="3F08F73B" w14:textId="77777777">
                    <w:pPr>
                      <w:rPr>
                        <w:color w:val="003A68"/>
                        <w:sz w:val="14"/>
                        <w:szCs w:val="14"/>
                      </w:rPr>
                    </w:pPr>
                  </w:p>
                </w:txbxContent>
              </v:textbox>
            </v:shape>
          </w:pict>
        </mc:Fallback>
      </mc:AlternateContent>
    </w:r>
  </w:p>
  <w:p w14:paraId="6D83F0E5" w14:textId="77777777" w:rsidR="001C075B" w:rsidRPr="00D43D57" w:rsidRDefault="001C075B" w:rsidP="008C0BF0">
    <w:pPr>
      <w:pStyle w:val="Piepagina"/>
      <w:jc w:val="center"/>
    </w:pPr>
  </w:p>
  <w:p w14:paraId="79BD6345" w14:textId="77777777" w:rsidR="001C075B" w:rsidRDefault="001C07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5D8EAF" w14:textId="77777777" w:rsidR="003C7AA7" w:rsidRDefault="003C7AA7" w:rsidP="00D43D57">
      <w:r>
        <w:separator/>
      </w:r>
    </w:p>
  </w:footnote>
  <w:footnote w:type="continuationSeparator" w:id="0">
    <w:p w14:paraId="61A20DBE" w14:textId="77777777" w:rsidR="003C7AA7" w:rsidRDefault="003C7AA7" w:rsidP="00D43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C6254" w14:textId="77777777" w:rsidR="001C075B" w:rsidRDefault="001327EB" w:rsidP="001327EB">
    <w:pPr>
      <w:pStyle w:val="Piedepgina"/>
      <w:jc w:val="center"/>
    </w:pPr>
    <w:r>
      <w:rPr>
        <w:noProof/>
        <w:lang w:val="es-CR" w:eastAsia="es-CR"/>
      </w:rPr>
      <w:drawing>
        <wp:inline distT="0" distB="0" distL="0" distR="0" wp14:anchorId="04F9E956" wp14:editId="027937FA">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D476E" w14:textId="77777777" w:rsidR="00D96D0A" w:rsidRPr="00D96D0A" w:rsidRDefault="00D96D0A" w:rsidP="00D96D0A">
    <w:pPr>
      <w:pStyle w:val="Encabezado"/>
      <w:pBdr>
        <w:bottom w:val="single" w:sz="4" w:space="3" w:color="auto"/>
      </w:pBdr>
      <w:ind w:right="-1"/>
      <w:rPr>
        <w:b/>
        <w:sz w:val="20"/>
        <w:szCs w:val="20"/>
      </w:rPr>
    </w:pPr>
    <w:r>
      <w:rPr>
        <w:noProof/>
        <w:lang w:val="es-CR" w:eastAsia="es-CR"/>
      </w:rPr>
      <w:drawing>
        <wp:inline distT="0" distB="0" distL="0" distR="0" wp14:anchorId="7F6519FA" wp14:editId="64A299CF">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14:paraId="653A1868" w14:textId="77777777" w:rsidR="001C075B" w:rsidRDefault="001C075B" w:rsidP="00D96D0A">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336E89A"/>
    <w:lvl w:ilvl="0">
      <w:start w:val="1"/>
      <w:numFmt w:val="decimal"/>
      <w:lvlText w:val="%1."/>
      <w:lvlJc w:val="left"/>
      <w:pPr>
        <w:tabs>
          <w:tab w:val="num" w:pos="1800"/>
        </w:tabs>
        <w:ind w:left="1800" w:hanging="360"/>
      </w:pPr>
    </w:lvl>
  </w:abstractNum>
  <w:abstractNum w:abstractNumId="1">
    <w:nsid w:val="FFFFFF7D"/>
    <w:multiLevelType w:val="singleLevel"/>
    <w:tmpl w:val="3EC09F40"/>
    <w:lvl w:ilvl="0">
      <w:start w:val="1"/>
      <w:numFmt w:val="decimal"/>
      <w:lvlText w:val="%1."/>
      <w:lvlJc w:val="left"/>
      <w:pPr>
        <w:tabs>
          <w:tab w:val="num" w:pos="1440"/>
        </w:tabs>
        <w:ind w:left="1440" w:hanging="360"/>
      </w:pPr>
    </w:lvl>
  </w:abstractNum>
  <w:abstractNum w:abstractNumId="2">
    <w:nsid w:val="FFFFFF7E"/>
    <w:multiLevelType w:val="singleLevel"/>
    <w:tmpl w:val="E6B088C4"/>
    <w:lvl w:ilvl="0">
      <w:start w:val="1"/>
      <w:numFmt w:val="decimal"/>
      <w:lvlText w:val="%1."/>
      <w:lvlJc w:val="left"/>
      <w:pPr>
        <w:tabs>
          <w:tab w:val="num" w:pos="1080"/>
        </w:tabs>
        <w:ind w:left="1080" w:hanging="360"/>
      </w:pPr>
    </w:lvl>
  </w:abstractNum>
  <w:abstractNum w:abstractNumId="3">
    <w:nsid w:val="FFFFFF7F"/>
    <w:multiLevelType w:val="singleLevel"/>
    <w:tmpl w:val="3EE2F482"/>
    <w:lvl w:ilvl="0">
      <w:start w:val="1"/>
      <w:numFmt w:val="decimal"/>
      <w:lvlText w:val="%1."/>
      <w:lvlJc w:val="left"/>
      <w:pPr>
        <w:tabs>
          <w:tab w:val="num" w:pos="720"/>
        </w:tabs>
        <w:ind w:left="720" w:hanging="360"/>
      </w:pPr>
    </w:lvl>
  </w:abstractNum>
  <w:abstractNum w:abstractNumId="4">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6D8DE6C"/>
    <w:lvl w:ilvl="0">
      <w:start w:val="1"/>
      <w:numFmt w:val="decimal"/>
      <w:lvlText w:val="%1."/>
      <w:lvlJc w:val="left"/>
      <w:pPr>
        <w:tabs>
          <w:tab w:val="num" w:pos="360"/>
        </w:tabs>
        <w:ind w:left="360" w:hanging="360"/>
      </w:pPr>
    </w:lvl>
  </w:abstractNum>
  <w:abstractNum w:abstractNumId="9">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nsid w:val="00480548"/>
    <w:multiLevelType w:val="hybridMultilevel"/>
    <w:tmpl w:val="77D805E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2">
    <w:nsid w:val="1718194B"/>
    <w:multiLevelType w:val="hybridMultilevel"/>
    <w:tmpl w:val="0B04E6E2"/>
    <w:lvl w:ilvl="0" w:tplc="140A0011">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28685ABB"/>
    <w:multiLevelType w:val="hybridMultilevel"/>
    <w:tmpl w:val="026A1380"/>
    <w:lvl w:ilvl="0" w:tplc="140A000F">
      <w:start w:val="1"/>
      <w:numFmt w:val="decimal"/>
      <w:lvlText w:val="%1."/>
      <w:lvlJc w:val="left"/>
      <w:pPr>
        <w:ind w:left="753" w:hanging="360"/>
      </w:pPr>
    </w:lvl>
    <w:lvl w:ilvl="1" w:tplc="140A0019" w:tentative="1">
      <w:start w:val="1"/>
      <w:numFmt w:val="lowerLetter"/>
      <w:lvlText w:val="%2."/>
      <w:lvlJc w:val="left"/>
      <w:pPr>
        <w:ind w:left="1473" w:hanging="360"/>
      </w:pPr>
    </w:lvl>
    <w:lvl w:ilvl="2" w:tplc="140A001B" w:tentative="1">
      <w:start w:val="1"/>
      <w:numFmt w:val="lowerRoman"/>
      <w:lvlText w:val="%3."/>
      <w:lvlJc w:val="right"/>
      <w:pPr>
        <w:ind w:left="2193" w:hanging="180"/>
      </w:pPr>
    </w:lvl>
    <w:lvl w:ilvl="3" w:tplc="140A000F" w:tentative="1">
      <w:start w:val="1"/>
      <w:numFmt w:val="decimal"/>
      <w:lvlText w:val="%4."/>
      <w:lvlJc w:val="left"/>
      <w:pPr>
        <w:ind w:left="2913" w:hanging="360"/>
      </w:pPr>
    </w:lvl>
    <w:lvl w:ilvl="4" w:tplc="140A0019" w:tentative="1">
      <w:start w:val="1"/>
      <w:numFmt w:val="lowerLetter"/>
      <w:lvlText w:val="%5."/>
      <w:lvlJc w:val="left"/>
      <w:pPr>
        <w:ind w:left="3633" w:hanging="360"/>
      </w:pPr>
    </w:lvl>
    <w:lvl w:ilvl="5" w:tplc="140A001B" w:tentative="1">
      <w:start w:val="1"/>
      <w:numFmt w:val="lowerRoman"/>
      <w:lvlText w:val="%6."/>
      <w:lvlJc w:val="right"/>
      <w:pPr>
        <w:ind w:left="4353" w:hanging="180"/>
      </w:pPr>
    </w:lvl>
    <w:lvl w:ilvl="6" w:tplc="140A000F" w:tentative="1">
      <w:start w:val="1"/>
      <w:numFmt w:val="decimal"/>
      <w:lvlText w:val="%7."/>
      <w:lvlJc w:val="left"/>
      <w:pPr>
        <w:ind w:left="5073" w:hanging="360"/>
      </w:pPr>
    </w:lvl>
    <w:lvl w:ilvl="7" w:tplc="140A0019" w:tentative="1">
      <w:start w:val="1"/>
      <w:numFmt w:val="lowerLetter"/>
      <w:lvlText w:val="%8."/>
      <w:lvlJc w:val="left"/>
      <w:pPr>
        <w:ind w:left="5793" w:hanging="360"/>
      </w:pPr>
    </w:lvl>
    <w:lvl w:ilvl="8" w:tplc="140A001B" w:tentative="1">
      <w:start w:val="1"/>
      <w:numFmt w:val="lowerRoman"/>
      <w:lvlText w:val="%9."/>
      <w:lvlJc w:val="right"/>
      <w:pPr>
        <w:ind w:left="6513" w:hanging="180"/>
      </w:pPr>
    </w:lvl>
  </w:abstractNum>
  <w:abstractNum w:abstractNumId="14">
    <w:nsid w:val="315C51EE"/>
    <w:multiLevelType w:val="hybridMultilevel"/>
    <w:tmpl w:val="DC72B4A8"/>
    <w:lvl w:ilvl="0" w:tplc="21E46D38">
      <w:start w:val="1"/>
      <w:numFmt w:val="upperRoman"/>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5">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6">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abstractNumId w:val="11"/>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0"/>
  </w:num>
  <w:num w:numId="15">
    <w:abstractNumId w:val="16"/>
  </w:num>
  <w:num w:numId="16">
    <w:abstractNumId w:val="16"/>
  </w:num>
  <w:num w:numId="17">
    <w:abstractNumId w:val="13"/>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AA7"/>
    <w:rsid w:val="000064A4"/>
    <w:rsid w:val="000235B5"/>
    <w:rsid w:val="00026C85"/>
    <w:rsid w:val="00041BDD"/>
    <w:rsid w:val="000439A6"/>
    <w:rsid w:val="00060C03"/>
    <w:rsid w:val="000646DD"/>
    <w:rsid w:val="00081865"/>
    <w:rsid w:val="00082968"/>
    <w:rsid w:val="000916A3"/>
    <w:rsid w:val="000A5CEA"/>
    <w:rsid w:val="000C62BB"/>
    <w:rsid w:val="000E0AC6"/>
    <w:rsid w:val="000E27A9"/>
    <w:rsid w:val="000F34AE"/>
    <w:rsid w:val="001052E8"/>
    <w:rsid w:val="00117501"/>
    <w:rsid w:val="001322B4"/>
    <w:rsid w:val="001327EB"/>
    <w:rsid w:val="0016220C"/>
    <w:rsid w:val="001653C6"/>
    <w:rsid w:val="001946F4"/>
    <w:rsid w:val="001A6574"/>
    <w:rsid w:val="001C075B"/>
    <w:rsid w:val="001C5806"/>
    <w:rsid w:val="001E0448"/>
    <w:rsid w:val="00200882"/>
    <w:rsid w:val="002018D1"/>
    <w:rsid w:val="00230C67"/>
    <w:rsid w:val="002645B7"/>
    <w:rsid w:val="00264DE6"/>
    <w:rsid w:val="002A14D5"/>
    <w:rsid w:val="002C56A4"/>
    <w:rsid w:val="002E2B0A"/>
    <w:rsid w:val="002E3589"/>
    <w:rsid w:val="002E56D1"/>
    <w:rsid w:val="002E571B"/>
    <w:rsid w:val="002F08D5"/>
    <w:rsid w:val="003060E2"/>
    <w:rsid w:val="00310570"/>
    <w:rsid w:val="00317BBB"/>
    <w:rsid w:val="00322A87"/>
    <w:rsid w:val="003267FB"/>
    <w:rsid w:val="003312B8"/>
    <w:rsid w:val="003503A2"/>
    <w:rsid w:val="003554C5"/>
    <w:rsid w:val="00365794"/>
    <w:rsid w:val="00373B22"/>
    <w:rsid w:val="0038338F"/>
    <w:rsid w:val="00385CC2"/>
    <w:rsid w:val="003C4C71"/>
    <w:rsid w:val="003C7AA7"/>
    <w:rsid w:val="003E4EDB"/>
    <w:rsid w:val="00410551"/>
    <w:rsid w:val="00414B77"/>
    <w:rsid w:val="00427002"/>
    <w:rsid w:val="00445881"/>
    <w:rsid w:val="00447A41"/>
    <w:rsid w:val="004822E6"/>
    <w:rsid w:val="00492FE3"/>
    <w:rsid w:val="004B4192"/>
    <w:rsid w:val="004D7F44"/>
    <w:rsid w:val="004F74E7"/>
    <w:rsid w:val="005105C4"/>
    <w:rsid w:val="0053623F"/>
    <w:rsid w:val="00550D78"/>
    <w:rsid w:val="00557369"/>
    <w:rsid w:val="005706D1"/>
    <w:rsid w:val="005739A8"/>
    <w:rsid w:val="005751FC"/>
    <w:rsid w:val="00577A95"/>
    <w:rsid w:val="005852CF"/>
    <w:rsid w:val="00590F07"/>
    <w:rsid w:val="0059392E"/>
    <w:rsid w:val="005B448F"/>
    <w:rsid w:val="005C173B"/>
    <w:rsid w:val="005E07F2"/>
    <w:rsid w:val="005E39BB"/>
    <w:rsid w:val="00601809"/>
    <w:rsid w:val="006033C4"/>
    <w:rsid w:val="00603B3F"/>
    <w:rsid w:val="00604A3D"/>
    <w:rsid w:val="0060703F"/>
    <w:rsid w:val="00614D68"/>
    <w:rsid w:val="00620B23"/>
    <w:rsid w:val="0062633F"/>
    <w:rsid w:val="00627904"/>
    <w:rsid w:val="00630B5C"/>
    <w:rsid w:val="00635AC4"/>
    <w:rsid w:val="00640202"/>
    <w:rsid w:val="00662901"/>
    <w:rsid w:val="00681F7A"/>
    <w:rsid w:val="00692661"/>
    <w:rsid w:val="006C2059"/>
    <w:rsid w:val="006E3610"/>
    <w:rsid w:val="006E6F58"/>
    <w:rsid w:val="0071134B"/>
    <w:rsid w:val="00714DC4"/>
    <w:rsid w:val="00741F10"/>
    <w:rsid w:val="00742018"/>
    <w:rsid w:val="007427BA"/>
    <w:rsid w:val="0074397B"/>
    <w:rsid w:val="007455FF"/>
    <w:rsid w:val="00755896"/>
    <w:rsid w:val="00765619"/>
    <w:rsid w:val="007726CC"/>
    <w:rsid w:val="007736D4"/>
    <w:rsid w:val="007771F3"/>
    <w:rsid w:val="007815A6"/>
    <w:rsid w:val="0079518D"/>
    <w:rsid w:val="007B18D6"/>
    <w:rsid w:val="007B51DD"/>
    <w:rsid w:val="007D1328"/>
    <w:rsid w:val="007F1723"/>
    <w:rsid w:val="007F327D"/>
    <w:rsid w:val="007F3A44"/>
    <w:rsid w:val="007F5430"/>
    <w:rsid w:val="008202A0"/>
    <w:rsid w:val="008310AB"/>
    <w:rsid w:val="00832753"/>
    <w:rsid w:val="00842773"/>
    <w:rsid w:val="0085692C"/>
    <w:rsid w:val="00864362"/>
    <w:rsid w:val="00887400"/>
    <w:rsid w:val="00892708"/>
    <w:rsid w:val="00893B0D"/>
    <w:rsid w:val="00895097"/>
    <w:rsid w:val="008A1AA2"/>
    <w:rsid w:val="008A63B7"/>
    <w:rsid w:val="008B3838"/>
    <w:rsid w:val="008C0BF0"/>
    <w:rsid w:val="008D0528"/>
    <w:rsid w:val="008E5850"/>
    <w:rsid w:val="008F1461"/>
    <w:rsid w:val="008F1D96"/>
    <w:rsid w:val="008F33F5"/>
    <w:rsid w:val="00904CBE"/>
    <w:rsid w:val="00906CC5"/>
    <w:rsid w:val="00935166"/>
    <w:rsid w:val="00936085"/>
    <w:rsid w:val="009475B6"/>
    <w:rsid w:val="00962265"/>
    <w:rsid w:val="0097235C"/>
    <w:rsid w:val="00977CEE"/>
    <w:rsid w:val="00982147"/>
    <w:rsid w:val="00983CB1"/>
    <w:rsid w:val="00984A65"/>
    <w:rsid w:val="009908DE"/>
    <w:rsid w:val="009B5E5E"/>
    <w:rsid w:val="009C47FE"/>
    <w:rsid w:val="009F54CB"/>
    <w:rsid w:val="00A26E9E"/>
    <w:rsid w:val="00A34523"/>
    <w:rsid w:val="00A76A2E"/>
    <w:rsid w:val="00A84CDB"/>
    <w:rsid w:val="00A906DD"/>
    <w:rsid w:val="00AC5138"/>
    <w:rsid w:val="00AC5E12"/>
    <w:rsid w:val="00AD7B1E"/>
    <w:rsid w:val="00AE3929"/>
    <w:rsid w:val="00AF45B7"/>
    <w:rsid w:val="00B079EC"/>
    <w:rsid w:val="00B1318C"/>
    <w:rsid w:val="00B43C40"/>
    <w:rsid w:val="00B464F6"/>
    <w:rsid w:val="00B77CF0"/>
    <w:rsid w:val="00B80284"/>
    <w:rsid w:val="00B84E87"/>
    <w:rsid w:val="00B90216"/>
    <w:rsid w:val="00B94DE2"/>
    <w:rsid w:val="00BA112E"/>
    <w:rsid w:val="00BA711C"/>
    <w:rsid w:val="00BB0F2F"/>
    <w:rsid w:val="00BB470C"/>
    <w:rsid w:val="00BC03D6"/>
    <w:rsid w:val="00BD71E9"/>
    <w:rsid w:val="00BE119A"/>
    <w:rsid w:val="00BE6A0B"/>
    <w:rsid w:val="00BE7B10"/>
    <w:rsid w:val="00C039CE"/>
    <w:rsid w:val="00C1795E"/>
    <w:rsid w:val="00C22C6C"/>
    <w:rsid w:val="00C414C9"/>
    <w:rsid w:val="00C42047"/>
    <w:rsid w:val="00C5093E"/>
    <w:rsid w:val="00C60480"/>
    <w:rsid w:val="00C64425"/>
    <w:rsid w:val="00C65966"/>
    <w:rsid w:val="00C809BA"/>
    <w:rsid w:val="00C9305E"/>
    <w:rsid w:val="00CA3FA8"/>
    <w:rsid w:val="00CB07CA"/>
    <w:rsid w:val="00CB6F6B"/>
    <w:rsid w:val="00CC03EB"/>
    <w:rsid w:val="00D03728"/>
    <w:rsid w:val="00D06E99"/>
    <w:rsid w:val="00D102F8"/>
    <w:rsid w:val="00D10AD8"/>
    <w:rsid w:val="00D2424F"/>
    <w:rsid w:val="00D26EDE"/>
    <w:rsid w:val="00D32808"/>
    <w:rsid w:val="00D43D57"/>
    <w:rsid w:val="00D44EF3"/>
    <w:rsid w:val="00D45FC0"/>
    <w:rsid w:val="00D54C08"/>
    <w:rsid w:val="00D55CA3"/>
    <w:rsid w:val="00D65B7A"/>
    <w:rsid w:val="00D96D0A"/>
    <w:rsid w:val="00DB3508"/>
    <w:rsid w:val="00DB3E70"/>
    <w:rsid w:val="00DB7D64"/>
    <w:rsid w:val="00DC2193"/>
    <w:rsid w:val="00DC3B8E"/>
    <w:rsid w:val="00DE08C6"/>
    <w:rsid w:val="00E0013C"/>
    <w:rsid w:val="00E11252"/>
    <w:rsid w:val="00E13C47"/>
    <w:rsid w:val="00E5185D"/>
    <w:rsid w:val="00E75AC8"/>
    <w:rsid w:val="00E82177"/>
    <w:rsid w:val="00EB4E27"/>
    <w:rsid w:val="00EB71D8"/>
    <w:rsid w:val="00EC2E48"/>
    <w:rsid w:val="00ED0FDD"/>
    <w:rsid w:val="00EE00D4"/>
    <w:rsid w:val="00EE3A47"/>
    <w:rsid w:val="00EF0C8B"/>
    <w:rsid w:val="00F10AFE"/>
    <w:rsid w:val="00F1102D"/>
    <w:rsid w:val="00F1297C"/>
    <w:rsid w:val="00F12A97"/>
    <w:rsid w:val="00F240F3"/>
    <w:rsid w:val="00F33277"/>
    <w:rsid w:val="00F6038D"/>
    <w:rsid w:val="00F654F5"/>
    <w:rsid w:val="00F72755"/>
    <w:rsid w:val="00F731A3"/>
    <w:rsid w:val="00F8680D"/>
    <w:rsid w:val="00FA1E58"/>
    <w:rsid w:val="00FA54DF"/>
    <w:rsid w:val="00FB79EB"/>
    <w:rsid w:val="00FC2242"/>
    <w:rsid w:val="00FE1D6F"/>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D60784D"/>
  <w15:docId w15:val="{EA9C8BE0-0382-4D70-ADB6-35D1FADCD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Ind w:w="0" w:type="dxa"/>
      <w:tblBorders>
        <w:top w:val="single" w:sz="8" w:space="0" w:color="3882C6" w:themeColor="accent1"/>
        <w:bottom w:val="single" w:sz="8" w:space="0" w:color="3882C6"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Ind w:w="0" w:type="dxa"/>
      <w:tblBorders>
        <w:top w:val="single" w:sz="8" w:space="0" w:color="95B3D7" w:themeColor="accent6"/>
        <w:bottom w:val="single" w:sz="8" w:space="0" w:color="95B3D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Ind w:w="0" w:type="dxa"/>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CellMar>
        <w:top w:w="0" w:type="dxa"/>
        <w:left w:w="108" w:type="dxa"/>
        <w:bottom w:w="0" w:type="dxa"/>
        <w:right w:w="108" w:type="dxa"/>
      </w:tblCellMar>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Ind w:w="0" w:type="dxa"/>
      <w:tblBorders>
        <w:top w:val="single" w:sz="8" w:space="0" w:color="95B3D7" w:themeColor="accent6"/>
        <w:left w:val="single" w:sz="8" w:space="0" w:color="95B3D7" w:themeColor="accent6"/>
        <w:bottom w:val="single" w:sz="8" w:space="0" w:color="95B3D7" w:themeColor="accent6"/>
        <w:right w:val="single" w:sz="8" w:space="0" w:color="95B3D7" w:themeColor="accent6"/>
      </w:tblBorders>
      <w:tblCellMar>
        <w:top w:w="0" w:type="dxa"/>
        <w:left w:w="108" w:type="dxa"/>
        <w:bottom w:w="0" w:type="dxa"/>
        <w:right w:w="108" w:type="dxa"/>
      </w:tblCellMar>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Ind w:w="0" w:type="dxa"/>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paragraph" w:styleId="Prrafodelista">
    <w:name w:val="List Paragraph"/>
    <w:basedOn w:val="Normal"/>
    <w:link w:val="PrrafodelistaCar"/>
    <w:uiPriority w:val="34"/>
    <w:qFormat/>
    <w:locked/>
    <w:rsid w:val="003C7AA7"/>
    <w:pPr>
      <w:spacing w:after="200" w:line="276" w:lineRule="auto"/>
      <w:ind w:left="720"/>
      <w:contextualSpacing/>
      <w:jc w:val="left"/>
    </w:pPr>
    <w:rPr>
      <w:rFonts w:ascii="Calibri" w:eastAsia="Calibri" w:hAnsi="Calibri"/>
      <w:szCs w:val="22"/>
      <w:lang w:val="es-CR"/>
    </w:rPr>
  </w:style>
  <w:style w:type="character" w:customStyle="1" w:styleId="PrrafodelistaCar">
    <w:name w:val="Párrafo de lista Car"/>
    <w:link w:val="Prrafodelista"/>
    <w:uiPriority w:val="34"/>
    <w:locked/>
    <w:rsid w:val="003C7AA7"/>
    <w:rPr>
      <w:rFonts w:ascii="Calibri" w:hAnsi="Calibri"/>
      <w:sz w:val="22"/>
      <w:szCs w:val="22"/>
      <w:lang w:eastAsia="en-US"/>
    </w:rPr>
  </w:style>
  <w:style w:type="paragraph" w:customStyle="1" w:styleId="Default">
    <w:name w:val="Default"/>
    <w:rsid w:val="003C7AA7"/>
    <w:pPr>
      <w:autoSpaceDE w:val="0"/>
      <w:autoSpaceDN w:val="0"/>
      <w:adjustRightInd w:val="0"/>
    </w:pPr>
    <w:rPr>
      <w:rFonts w:ascii="Times New Roman" w:eastAsiaTheme="minorHAnsi" w:hAnsi="Times New Roman"/>
      <w:color w:val="000000"/>
      <w:sz w:val="24"/>
      <w:szCs w:val="24"/>
      <w:lang w:eastAsia="en-US"/>
    </w:rPr>
  </w:style>
  <w:style w:type="paragraph" w:styleId="NormalWeb">
    <w:name w:val="Normal (Web)"/>
    <w:basedOn w:val="Normal"/>
    <w:semiHidden/>
    <w:unhideWhenUsed/>
    <w:locked/>
    <w:rsid w:val="003C7AA7"/>
    <w:pPr>
      <w:spacing w:before="100" w:beforeAutospacing="1" w:after="100" w:afterAutospacing="1" w:line="240" w:lineRule="auto"/>
      <w:jc w:val="left"/>
    </w:pPr>
    <w:rPr>
      <w:rFonts w:ascii="Times New Roman" w:hAnsi="Times New Roman"/>
      <w:color w:val="000000"/>
      <w:sz w:val="20"/>
      <w:szCs w:val="20"/>
      <w:lang w:eastAsia="es-ES"/>
    </w:rPr>
  </w:style>
  <w:style w:type="character" w:styleId="Refdecomentario">
    <w:name w:val="annotation reference"/>
    <w:basedOn w:val="Fuentedeprrafopredeter"/>
    <w:uiPriority w:val="99"/>
    <w:semiHidden/>
    <w:unhideWhenUsed/>
    <w:locked/>
    <w:rsid w:val="003C7AA7"/>
    <w:rPr>
      <w:sz w:val="16"/>
      <w:szCs w:val="16"/>
    </w:rPr>
  </w:style>
  <w:style w:type="paragraph" w:styleId="Textocomentario">
    <w:name w:val="annotation text"/>
    <w:basedOn w:val="Normal"/>
    <w:link w:val="TextocomentarioCar"/>
    <w:uiPriority w:val="99"/>
    <w:semiHidden/>
    <w:unhideWhenUsed/>
    <w:locked/>
    <w:rsid w:val="003C7AA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C7AA7"/>
    <w:rPr>
      <w:rFonts w:ascii="Cambria" w:eastAsia="Times New Roman" w:hAnsi="Cambria"/>
      <w:lang w:val="es-ES" w:eastAsia="en-US"/>
    </w:rPr>
  </w:style>
  <w:style w:type="paragraph" w:styleId="Asuntodelcomentario">
    <w:name w:val="annotation subject"/>
    <w:basedOn w:val="Textocomentario"/>
    <w:next w:val="Textocomentario"/>
    <w:link w:val="AsuntodelcomentarioCar"/>
    <w:uiPriority w:val="99"/>
    <w:semiHidden/>
    <w:unhideWhenUsed/>
    <w:locked/>
    <w:rsid w:val="003C7AA7"/>
    <w:rPr>
      <w:b/>
      <w:bCs/>
    </w:rPr>
  </w:style>
  <w:style w:type="character" w:customStyle="1" w:styleId="AsuntodelcomentarioCar">
    <w:name w:val="Asunto del comentario Car"/>
    <w:basedOn w:val="TextocomentarioCar"/>
    <w:link w:val="Asuntodelcomentario"/>
    <w:uiPriority w:val="99"/>
    <w:semiHidden/>
    <w:rsid w:val="003C7AA7"/>
    <w:rPr>
      <w:rFonts w:ascii="Cambria" w:eastAsia="Times New Roman" w:hAnsi="Cambria"/>
      <w:b/>
      <w:bCs/>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363251">
      <w:bodyDiv w:val="1"/>
      <w:marLeft w:val="0"/>
      <w:marRight w:val="0"/>
      <w:marTop w:val="0"/>
      <w:marBottom w:val="0"/>
      <w:divBdr>
        <w:top w:val="none" w:sz="0" w:space="0" w:color="auto"/>
        <w:left w:val="none" w:sz="0" w:space="0" w:color="auto"/>
        <w:bottom w:val="none" w:sz="0" w:space="0" w:color="auto"/>
        <w:right w:val="none" w:sz="0" w:space="0" w:color="auto"/>
      </w:divBdr>
    </w:div>
    <w:div w:id="52679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normas/BorradoresNormas/Forms/Correspondencia%20Externa%20SUGEF/plantilla-SGF-13-Norma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CC4184D94014F458168E797535A32F5"/>
        <w:category>
          <w:name w:val="General"/>
          <w:gallery w:val="placeholder"/>
        </w:category>
        <w:types>
          <w:type w:val="bbPlcHdr"/>
        </w:types>
        <w:behaviors>
          <w:behavior w:val="content"/>
        </w:behaviors>
        <w:guid w:val="{C63913EB-BEDD-4E70-8A47-453EC4A92F34}"/>
      </w:docPartPr>
      <w:docPartBody>
        <w:p w:rsidR="008F3944" w:rsidRDefault="0097544A">
          <w:pPr>
            <w:pStyle w:val="2CC4184D94014F458168E797535A32F5"/>
          </w:pPr>
          <w:r w:rsidRPr="001E0779">
            <w:rPr>
              <w:rStyle w:val="Textodelmarcadordeposicin"/>
            </w:rPr>
            <w:t>Haga clic aquí para escribir texto.</w:t>
          </w:r>
        </w:p>
      </w:docPartBody>
    </w:docPart>
    <w:docPart>
      <w:docPartPr>
        <w:name w:val="76503476DBAF4E7583A138728AAA529C"/>
        <w:category>
          <w:name w:val="General"/>
          <w:gallery w:val="placeholder"/>
        </w:category>
        <w:types>
          <w:type w:val="bbPlcHdr"/>
        </w:types>
        <w:behaviors>
          <w:behavior w:val="content"/>
        </w:behaviors>
        <w:guid w:val="{1724F519-FE88-41D0-9B41-BCBDD2404F10}"/>
      </w:docPartPr>
      <w:docPartBody>
        <w:p w:rsidR="008F3944" w:rsidRDefault="0097544A">
          <w:pPr>
            <w:pStyle w:val="76503476DBAF4E7583A138728AAA529C"/>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44A"/>
    <w:rsid w:val="008F3944"/>
    <w:rsid w:val="0097544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7544A"/>
    <w:rPr>
      <w:color w:val="808080"/>
    </w:rPr>
  </w:style>
  <w:style w:type="paragraph" w:customStyle="1" w:styleId="2CC4184D94014F458168E797535A32F5">
    <w:name w:val="2CC4184D94014F458168E797535A32F5"/>
  </w:style>
  <w:style w:type="paragraph" w:customStyle="1" w:styleId="76503476DBAF4E7583A138728AAA529C">
    <w:name w:val="76503476DBAF4E7583A138728AAA529C"/>
  </w:style>
  <w:style w:type="paragraph" w:customStyle="1" w:styleId="F9F2EA378E994E8AA56222F6B51019E7">
    <w:name w:val="F9F2EA378E994E8AA56222F6B51019E7"/>
    <w:rsid w:val="009754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qv8rpLSgfglae4CBTfvDbvAFdMBKR9wIXeFEeiWfwio=</DigestValue>
    </Reference>
    <Reference Type="http://www.w3.org/2000/09/xmldsig#Object" URI="#idOfficeObject">
      <DigestMethod Algorithm="http://www.w3.org/2001/04/xmlenc#sha256"/>
      <DigestValue>enMjWtm/OkIWSparCe7xEzvyxYTwc0Y6iUzCkDSGmMA=</DigestValue>
    </Reference>
    <Reference Type="http://uri.etsi.org/01903#SignedProperties" URI="#idSignedProperties">
      <Transforms>
        <Transform Algorithm="http://www.w3.org/TR/2001/REC-xml-c14n-20010315"/>
      </Transforms>
      <DigestMethod Algorithm="http://www.w3.org/2001/04/xmlenc#sha256"/>
      <DigestValue>P+a4AZgXdm644DH8lDn3pGvpOFhTJzFI1YaCp8ZWb/8=</DigestValue>
    </Reference>
  </SignedInfo>
  <SignatureValue>fqwPQp1S0HsgAJEBc8tO/swlcRxpySnUbVaVQmXKvIvcrdbWgN81wbfTklv6SoCqBSq6A2pzYmoU
/fIU4AEeGmuH410fc6PIondZ5J5hZXcg8QGQPeD8OjPvQ0uVnMX6kwtNt6DvHFOrZNjjJf7rZpFX
dtgNTIz3BBRLK778GGQFf3eyet5x5q+v02aob3puFsmdKP59VGyE308S6TGLFN6qTAAjTzuAsyEb
UChtln1x0uGYU5d6sXAG6DyX9JJ9DlQrsB+LcuIlcmYa0lxXqRZot2tKIp4ZiFX4YnR7qj8vO7vY
AhzULaMQvJZLfmBW4ZuvTwNKnhFpJ0DQnAQrmg==</SignatureValue>
  <KeyInfo>
    <X509Data>
      <X509Certificate>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c7DPnwbvOnYlAYY0dc7ALxBDyEIRhtS7zE70oYqPVItz0ZpqTy0bJdBsztEGwlDsK7wazkDkJ0SnTT2dxT2Tf7/tyKLbyvlTBzvwcM6+q+nBdEgl5O5wzGRg/Rb5WhoDpFSHn26H2yu0ej+Q7tbKkP04+JStpigcJqYloE1NtjD8rhytCF1do1PbIoB/0svbIocIG3X0pTWArm5s+WiMyfsxRuSF8bEDCT7gG0ZSeZILgLXfI+Q3F0CZ4UKNxZ28scsPn6CAXl8K4ChVi4WNXcZtEFJeAckXBy7j1Bx2JklwxgxcOjMdoLu1xG3npSXkcMStPaD11qDgFxf90Q1M+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7"/>
          </Transform>
          <Transform Algorithm="http://www.w3.org/TR/2001/REC-xml-c14n-20010315"/>
        </Transforms>
        <DigestMethod Algorithm="http://www.w3.org/2001/04/xmlenc#sha256"/>
        <DigestValue>w9HH/8QxIjLB6PoSOBehNrcbG4/PBfldK72dlaeLyjM=</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JGUlGG3jhQAGZ37I5Jc0wpm/I4DHHZ+cKIn+33RYeb0=</DigestValue>
      </Reference>
      <Reference URI="/word/document.xml?ContentType=application/vnd.openxmlformats-officedocument.wordprocessingml.document.main+xml">
        <DigestMethod Algorithm="http://www.w3.org/2001/04/xmlenc#sha256"/>
        <DigestValue>SoFiMugSJsyhUcCBzNcfn+VNeVvPtRWfLkI0zaZRY0E=</DigestValue>
      </Reference>
      <Reference URI="/word/endnotes.xml?ContentType=application/vnd.openxmlformats-officedocument.wordprocessingml.endnotes+xml">
        <DigestMethod Algorithm="http://www.w3.org/2001/04/xmlenc#sha256"/>
        <DigestValue>UOJglA4PwmQFzveIQofkNHaY/6vx0rPA5mQUf20F+iY=</DigestValue>
      </Reference>
      <Reference URI="/word/fontTable.xml?ContentType=application/vnd.openxmlformats-officedocument.wordprocessingml.fontTable+xml">
        <DigestMethod Algorithm="http://www.w3.org/2001/04/xmlenc#sha256"/>
        <DigestValue>3+KqZaTOG/uTKj5ONP+CSanzwYQm6JPDdLBH9LVrX70=</DigestValue>
      </Reference>
      <Reference URI="/word/footer1.xml?ContentType=application/vnd.openxmlformats-officedocument.wordprocessingml.footer+xml">
        <DigestMethod Algorithm="http://www.w3.org/2001/04/xmlenc#sha256"/>
        <DigestValue>oZh/GALp8kM9mLt/CRmATVjjlc/Not40CzrSkYk9s04=</DigestValue>
      </Reference>
      <Reference URI="/word/footer2.xml?ContentType=application/vnd.openxmlformats-officedocument.wordprocessingml.footer+xml">
        <DigestMethod Algorithm="http://www.w3.org/2001/04/xmlenc#sha256"/>
        <DigestValue>YPG8+hh3yNzVG9hazfKwVfYDcPuun+TaqonOW4rWUA0=</DigestValue>
      </Reference>
      <Reference URI="/word/footnotes.xml?ContentType=application/vnd.openxmlformats-officedocument.wordprocessingml.footnotes+xml">
        <DigestMethod Algorithm="http://www.w3.org/2001/04/xmlenc#sha256"/>
        <DigestValue>cD/wA/1Z+nMMgAF4OcgalLKh5eaZsJdM0+Xy6dZuO88=</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+TxEDttDElYBGRRnpgGrae3yIt8R9O9VUW/aQR52JJ8=</DigestValue>
      </Reference>
      <Reference URI="/word/glossary/fontTable.xml?ContentType=application/vnd.openxmlformats-officedocument.wordprocessingml.fontTable+xml">
        <DigestMethod Algorithm="http://www.w3.org/2001/04/xmlenc#sha256"/>
        <DigestValue>N6pw+MPk6LE6Q3MhylhTraJJNoCYm5JZUsPW/m3Vxes=</DigestValue>
      </Reference>
      <Reference URI="/word/glossary/settings.xml?ContentType=application/vnd.openxmlformats-officedocument.wordprocessingml.settings+xml">
        <DigestMethod Algorithm="http://www.w3.org/2001/04/xmlenc#sha256"/>
        <DigestValue>8xQzuvjdR/sW87D2M+yLjPSP21vX6FKxR/4ZjaP3e6I=</DigestValue>
      </Reference>
      <Reference URI="/word/glossary/styles.xml?ContentType=application/vnd.openxmlformats-officedocument.wordprocessingml.styles+xml">
        <DigestMethod Algorithm="http://www.w3.org/2001/04/xmlenc#sha256"/>
        <DigestValue>DLbPU8pDmbFKJaw9BIiKhBVwFGl4p8xSX4u891bAW28=</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q1vbkRYsWsCgloouSC8IbJdPYLm0FTPHRdmko2gs2Yo=</DigestValue>
      </Reference>
      <Reference URI="/word/header2.xml?ContentType=application/vnd.openxmlformats-officedocument.wordprocessingml.header+xml">
        <DigestMethod Algorithm="http://www.w3.org/2001/04/xmlenc#sha256"/>
        <DigestValue>McngZfvB8NVtFeyexGa+vzgFgQTexfJLPix0x/9MU1U=</DigestValue>
      </Reference>
      <Reference URI="/word/media/image1.jpg?ContentType=image/jpeg">
        <DigestMethod Algorithm="http://www.w3.org/2001/04/xmlenc#sha256"/>
        <DigestValue>zN5VKDa5XMdgPJ6I4/Etb0KUY/2VpqVkpzhmlLjozAY=</DigestValue>
      </Reference>
      <Reference URI="/word/media/image2.png?ContentType=image/png">
        <DigestMethod Algorithm="http://www.w3.org/2001/04/xmlenc#sha256"/>
        <DigestValue>qpOpLv7+AIBBXGXobYzZUmN/7IR83yO/J/JVrvtB94I=</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SsbX24x5PXb/hdtlWDVzPh8OLX1qxSWZVeyrixYk0VA=</DigestValue>
      </Reference>
      <Reference URI="/word/settings.xml?ContentType=application/vnd.openxmlformats-officedocument.wordprocessingml.settings+xml">
        <DigestMethod Algorithm="http://www.w3.org/2001/04/xmlenc#sha256"/>
        <DigestValue>hMJX7Xbu+GA0abZIlG7Y3O8FdyE2LPTD2hNgpNXSrhc=</DigestValue>
      </Reference>
      <Reference URI="/word/styles.xml?ContentType=application/vnd.openxmlformats-officedocument.wordprocessingml.styles+xml">
        <DigestMethod Algorithm="http://www.w3.org/2001/04/xmlenc#sha256"/>
        <DigestValue>e3j7Ell5NfrmjziCFV9ikfQ61koSN4vh1A/Mq+KDJWI=</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Uyk4BvQFGNqIrgSDGxStE5ZSlyb4lElrOOG12GpyiPQ=</DigestValue>
      </Reference>
    </Manifest>
    <SignatureProperties>
      <SignatureProperty Id="idSignatureTime" Target="#idPackageSignature">
        <mdssi:SignatureTime xmlns:mdssi="http://schemas.openxmlformats.org/package/2006/digital-signature">
          <mdssi:Format>YYYY-MM-DDThh:mm:ssTZD</mdssi:Format>
          <mdssi:Value>2018-05-25T20:58:36Z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2018-05-25T20:58:36Z</xd:SigningTime>
          <xd:SigningCertificate>
            <xd:Cert>
              <xd:CertDigest>
                <DigestMethod Algorithm="http://www.w3.org/2001/04/xmlenc#sha256"/>
                <DigestValue>Sya+NyRxH6NJGnS8Eb560s5lYdXZAXNKHqW5ESDF03o=</DigestValue>
              </xd:CertDigest>
              <xd:IssuerSerial>
                <X509IssuerName>CN=CA SINPE - PERSONA FISICA v2, OU=DIVISION SISTEMAS DE PAGO, O=BANCO CENTRAL DE COSTA RICA, C=CR, SERIALNUMBER=CPJ-4-000-004017</X509IssuerName>
                <X509SerialNumber>446015418554503001380318209277760870063112993</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Aprobó este documento</xd:Description>
            </xd:CommitmentTypeId>
            <xd:AllSignedDataObjects/>
          </xd:CommitmentTypeIndication>
        </xd:SignedDataObject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031b4bb2-0db7-40b3-a341-fc1511e9642d" ContentTypeId="0x010100E97154E09FCE6A4E8EAEBD5C54DD1AE40202" PreviousValue="false"/>
</file>

<file path=customXml/item2.xml><?xml version="1.0" encoding="utf-8"?>
<p:properties xmlns:p="http://schemas.microsoft.com/office/2006/metadata/properties" xmlns:xsi="http://www.w3.org/2001/XMLSchema-instance">
  <documentManagement>
    <TaxCatchAll xmlns="b875e23b-67d9-4b2e-bdec-edacbf90b326">
      <Value>96</Value>
      <Value>63</Value>
      <Value>130</Value>
      <Value>109</Value>
      <Value>126</Value>
      <Value>3</Value>
      <Value>2</Value>
    </TaxCatchAll>
    <OtraEntidadExterna xmlns="b875e23b-67d9-4b2e-bdec-edacbf90b326">Entidades supervisadas y gremio indicadas en la Resolución</OtraEntidadExterna>
    <Firmado xmlns="b875e23b-67d9-4b2e-bdec-edacbf90b326">true</Firmado>
    <Responsable xmlns="b875e23b-67d9-4b2e-bdec-edacbf90b326">
      <UserInfo>
        <DisplayName>ARCE ALPIZAR GILBERTO ELIECER</DisplayName>
        <AccountId>314</AccountId>
        <AccountType/>
      </UserInfo>
    </Responsable>
    <PlazoArchivo xmlns="b875e23b-67d9-4b2e-bdec-edacbf90b326">84</PlazoArchivo>
    <FirmadoPor xmlns="b875e23b-67d9-4b2e-bdec-edacbf90b326">
      <UserInfo>
        <DisplayName>i:0#.w|pdc-atlantida\seguraca</DisplayName>
        <AccountId>1761</AccountId>
        <AccountType/>
      </UserInfo>
    </FirmadoPor>
    <InformarA xmlns="b875e23b-67d9-4b2e-bdec-edacbf90b326">
      <UserInfo>
        <DisplayName>SALIENTE NORMAS</DisplayName>
        <AccountId>708</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Modificación a los Lineamientos Generales de los Acuerdos SUGEF 1-05 y SUGEF 15-16
Copiar a: SALIENTE NORMAS
Se envía alas entidades a lo interno del oficio.
Se envía a Administrativo para que proceda con la publicación en el Diario Oficial La Gaceta.</ObservacionesCorrespondencia>
    <lb0b7da792b243d9bfa96ad7487ad734 xmlns="b875e23b-67d9-4b2e-bdec-edacbf90b326">
      <Terms xmlns="http://schemas.microsoft.com/office/infopath/2007/PartnerControls">
        <TermInfo xmlns="http://schemas.microsoft.com/office/infopath/2007/PartnerControls">
          <TermName>Confidencial</TermName>
          <TermId>d19c5cf3-f0e9-4d18-86d2-7bee4000e1ea</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Departamento de Normas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TermInfo xmlns="http://schemas.microsoft.com/office/infopath/2007/PartnerControls">
          <TermName xmlns="http://schemas.microsoft.com/office/infopath/2007/PartnerControls">PRE - Presidencia</TermName>
          <TermId xmlns="http://schemas.microsoft.com/office/infopath/2007/PartnerControls">8bdc81a8-3d87-450c-905c-075d18b56fd3</TermId>
        </TermInfo>
        <TermInfo xmlns="http://schemas.microsoft.com/office/infopath/2007/PartnerControls">
          <TermName xmlns="http://schemas.microsoft.com/office/infopath/2007/PartnerControls">Área Coordinación Administrativa</TermName>
          <TermId xmlns="http://schemas.microsoft.com/office/infopath/2007/PartnerControls">39ce7748-92aa-4572-8334-49785789cb1c</TermId>
        </TermInfo>
      </Terms>
    </e78d451c341b4341be14d5956588aac4>
    <Año xmlns="b875e23b-67d9-4b2e-bdec-edacbf90b326">2018</Año>
    <AcuseRecibo xmlns="b875e23b-67d9-4b2e-bdec-edacbf90b326">No</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Resolución Modificación a los Lineamientos Generales de los Acuerdos SUGEF 1-05 y SUGEF 15-16</Subject1>
    <Entrante_x0020_relacionado xmlns="b875e23b-67d9-4b2e-bdec-edacbf90b326">
      <Url xsi:nil="true"/>
      <Description xsi:nil="true"/>
    </Entrante_x0020_relacionado>
  </documentManagement>
</p:properties>
</file>

<file path=customXml/item3.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91" ma:contentTypeDescription="Crear nuevo documento." ma:contentTypeScope="" ma:versionID="1500980c73a489ef6219d7aa99ae53e4">
  <xsd:schema xmlns:xsd="http://www.w3.org/2001/XMLSchema" xmlns:xs="http://www.w3.org/2001/XMLSchema" xmlns:p="http://schemas.microsoft.com/office/2006/metadata/properties" xmlns:ns2="b875e23b-67d9-4b2e-bdec-edacbf90b326" targetNamespace="http://schemas.microsoft.com/office/2006/metadata/properties" ma:root="true" ma:fieldsID="52f390f67254594a3867c641587fb5f8" ns2:_="">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lb0b7da792b243d9bfa96ad7487ad734" minOccurs="0"/>
                <xsd:element ref="ns2:i59047726d7740049efd9a6f532367cb" minOccurs="0"/>
                <xsd:element ref="ns2:c7a4f14da8a146089ab80d380d2664ad" minOccurs="0"/>
                <xsd:element ref="ns2:NoReferencia"/>
                <xsd:element ref="ns2:Entrante_x0020_relacionado" minOccurs="0"/>
                <xsd:element ref="ns2:Secretaria" minOccurs="0"/>
                <xsd:element ref="ns2:oe70cbf463ba4d19a6203d9e6cd457e4" minOccurs="0"/>
                <xsd:element ref="ns2:OtraEntidadExterna" minOccurs="0"/>
                <xsd:element ref="ns2:RemitenteOrigin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ma:readOnly="false">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default="2018"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oReferencia" ma:index="35" ma:displayName="No. Referencia" ma:internalName="NoReferencia" ma:readOnly="false">
      <xsd:simpleType>
        <xsd:restriction base="dms:Text"/>
      </xsd:simpleType>
    </xsd:element>
    <xsd:element name="Entrante_x0020_relacionado" ma:index="36"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37"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70cbf463ba4d19a6203d9e6cd457e4" ma:index="38"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OtraEntidadExterna" ma:index="39" nillable="true" ma:displayName="Otra (entidad externa)" ma:description="En el caso de que la entidad externa no se encuentre en el catálogo de entidades externas." ma:internalName="OtraEntidadExterna">
      <xsd:simpleType>
        <xsd:restriction base="dms:Text"/>
      </xsd:simpleType>
    </xsd:element>
    <xsd:element name="RemitenteOriginal" ma:index="40" nillable="true" ma:displayName="Remitente original" ma:internalName="RemitenteOrigina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5E0E4-0BBF-49BF-B044-42F4080BC7A3}"/>
</file>

<file path=customXml/itemProps2.xml><?xml version="1.0" encoding="utf-8"?>
<ds:datastoreItem xmlns:ds="http://schemas.openxmlformats.org/officeDocument/2006/customXml" ds:itemID="{283BF82E-1A70-4392-8CF2-7DEAFF1953AE}"/>
</file>

<file path=customXml/itemProps3.xml><?xml version="1.0" encoding="utf-8"?>
<ds:datastoreItem xmlns:ds="http://schemas.openxmlformats.org/officeDocument/2006/customXml" ds:itemID="{5E20D194-3646-4A84-9CEB-A153653FA4F3}"/>
</file>

<file path=customXml/itemProps4.xml><?xml version="1.0" encoding="utf-8"?>
<ds:datastoreItem xmlns:ds="http://schemas.openxmlformats.org/officeDocument/2006/customXml" ds:itemID="{347912D2-45B8-43E5-B860-A2F4ECC10231}"/>
</file>

<file path=customXml/itemProps5.xml><?xml version="1.0" encoding="utf-8"?>
<ds:datastoreItem xmlns:ds="http://schemas.openxmlformats.org/officeDocument/2006/customXml" ds:itemID="{C8BF7237-7071-47B9-A7EF-78F803F2012F}"/>
</file>

<file path=customXml/itemProps6.xml><?xml version="1.0" encoding="utf-8"?>
<ds:datastoreItem xmlns:ds="http://schemas.openxmlformats.org/officeDocument/2006/customXml" ds:itemID="{DADB9169-B3F8-4D8D-955D-751D8A86A69C}"/>
</file>

<file path=docProps/app.xml><?xml version="1.0" encoding="utf-8"?>
<Properties xmlns="http://schemas.openxmlformats.org/officeDocument/2006/extended-properties" xmlns:vt="http://schemas.openxmlformats.org/officeDocument/2006/docPropsVTypes">
  <Template>plantilla-SGF-13-Normas.dotm</Template>
  <TotalTime>42</TotalTime>
  <Pages>5</Pages>
  <Words>1480</Words>
  <Characters>8141</Characters>
  <Application>Microsoft Office Word</Application>
  <DocSecurity>0</DocSecurity>
  <Lines>67</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9602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VARGAS LEAL MARIA GABRIELA</dc:creator>
  <cp:lastModifiedBy>VARGAS LEAL MARIA GABRIELA</cp:lastModifiedBy>
  <cp:revision>22</cp:revision>
  <cp:lastPrinted>2015-07-30T22:36:00Z</cp:lastPrinted>
  <dcterms:created xsi:type="dcterms:W3CDTF">2018-05-16T21:42:00Z</dcterms:created>
  <dcterms:modified xsi:type="dcterms:W3CDTF">2018-05-25T19:27:00Z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_dlc_policyId">
    <vt:lpwstr>0x010100E97154E09FCE6A4E8EAEBD5C54DD1AE4|-1695030217</vt:lpwstr>
  </property>
  <property fmtid="{D5CDD505-2E9C-101B-9397-08002B2CF9AE}" pid="5" name="Tipo Documental">
    <vt:lpwstr>126;#Oficio|417b7e3a-1426-4267-afb3-20be5f4d6412</vt:lpwstr>
  </property>
  <property fmtid="{D5CDD505-2E9C-101B-9397-08002B2CF9AE}" pid="6" name="ItemRetentionFormula">
    <vt:lpwstr>&lt;formula id="Microsoft.Office.RecordsManagement.PolicyFeatures.Expiration.Formula.BuiltIn"&gt;&lt;number&gt;5&lt;/number&gt;&lt;property&gt;FechaEnvio&lt;/property&gt;&lt;propertyId&gt;a851f67a-48e1-46a4-b6e7-ff517d02f96d&lt;/propertyId&gt;&lt;period&gt;days&lt;/period&gt;&lt;/formula&gt;</vt:lpwstr>
  </property>
  <property fmtid="{D5CDD505-2E9C-101B-9397-08002B2CF9AE}" pid="7" name="Unidad de Destino">
    <vt:lpwstr>96;#PRE - Presidencia|8bdc81a8-3d87-450c-905c-075d18b56fd3;#109;#Área Coordinación Administrativa|39ce7748-92aa-4572-8334-49785789cb1c</vt:lpwstr>
  </property>
  <property fmtid="{D5CDD505-2E9C-101B-9397-08002B2CF9AE}" pid="8" name="Disponibilidad">
    <vt:lpwstr>3;#Media|3f3debfe-f918-4d91-ad3c-df12ce43024d</vt:lpwstr>
  </property>
  <property fmtid="{D5CDD505-2E9C-101B-9397-08002B2CF9AE}" pid="9" name="Confidencialidad1">
    <vt:lpwstr>130;#Confidencial|d19c5cf3-f0e9-4d18-86d2-7bee4000e1ea</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2" name="Order">
    <vt:r8>16200</vt:r8>
  </property>
  <property fmtid="{D5CDD505-2E9C-101B-9397-08002B2CF9AE}" pid="13" name="WorkflowChangePath">
    <vt:lpwstr>d6c6aed4-e342-4faf-a234-cd9a4f593e49,5;cb1954ac-0595-4038-a807-eb26625a3b7c,9;cb1954ac-0595-4038-a807-eb26625a3b7c,9;4ba75e1a-45c8-4eba-98d2-85788937e2ef,15;4ba75e1a-45c8-4eba-98d2-85788937e2ef,15;</vt:lpwstr>
  </property>
</Properties>
</file>