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F3029" w:rsidR="003554C5" w:rsidP="005B160F" w:rsidRDefault="003554C5" w14:paraId="70D41132" w14:textId="77777777">
      <w:pPr>
        <w:tabs>
          <w:tab w:val="left" w:pos="2843"/>
        </w:tabs>
        <w:spacing w:line="240" w:lineRule="auto"/>
        <w:contextualSpacing/>
        <w:rPr>
          <w:sz w:val="24"/>
        </w:rPr>
      </w:pPr>
    </w:p>
    <w:p w:rsidRPr="00BF3029" w:rsidR="00251BA2" w:rsidP="005B160F" w:rsidRDefault="00251BA2" w14:paraId="12A4A467" w14:textId="77777777">
      <w:pPr>
        <w:pStyle w:val="Texto0"/>
        <w:spacing w:before="0" w:after="0" w:line="240" w:lineRule="auto"/>
        <w:contextualSpacing/>
        <w:jc w:val="center"/>
        <w:rPr>
          <w:sz w:val="24"/>
        </w:rPr>
      </w:pPr>
      <w:r w:rsidRPr="00BF3029">
        <w:rPr>
          <w:b/>
          <w:sz w:val="24"/>
        </w:rPr>
        <w:t>Resolución</w:t>
      </w:r>
    </w:p>
    <w:p w:rsidRPr="00BF3029" w:rsidR="00251BA2" w:rsidP="005B160F" w:rsidRDefault="00641B27" w14:paraId="5143B2FF" w14:textId="4D756E6A">
      <w:pPr>
        <w:pStyle w:val="Texto0"/>
        <w:spacing w:before="0" w:after="0" w:line="240" w:lineRule="auto"/>
        <w:contextualSpacing/>
        <w:jc w:val="center"/>
        <w:rPr>
          <w:sz w:val="24"/>
        </w:rPr>
      </w:pPr>
      <w:r>
        <w:rPr>
          <w:sz w:val="24"/>
        </w:rPr>
        <w:t>13</w:t>
      </w:r>
      <w:bookmarkStart w:name="_GoBack" w:id="0"/>
      <w:bookmarkEnd w:id="0"/>
      <w:r w:rsidRPr="00BF3029" w:rsidR="00251BA2">
        <w:rPr>
          <w:sz w:val="24"/>
        </w:rPr>
        <w:t xml:space="preserve"> de </w:t>
      </w:r>
      <w:r w:rsidRPr="00BF3029" w:rsidR="00B51077">
        <w:rPr>
          <w:sz w:val="24"/>
        </w:rPr>
        <w:t>abril</w:t>
      </w:r>
      <w:r w:rsidRPr="00BF3029" w:rsidR="00251BA2">
        <w:rPr>
          <w:sz w:val="24"/>
        </w:rPr>
        <w:t xml:space="preserve"> del 20</w:t>
      </w:r>
      <w:r w:rsidRPr="00BF3029" w:rsidR="00212B7C">
        <w:rPr>
          <w:sz w:val="24"/>
        </w:rPr>
        <w:t>20</w:t>
      </w:r>
    </w:p>
    <w:sdt>
      <w:sdtPr>
        <w:rPr>
          <w:sz w:val="24"/>
        </w:rPr>
        <w:alias w:val="Consecutivo"/>
        <w:tag w:val="Consecutivo"/>
        <w:id w:val="2052717023"/>
        <w:placeholder>
          <w:docPart w:val="C7EA259747C3476A918838FE91963471"/>
        </w:placeholder>
        <w:text/>
      </w:sdtPr>
      <w:sdtEndPr/>
      <w:sdtContent>
        <w:p w:rsidRPr="00BF3029" w:rsidR="00251BA2" w:rsidP="005B160F" w:rsidRDefault="00C928C7" w14:paraId="2D36C797" w14:textId="77777777">
          <w:pPr>
            <w:tabs>
              <w:tab w:val="left" w:pos="2843"/>
            </w:tabs>
            <w:spacing w:line="240" w:lineRule="auto"/>
            <w:contextualSpacing/>
            <w:jc w:val="center"/>
            <w:rPr>
              <w:sz w:val="24"/>
            </w:rPr>
          </w:pPr>
          <w:r>
            <w:t>SGF-1300-2020</w:t>
          </w:r>
        </w:p>
      </w:sdtContent>
    </w:sdt>
    <w:p w:rsidRPr="00BF3029" w:rsidR="00251BA2" w:rsidP="005B160F" w:rsidRDefault="00251BA2" w14:paraId="2993B55D" w14:textId="77777777">
      <w:pPr>
        <w:tabs>
          <w:tab w:val="left" w:pos="2843"/>
        </w:tabs>
        <w:spacing w:line="240" w:lineRule="auto"/>
        <w:contextualSpacing/>
        <w:jc w:val="center"/>
        <w:rPr>
          <w:sz w:val="24"/>
        </w:rPr>
      </w:pPr>
      <w:r w:rsidRPr="00BF3029">
        <w:rPr>
          <w:sz w:val="24"/>
        </w:rPr>
        <w:t xml:space="preserve"> </w:t>
      </w: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F3029" w:rsidR="00C928C7">
            <w:rPr>
              <w:sz w:val="24"/>
              <w:lang w:val="es-CR"/>
            </w:rPr>
            <w:t>SGF-PUBLICO</w:t>
          </w:r>
        </w:sdtContent>
      </w:sdt>
    </w:p>
    <w:p w:rsidR="00BF3029" w:rsidP="005B160F" w:rsidRDefault="00BF3029" w14:paraId="2A4D659C" w14:textId="77777777">
      <w:pPr>
        <w:widowControl w:val="0"/>
        <w:spacing w:line="240" w:lineRule="auto"/>
        <w:ind w:left="34" w:right="86"/>
        <w:contextualSpacing/>
        <w:outlineLvl w:val="0"/>
        <w:rPr>
          <w:b/>
          <w:sz w:val="24"/>
          <w:lang w:val="es-CR"/>
        </w:rPr>
      </w:pPr>
    </w:p>
    <w:p w:rsidRPr="00BF3029" w:rsidR="00251BA2" w:rsidP="005B160F" w:rsidRDefault="00251BA2" w14:paraId="25A70378" w14:textId="77777777">
      <w:pPr>
        <w:widowControl w:val="0"/>
        <w:spacing w:line="240" w:lineRule="auto"/>
        <w:ind w:left="34" w:right="86"/>
        <w:contextualSpacing/>
        <w:outlineLvl w:val="0"/>
        <w:rPr>
          <w:b/>
          <w:sz w:val="24"/>
          <w:lang w:val="es-CR"/>
        </w:rPr>
      </w:pPr>
      <w:r w:rsidRPr="00BF3029">
        <w:rPr>
          <w:b/>
          <w:sz w:val="24"/>
          <w:lang w:val="es-CR"/>
        </w:rPr>
        <w:t xml:space="preserve">Dirigida a: </w:t>
      </w:r>
    </w:p>
    <w:p w:rsidRPr="00BF3029" w:rsidR="00251BA2" w:rsidP="005B160F" w:rsidRDefault="00251BA2" w14:paraId="133CDBE0" w14:textId="77777777">
      <w:pPr>
        <w:widowControl w:val="0"/>
        <w:spacing w:line="240" w:lineRule="auto"/>
        <w:ind w:left="34" w:right="86"/>
        <w:contextualSpacing/>
        <w:outlineLvl w:val="0"/>
        <w:rPr>
          <w:b/>
          <w:sz w:val="24"/>
          <w:lang w:val="es-CR"/>
        </w:rPr>
      </w:pPr>
    </w:p>
    <w:p w:rsidRPr="00BF3029" w:rsidR="00251BA2" w:rsidP="005B160F" w:rsidRDefault="00251BA2" w14:paraId="20CBEC94"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Bancos Comerciales del Estado</w:t>
      </w:r>
    </w:p>
    <w:p w:rsidRPr="00BF3029" w:rsidR="00251BA2" w:rsidP="005B160F" w:rsidRDefault="00251BA2" w14:paraId="4A3FB930"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Bancos Creados por Leyes Especiales</w:t>
      </w:r>
    </w:p>
    <w:p w:rsidRPr="00BF3029" w:rsidR="00251BA2" w:rsidP="005B160F" w:rsidRDefault="00251BA2" w14:paraId="09B054F6"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Bancos Privados</w:t>
      </w:r>
    </w:p>
    <w:p w:rsidRPr="00BF3029" w:rsidR="00251BA2" w:rsidP="005B160F" w:rsidRDefault="00251BA2" w14:paraId="4CB811C5"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Empresas Financieras no Bancarias</w:t>
      </w:r>
    </w:p>
    <w:p w:rsidRPr="00BF3029" w:rsidR="00251BA2" w:rsidP="005B160F" w:rsidRDefault="00251BA2" w14:paraId="4C8E9971"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Otras Entidades Financieras</w:t>
      </w:r>
    </w:p>
    <w:p w:rsidRPr="00BF3029" w:rsidR="00251BA2" w:rsidP="005B160F" w:rsidRDefault="00251BA2" w14:paraId="15A16CF4"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Organizaciones Cooperativas de Ahorro y Crédito</w:t>
      </w:r>
    </w:p>
    <w:p w:rsidRPr="00BF3029" w:rsidR="00251BA2" w:rsidP="005B160F" w:rsidRDefault="00251BA2" w14:paraId="6CDD8B81" w14:textId="77777777">
      <w:pPr>
        <w:widowControl w:val="0"/>
        <w:numPr>
          <w:ilvl w:val="0"/>
          <w:numId w:val="13"/>
        </w:numPr>
        <w:spacing w:after="200" w:line="240" w:lineRule="auto"/>
        <w:ind w:left="567" w:right="86" w:hanging="567"/>
        <w:contextualSpacing/>
        <w:rPr>
          <w:b/>
          <w:sz w:val="24"/>
          <w:lang w:val="es-CR" w:eastAsia="es-ES"/>
        </w:rPr>
      </w:pPr>
      <w:r w:rsidRPr="00BF3029">
        <w:rPr>
          <w:b/>
          <w:sz w:val="24"/>
          <w:lang w:val="es-CR" w:eastAsia="es-ES"/>
        </w:rPr>
        <w:t>Entidades Autorizadas del Sistema Financiera Nacional para la Vivienda</w:t>
      </w:r>
    </w:p>
    <w:p w:rsidRPr="00BF3029" w:rsidR="005B160F" w:rsidP="005B160F" w:rsidRDefault="005B160F" w14:paraId="3EC3D517" w14:textId="77777777">
      <w:pPr>
        <w:pStyle w:val="Texto0"/>
        <w:spacing w:line="240" w:lineRule="auto"/>
        <w:contextualSpacing/>
        <w:rPr>
          <w:b/>
          <w:sz w:val="24"/>
        </w:rPr>
      </w:pPr>
    </w:p>
    <w:p w:rsidRPr="00BF3029" w:rsidR="00B51077" w:rsidP="00B51077" w:rsidRDefault="00B51077" w14:paraId="68CD5848" w14:textId="77777777">
      <w:pPr>
        <w:pStyle w:val="Texto0"/>
        <w:spacing w:line="240" w:lineRule="auto"/>
        <w:rPr>
          <w:sz w:val="24"/>
        </w:rPr>
      </w:pPr>
      <w:r w:rsidRPr="00BF3029">
        <w:rPr>
          <w:b/>
          <w:sz w:val="24"/>
        </w:rPr>
        <w:t xml:space="preserve">Asunto: </w:t>
      </w:r>
      <w:r w:rsidRPr="00BF3029">
        <w:rPr>
          <w:sz w:val="24"/>
        </w:rPr>
        <w:t>Inclusión de datos adicionales en las Clases de datos “Financiera” y de “Información Complementaria de Grupos y Conglomerados Financieros”: Homologación de porcentaje de riesgo de crédito dispuesto en los  “</w:t>
      </w:r>
      <w:r w:rsidRPr="00BF3029">
        <w:rPr>
          <w:i/>
          <w:sz w:val="24"/>
        </w:rPr>
        <w:t xml:space="preserve">Lineamientos Generales para la aplicación del Reglamento sobre la suficiencia patrimonial de entidades financieras, Acuerdo SUGEF-3-06” </w:t>
      </w:r>
      <w:r w:rsidRPr="00BF3029">
        <w:rPr>
          <w:sz w:val="24"/>
        </w:rPr>
        <w:t xml:space="preserve">para los instrumentos financieros clasificados al costo amortizado, que corresponden a operaciones diferidas de liquidez, reportos y reportos tripartitos. </w:t>
      </w:r>
    </w:p>
    <w:p w:rsidRPr="00BF3029" w:rsidR="00B51077" w:rsidP="00B51077" w:rsidRDefault="00B51077" w14:paraId="28C0BE04" w14:textId="77777777">
      <w:pPr>
        <w:pStyle w:val="Texto0"/>
        <w:spacing w:before="0" w:after="0" w:line="240" w:lineRule="auto"/>
        <w:rPr>
          <w:sz w:val="24"/>
        </w:rPr>
      </w:pPr>
    </w:p>
    <w:p w:rsidRPr="00BF3029" w:rsidR="00B51077" w:rsidP="00B51077" w:rsidRDefault="00B51077" w14:paraId="05465C99" w14:textId="77777777">
      <w:pPr>
        <w:spacing w:line="240" w:lineRule="auto"/>
        <w:ind w:left="34"/>
        <w:outlineLvl w:val="0"/>
        <w:rPr>
          <w:sz w:val="24"/>
        </w:rPr>
      </w:pPr>
      <w:r w:rsidRPr="00BF3029">
        <w:rPr>
          <w:b/>
          <w:sz w:val="24"/>
        </w:rPr>
        <w:t>El Superintendente General de Entidades Financieras,</w:t>
      </w:r>
    </w:p>
    <w:p w:rsidRPr="00BF3029" w:rsidR="00B51077" w:rsidP="00B51077" w:rsidRDefault="00B51077" w14:paraId="775B1572" w14:textId="77777777">
      <w:pPr>
        <w:spacing w:line="240" w:lineRule="auto"/>
        <w:ind w:left="34"/>
        <w:rPr>
          <w:sz w:val="24"/>
        </w:rPr>
      </w:pPr>
    </w:p>
    <w:p w:rsidRPr="00BF3029" w:rsidR="00B51077" w:rsidP="00B51077" w:rsidRDefault="00B51077" w14:paraId="7C52BBA2" w14:textId="77777777">
      <w:pPr>
        <w:spacing w:line="240" w:lineRule="auto"/>
        <w:ind w:left="34"/>
        <w:outlineLvl w:val="0"/>
        <w:rPr>
          <w:sz w:val="24"/>
        </w:rPr>
      </w:pPr>
      <w:r w:rsidRPr="00BF3029">
        <w:rPr>
          <w:b/>
          <w:sz w:val="24"/>
        </w:rPr>
        <w:t>Considerando que</w:t>
      </w:r>
      <w:r w:rsidRPr="00BF3029">
        <w:rPr>
          <w:sz w:val="24"/>
        </w:rPr>
        <w:t>:</w:t>
      </w:r>
    </w:p>
    <w:p w:rsidRPr="00BF3029" w:rsidR="00B51077" w:rsidP="00B51077" w:rsidRDefault="00B51077" w14:paraId="0CF5348F" w14:textId="77777777">
      <w:pPr>
        <w:pStyle w:val="Prrafodelista"/>
        <w:rPr>
          <w:rFonts w:ascii="Cambria" w:hAnsi="Cambria"/>
          <w:sz w:val="24"/>
          <w:szCs w:val="24"/>
          <w:lang w:val="es-ES"/>
        </w:rPr>
      </w:pPr>
    </w:p>
    <w:p w:rsidRPr="00BF3029" w:rsidR="00B51077" w:rsidP="00B51077" w:rsidRDefault="00B51077" w14:paraId="35EE0B6C" w14:textId="77777777">
      <w:pPr>
        <w:pStyle w:val="Prrafodelista"/>
        <w:numPr>
          <w:ilvl w:val="0"/>
          <w:numId w:val="14"/>
        </w:numPr>
        <w:tabs>
          <w:tab w:val="left" w:pos="2843"/>
        </w:tabs>
        <w:spacing w:before="120" w:after="120" w:line="240" w:lineRule="auto"/>
        <w:jc w:val="both"/>
        <w:rPr>
          <w:rFonts w:ascii="Cambria" w:hAnsi="Cambria"/>
          <w:sz w:val="24"/>
          <w:szCs w:val="24"/>
        </w:rPr>
      </w:pPr>
      <w:r w:rsidRPr="00BF3029">
        <w:rPr>
          <w:rFonts w:ascii="Cambria" w:hAnsi="Cambria"/>
          <w:sz w:val="24"/>
          <w:szCs w:val="24"/>
          <w:lang w:val="es-ES"/>
        </w:rPr>
        <w:t>Las Superintendencias emitieron el 7 de febrero de 2020 el comunicado N° SP-R-1944-2020 - SGF-R-0412-2020 - SGS-R-2290-2020 - SGV-R-3510, para que el registro de</w:t>
      </w:r>
      <w:r w:rsidRPr="00BF3029">
        <w:rPr>
          <w:rFonts w:ascii="Cambria" w:hAnsi="Cambria"/>
          <w:sz w:val="24"/>
          <w:szCs w:val="24"/>
        </w:rPr>
        <w:t xml:space="preserve"> las </w:t>
      </w:r>
      <w:r w:rsidRPr="00BF3029">
        <w:rPr>
          <w:rFonts w:ascii="Cambria" w:hAnsi="Cambria"/>
          <w:bCs/>
          <w:sz w:val="24"/>
          <w:szCs w:val="24"/>
          <w:lang w:eastAsia="es-CR"/>
        </w:rPr>
        <w:t>operaciones diferidas de liquidez y operaciones de reporto y reporto tripartito que</w:t>
      </w:r>
      <w:r w:rsidRPr="00BF3029">
        <w:rPr>
          <w:rFonts w:ascii="Cambria" w:hAnsi="Cambria"/>
          <w:sz w:val="24"/>
          <w:szCs w:val="24"/>
        </w:rPr>
        <w:t xml:space="preserve"> se clasifiquen en la categoría de </w:t>
      </w:r>
      <w:r w:rsidRPr="00BF3029">
        <w:rPr>
          <w:rFonts w:ascii="Cambria" w:hAnsi="Cambria"/>
          <w:bCs/>
          <w:sz w:val="24"/>
          <w:szCs w:val="24"/>
          <w:lang w:eastAsia="es-CR"/>
        </w:rPr>
        <w:t xml:space="preserve">costo amortizado se realice </w:t>
      </w:r>
      <w:r w:rsidRPr="00BF3029">
        <w:rPr>
          <w:rFonts w:ascii="Cambria" w:hAnsi="Cambria"/>
          <w:sz w:val="24"/>
          <w:szCs w:val="24"/>
        </w:rPr>
        <w:t>en las subcuentas definidas para el grupo 123.06  “</w:t>
      </w:r>
      <w:r w:rsidRPr="00BF3029">
        <w:rPr>
          <w:rFonts w:ascii="Cambria" w:hAnsi="Cambria"/>
          <w:i/>
          <w:sz w:val="24"/>
          <w:szCs w:val="24"/>
        </w:rPr>
        <w:t>Instrumentos financieros en otras entidades del país</w:t>
      </w:r>
      <w:r w:rsidRPr="00BF3029">
        <w:rPr>
          <w:rFonts w:ascii="Cambria" w:hAnsi="Cambria"/>
          <w:sz w:val="24"/>
          <w:szCs w:val="24"/>
        </w:rPr>
        <w:t>”, 1.020.030.060 “</w:t>
      </w:r>
      <w:r w:rsidRPr="00BF3029">
        <w:rPr>
          <w:rFonts w:ascii="Cambria" w:hAnsi="Cambria"/>
          <w:i/>
          <w:sz w:val="24"/>
          <w:szCs w:val="24"/>
        </w:rPr>
        <w:t>Instrumentos financieros en otras entidades del país</w:t>
      </w:r>
      <w:r w:rsidRPr="00BF3029">
        <w:rPr>
          <w:rFonts w:ascii="Cambria" w:hAnsi="Cambria"/>
          <w:sz w:val="24"/>
          <w:szCs w:val="24"/>
        </w:rPr>
        <w:t xml:space="preserve">” </w:t>
      </w:r>
      <w:r w:rsidRPr="00BF3029">
        <w:rPr>
          <w:rFonts w:ascii="Cambria" w:hAnsi="Cambria"/>
          <w:bCs/>
          <w:sz w:val="24"/>
          <w:szCs w:val="24"/>
          <w:lang w:eastAsia="es-CR"/>
        </w:rPr>
        <w:t xml:space="preserve">en el caso de entidades supervisadas por la SUGESE, y sus correspondientes cuentas relacionadas de ingresos y gastos. </w:t>
      </w:r>
    </w:p>
    <w:p w:rsidRPr="00BF3029" w:rsidR="00B51077" w:rsidP="00B51077" w:rsidRDefault="00B51077" w14:paraId="0838EDED" w14:textId="77777777">
      <w:pPr>
        <w:pStyle w:val="Prrafodelista"/>
        <w:tabs>
          <w:tab w:val="left" w:pos="2843"/>
        </w:tabs>
        <w:spacing w:before="120" w:after="120" w:line="240" w:lineRule="auto"/>
        <w:jc w:val="both"/>
        <w:rPr>
          <w:rFonts w:ascii="Cambria" w:hAnsi="Cambria"/>
          <w:sz w:val="24"/>
          <w:szCs w:val="24"/>
        </w:rPr>
      </w:pPr>
    </w:p>
    <w:p w:rsidRPr="00BF3029" w:rsidR="00B51077" w:rsidP="00B51077" w:rsidRDefault="00B51077" w14:paraId="0B0C5FB6" w14:textId="77777777">
      <w:pPr>
        <w:pStyle w:val="Prrafodelista"/>
        <w:numPr>
          <w:ilvl w:val="0"/>
          <w:numId w:val="14"/>
        </w:numPr>
        <w:tabs>
          <w:tab w:val="left" w:pos="2843"/>
        </w:tabs>
        <w:spacing w:before="120" w:after="120" w:line="240" w:lineRule="auto"/>
        <w:jc w:val="both"/>
        <w:rPr>
          <w:rFonts w:ascii="Cambria" w:hAnsi="Cambria"/>
          <w:sz w:val="24"/>
          <w:szCs w:val="24"/>
        </w:rPr>
      </w:pPr>
      <w:r w:rsidRPr="00BF3029">
        <w:rPr>
          <w:rFonts w:ascii="Cambria" w:hAnsi="Cambria"/>
          <w:sz w:val="24"/>
          <w:szCs w:val="24"/>
        </w:rPr>
        <w:t>La cuenta 123.06 “</w:t>
      </w:r>
      <w:r w:rsidRPr="00BF3029">
        <w:rPr>
          <w:rFonts w:ascii="Cambria" w:hAnsi="Cambria"/>
          <w:i/>
          <w:sz w:val="24"/>
          <w:szCs w:val="24"/>
        </w:rPr>
        <w:t>Instrumentos financieros en otras entidades del país</w:t>
      </w:r>
      <w:r w:rsidRPr="00BF3029">
        <w:rPr>
          <w:rFonts w:ascii="Cambria" w:hAnsi="Cambria"/>
          <w:sz w:val="24"/>
          <w:szCs w:val="24"/>
        </w:rPr>
        <w:t xml:space="preserve">” no es específica para el registro de las operaciones diferidas de liquidez y operaciones de reporto y reporto tripartito, incluye otras inversiones en </w:t>
      </w:r>
      <w:r w:rsidRPr="00BF3029">
        <w:rPr>
          <w:rFonts w:ascii="Cambria" w:hAnsi="Cambria"/>
          <w:sz w:val="24"/>
          <w:szCs w:val="24"/>
        </w:rPr>
        <w:lastRenderedPageBreak/>
        <w:t>instrumentos financieros emitidos por otras entidades del país, por lo que es necesario, para el cálculo de los requerimientos de capital para exposiciones al riesgo de crédito, de acuerdo con lo dispuesto en el “</w:t>
      </w:r>
      <w:r w:rsidRPr="00BF3029">
        <w:rPr>
          <w:rFonts w:ascii="Cambria" w:hAnsi="Cambria"/>
          <w:i/>
          <w:sz w:val="24"/>
          <w:szCs w:val="24"/>
        </w:rPr>
        <w:t>Reglamento sobre la suficiencia patrimonial de entidades financieras</w:t>
      </w:r>
      <w:r w:rsidRPr="00BF3029">
        <w:rPr>
          <w:rFonts w:ascii="Cambria" w:hAnsi="Cambria"/>
          <w:sz w:val="24"/>
          <w:szCs w:val="24"/>
        </w:rPr>
        <w:t>”  y sus “</w:t>
      </w:r>
      <w:r w:rsidRPr="00BF3029">
        <w:rPr>
          <w:rFonts w:ascii="Cambria" w:hAnsi="Cambria"/>
          <w:i/>
          <w:sz w:val="24"/>
          <w:szCs w:val="24"/>
        </w:rPr>
        <w:t>Lineamientos Generales</w:t>
      </w:r>
      <w:r w:rsidRPr="00BF3029">
        <w:rPr>
          <w:rFonts w:ascii="Cambria" w:hAnsi="Cambria"/>
          <w:sz w:val="24"/>
          <w:szCs w:val="24"/>
        </w:rPr>
        <w:t>” que los reportos y reportos tripartitos y operaciones diferidas de liquidez, clasificados en la categoría de costo amortizado, se identifiquen como datos adicionales, con el propósito de que cuenten con una ponderación homóloga a la dictada en la categoría de valor razonable con cambios en el otro resultado integral.</w:t>
      </w:r>
    </w:p>
    <w:p w:rsidRPr="00BF3029" w:rsidR="00B51077" w:rsidP="00B51077" w:rsidRDefault="00B51077" w14:paraId="74C08EF3" w14:textId="77777777">
      <w:pPr>
        <w:pStyle w:val="Prrafodelista"/>
        <w:tabs>
          <w:tab w:val="left" w:pos="2843"/>
        </w:tabs>
        <w:spacing w:before="120" w:after="120" w:line="240" w:lineRule="auto"/>
        <w:jc w:val="both"/>
        <w:rPr>
          <w:rFonts w:ascii="Cambria" w:hAnsi="Cambria"/>
          <w:sz w:val="24"/>
          <w:szCs w:val="24"/>
        </w:rPr>
      </w:pPr>
    </w:p>
    <w:p w:rsidRPr="00BF3029" w:rsidR="00B51077" w:rsidP="00B51077" w:rsidRDefault="00B51077" w14:paraId="1A38E535" w14:textId="77777777">
      <w:pPr>
        <w:pStyle w:val="Prrafodelista"/>
        <w:numPr>
          <w:ilvl w:val="0"/>
          <w:numId w:val="14"/>
        </w:numPr>
        <w:spacing w:before="120" w:after="120" w:line="240" w:lineRule="auto"/>
        <w:jc w:val="both"/>
        <w:rPr>
          <w:rFonts w:ascii="Cambria" w:hAnsi="Cambria"/>
          <w:sz w:val="24"/>
          <w:szCs w:val="24"/>
          <w:lang w:val="es-ES"/>
        </w:rPr>
      </w:pPr>
      <w:r w:rsidRPr="00BF3029">
        <w:rPr>
          <w:rFonts w:ascii="Cambria" w:hAnsi="Cambria"/>
          <w:sz w:val="24"/>
          <w:szCs w:val="24"/>
          <w:lang w:val="es-ES"/>
        </w:rPr>
        <w:t>El CONASSIF, mediante Artículo 14, de la Sesión 547-2006, aprobó el “</w:t>
      </w:r>
      <w:r w:rsidRPr="00BF3029">
        <w:rPr>
          <w:rFonts w:ascii="Cambria" w:hAnsi="Cambria"/>
          <w:i/>
          <w:sz w:val="24"/>
          <w:szCs w:val="24"/>
          <w:lang w:val="es-ES"/>
        </w:rPr>
        <w:t>Reglamento sobre la suficiencia patrimonial de entidades financieras</w:t>
      </w:r>
      <w:r w:rsidRPr="00BF3029">
        <w:rPr>
          <w:rFonts w:ascii="Cambria" w:hAnsi="Cambria"/>
          <w:sz w:val="24"/>
          <w:szCs w:val="24"/>
          <w:lang w:val="es-ES"/>
        </w:rPr>
        <w:t xml:space="preserve">” que tiene por objeto establecer la metodología para el cálculo de la suficiencia patrimonial de las entidades financieras y establecer el requerimiento mínimo de capital. </w:t>
      </w:r>
    </w:p>
    <w:p w:rsidRPr="00BF3029" w:rsidR="00B51077" w:rsidP="00B51077" w:rsidRDefault="00B51077" w14:paraId="13BDEF82" w14:textId="77777777">
      <w:pPr>
        <w:pStyle w:val="Prrafodelista"/>
        <w:rPr>
          <w:rFonts w:ascii="Cambria" w:hAnsi="Cambria"/>
          <w:sz w:val="24"/>
          <w:szCs w:val="24"/>
          <w:lang w:val="es-ES"/>
        </w:rPr>
      </w:pPr>
    </w:p>
    <w:p w:rsidRPr="00BF3029" w:rsidR="00B51077" w:rsidP="00B51077" w:rsidRDefault="00B51077" w14:paraId="789A0C1D" w14:textId="77777777">
      <w:pPr>
        <w:pStyle w:val="Prrafodelista"/>
        <w:numPr>
          <w:ilvl w:val="0"/>
          <w:numId w:val="14"/>
        </w:numPr>
        <w:spacing w:before="120" w:after="120" w:line="240" w:lineRule="auto"/>
        <w:jc w:val="both"/>
        <w:rPr>
          <w:rFonts w:ascii="Cambria" w:hAnsi="Cambria"/>
          <w:sz w:val="24"/>
          <w:szCs w:val="24"/>
          <w:lang w:val="es-ES"/>
        </w:rPr>
      </w:pPr>
      <w:r w:rsidRPr="00BF3029">
        <w:rPr>
          <w:rFonts w:ascii="Cambria" w:hAnsi="Cambria"/>
          <w:sz w:val="24"/>
          <w:szCs w:val="24"/>
          <w:lang w:val="es-ES"/>
        </w:rPr>
        <w:t>El artículo 4. “</w:t>
      </w:r>
      <w:r w:rsidRPr="00BF3029">
        <w:rPr>
          <w:rFonts w:ascii="Cambria" w:hAnsi="Cambria"/>
          <w:i/>
          <w:sz w:val="24"/>
          <w:szCs w:val="24"/>
          <w:lang w:val="es-ES"/>
        </w:rPr>
        <w:t>Lineamientos Generales</w:t>
      </w:r>
      <w:r w:rsidRPr="00BF3029">
        <w:rPr>
          <w:rFonts w:ascii="Cambria" w:hAnsi="Cambria"/>
          <w:sz w:val="24"/>
          <w:szCs w:val="24"/>
          <w:lang w:val="es-ES"/>
        </w:rPr>
        <w:t>” del “</w:t>
      </w:r>
      <w:r w:rsidRPr="00BF3029">
        <w:rPr>
          <w:rFonts w:ascii="Cambria" w:hAnsi="Cambria"/>
          <w:i/>
          <w:sz w:val="24"/>
          <w:szCs w:val="24"/>
          <w:lang w:val="es-ES"/>
        </w:rPr>
        <w:t>Reglamento sobre la suficiencia patrimonial de entidades financieras</w:t>
      </w:r>
      <w:r w:rsidRPr="00BF3029">
        <w:rPr>
          <w:rFonts w:ascii="Cambria" w:hAnsi="Cambria"/>
          <w:sz w:val="24"/>
          <w:szCs w:val="24"/>
          <w:lang w:val="es-ES"/>
        </w:rPr>
        <w:t>” dispone que el Superintendente debe emitir los Lineamientos Generales necesarios para la aplicación de dicho reglamento, los cuales pueden ser modificados para mantener actualizadas las cuentas contables y datos adicionales, la metodología de homologación de calificaciones y de cálculo del VeR, y las deducciones a  las que están sujetas las utilidades.</w:t>
      </w:r>
    </w:p>
    <w:p w:rsidRPr="00BF3029" w:rsidR="00B51077" w:rsidP="00B51077" w:rsidRDefault="00B51077" w14:paraId="48CFB616" w14:textId="77777777">
      <w:pPr>
        <w:pStyle w:val="Prrafodelista"/>
        <w:rPr>
          <w:rFonts w:ascii="Cambria" w:hAnsi="Cambria"/>
          <w:sz w:val="24"/>
          <w:szCs w:val="24"/>
          <w:lang w:val="es-ES"/>
        </w:rPr>
      </w:pPr>
    </w:p>
    <w:p w:rsidRPr="00BF3029" w:rsidR="00B51077" w:rsidP="00B51077" w:rsidRDefault="00B51077" w14:paraId="63894614" w14:textId="77777777">
      <w:pPr>
        <w:pStyle w:val="Prrafodelista"/>
        <w:numPr>
          <w:ilvl w:val="0"/>
          <w:numId w:val="14"/>
        </w:numPr>
        <w:spacing w:before="120" w:after="120" w:line="240" w:lineRule="auto"/>
        <w:jc w:val="both"/>
        <w:rPr>
          <w:rFonts w:ascii="Cambria" w:hAnsi="Cambria"/>
          <w:sz w:val="24"/>
          <w:szCs w:val="24"/>
          <w:lang w:val="es-ES"/>
        </w:rPr>
      </w:pPr>
      <w:r w:rsidRPr="00BF3029">
        <w:rPr>
          <w:rFonts w:ascii="Cambria" w:hAnsi="Cambria"/>
          <w:sz w:val="24"/>
          <w:szCs w:val="24"/>
          <w:lang w:val="es-ES"/>
        </w:rPr>
        <w:t>Mediante el “</w:t>
      </w:r>
      <w:r w:rsidRPr="00BF3029">
        <w:rPr>
          <w:rFonts w:ascii="Cambria" w:hAnsi="Cambria"/>
          <w:i/>
          <w:sz w:val="24"/>
          <w:szCs w:val="24"/>
          <w:lang w:val="es-ES"/>
        </w:rPr>
        <w:t>Sistema de Captura, Verificación y Carga de Datos”</w:t>
      </w:r>
      <w:r w:rsidRPr="00BF3029">
        <w:rPr>
          <w:rFonts w:ascii="Cambria" w:hAnsi="Cambria"/>
          <w:sz w:val="24"/>
          <w:szCs w:val="24"/>
          <w:lang w:val="es-ES"/>
        </w:rPr>
        <w:t xml:space="preserve"> (SICVECA), las entidades supervisadas remiten a esta Superintendencia información financiera que complementa los balances, estados y cuentas de las entidades, entre ellas, un detalle de datos adicionales. Además, el “</w:t>
      </w:r>
      <w:r w:rsidRPr="00BF3029">
        <w:rPr>
          <w:rFonts w:ascii="Cambria" w:hAnsi="Cambria"/>
          <w:i/>
          <w:sz w:val="24"/>
          <w:szCs w:val="24"/>
          <w:lang w:val="es-ES"/>
        </w:rPr>
        <w:t>Manual de Información–SICVECA</w:t>
      </w:r>
      <w:r w:rsidRPr="00BF3029">
        <w:rPr>
          <w:rFonts w:ascii="Cambria" w:hAnsi="Cambria"/>
          <w:sz w:val="24"/>
          <w:szCs w:val="24"/>
          <w:lang w:val="es-ES"/>
        </w:rPr>
        <w:t xml:space="preserve">”, publicado en el sitio Web de SUGEF, contiene las instrucciones para la preparación y el envío de la información que ésta solicita a las entidades supervisadas. </w:t>
      </w:r>
    </w:p>
    <w:p w:rsidRPr="00BF3029" w:rsidR="00B51077" w:rsidP="00B51077" w:rsidRDefault="00B51077" w14:paraId="2452502C" w14:textId="77777777">
      <w:pPr>
        <w:pStyle w:val="Prrafodelista"/>
        <w:spacing w:before="120" w:after="120" w:line="240" w:lineRule="auto"/>
        <w:rPr>
          <w:rFonts w:ascii="Cambria" w:hAnsi="Cambria"/>
          <w:sz w:val="24"/>
          <w:szCs w:val="24"/>
          <w:lang w:val="es-ES"/>
        </w:rPr>
      </w:pPr>
    </w:p>
    <w:p w:rsidRPr="00BF3029" w:rsidR="00B51077" w:rsidP="00B51077" w:rsidRDefault="00B51077" w14:paraId="04DA78D6" w14:textId="77777777">
      <w:pPr>
        <w:pStyle w:val="Prrafodelista"/>
        <w:numPr>
          <w:ilvl w:val="0"/>
          <w:numId w:val="14"/>
        </w:numPr>
        <w:spacing w:before="120" w:after="120" w:line="240" w:lineRule="auto"/>
        <w:jc w:val="both"/>
        <w:rPr>
          <w:rFonts w:ascii="Cambria" w:hAnsi="Cambria"/>
          <w:sz w:val="24"/>
          <w:szCs w:val="24"/>
          <w:lang w:val="es-ES"/>
        </w:rPr>
      </w:pPr>
      <w:r w:rsidRPr="00BF3029">
        <w:rPr>
          <w:rFonts w:ascii="Cambria" w:hAnsi="Cambria"/>
          <w:sz w:val="24"/>
          <w:szCs w:val="24"/>
          <w:lang w:val="es-ES"/>
        </w:rPr>
        <w:t>Que las tablas de documentación de los XML, disponibles en el sitio WEB de esta Superintendencia, contienen la información complementaria que las entidades supervisadas deben remitir.</w:t>
      </w:r>
    </w:p>
    <w:p w:rsidRPr="00BF3029" w:rsidR="00B51077" w:rsidP="00B51077" w:rsidRDefault="00B51077" w14:paraId="4C5A5CD8" w14:textId="77777777">
      <w:pPr>
        <w:pStyle w:val="Prrafodelista"/>
        <w:spacing w:before="120" w:after="120" w:line="240" w:lineRule="auto"/>
        <w:jc w:val="both"/>
        <w:rPr>
          <w:rFonts w:ascii="Cambria" w:hAnsi="Cambria"/>
          <w:sz w:val="24"/>
          <w:szCs w:val="24"/>
          <w:lang w:val="es-ES"/>
        </w:rPr>
      </w:pPr>
    </w:p>
    <w:p w:rsidRPr="00BF3029" w:rsidR="00B51077" w:rsidP="00B51077" w:rsidRDefault="00B51077" w14:paraId="41A89FAA" w14:textId="77777777">
      <w:pPr>
        <w:pStyle w:val="Prrafodelista"/>
        <w:numPr>
          <w:ilvl w:val="0"/>
          <w:numId w:val="14"/>
        </w:numPr>
        <w:spacing w:before="120" w:after="120" w:line="240" w:lineRule="auto"/>
        <w:jc w:val="both"/>
        <w:rPr>
          <w:rFonts w:ascii="Cambria" w:hAnsi="Cambria"/>
          <w:sz w:val="24"/>
          <w:szCs w:val="24"/>
          <w:lang w:val="es-ES"/>
        </w:rPr>
      </w:pPr>
      <w:r w:rsidRPr="00BF3029">
        <w:rPr>
          <w:rFonts w:ascii="Cambria" w:hAnsi="Cambria"/>
          <w:sz w:val="24"/>
          <w:szCs w:val="24"/>
          <w:lang w:val="es-ES"/>
        </w:rPr>
        <w:t>El literal b) del Artículo 131, de la Ley Orgánica del Banco Central de Costa Rica, Ley número 7558, establece que corresponde al Superintendente ejecutar los acuerdos del CONASSIF y las demás funciones que le señale la ley.</w:t>
      </w:r>
    </w:p>
    <w:p w:rsidRPr="00BF3029" w:rsidR="00B51077" w:rsidP="00B51077" w:rsidRDefault="00B51077" w14:paraId="7D020463" w14:textId="77777777">
      <w:pPr>
        <w:pStyle w:val="Prrafodelista"/>
        <w:rPr>
          <w:rFonts w:ascii="Cambria" w:hAnsi="Cambria"/>
          <w:sz w:val="24"/>
          <w:szCs w:val="24"/>
          <w:lang w:val="es-ES"/>
        </w:rPr>
      </w:pPr>
    </w:p>
    <w:p w:rsidRPr="00BF3029" w:rsidR="00B51077" w:rsidP="00B51077" w:rsidRDefault="00B51077" w14:paraId="516F3CAE" w14:textId="77777777">
      <w:pPr>
        <w:pStyle w:val="Prrafodelista"/>
        <w:rPr>
          <w:rFonts w:ascii="Cambria" w:hAnsi="Cambria"/>
          <w:sz w:val="24"/>
          <w:szCs w:val="24"/>
          <w:lang w:val="es-ES"/>
        </w:rPr>
      </w:pPr>
    </w:p>
    <w:p w:rsidRPr="00BF3029" w:rsidR="00B51077" w:rsidP="00B51077" w:rsidRDefault="00B51077" w14:paraId="138CF331" w14:textId="77777777">
      <w:pPr>
        <w:spacing w:before="120" w:after="120" w:line="240" w:lineRule="auto"/>
        <w:ind w:left="33"/>
        <w:rPr>
          <w:sz w:val="24"/>
        </w:rPr>
      </w:pPr>
      <w:r w:rsidRPr="00BF3029">
        <w:rPr>
          <w:b/>
          <w:sz w:val="24"/>
        </w:rPr>
        <w:lastRenderedPageBreak/>
        <w:t>Dispone</w:t>
      </w:r>
      <w:r w:rsidRPr="00BF3029">
        <w:rPr>
          <w:sz w:val="24"/>
        </w:rPr>
        <w:t>:</w:t>
      </w:r>
    </w:p>
    <w:p w:rsidRPr="00BF3029" w:rsidR="00B51077" w:rsidP="00B51077" w:rsidRDefault="00B51077" w14:paraId="201C0A97" w14:textId="77777777">
      <w:pPr>
        <w:pStyle w:val="NormalWeb"/>
        <w:numPr>
          <w:ilvl w:val="0"/>
          <w:numId w:val="16"/>
        </w:numPr>
        <w:spacing w:before="0" w:beforeAutospacing="0" w:after="0" w:afterAutospacing="0"/>
        <w:ind w:left="284" w:hanging="284"/>
        <w:jc w:val="both"/>
        <w:rPr>
          <w:rFonts w:ascii="Cambria" w:hAnsi="Cambria"/>
          <w:sz w:val="24"/>
          <w:szCs w:val="24"/>
        </w:rPr>
      </w:pPr>
      <w:r w:rsidRPr="00BF3029">
        <w:rPr>
          <w:rFonts w:ascii="Cambria" w:hAnsi="Cambria"/>
          <w:sz w:val="24"/>
          <w:szCs w:val="24"/>
        </w:rPr>
        <w:t>En el sitio Web de esta Superintendencia, en el Manual de Información-SICVECA, apartado “</w:t>
      </w:r>
      <w:r w:rsidRPr="00BF3029">
        <w:rPr>
          <w:rFonts w:ascii="Cambria" w:hAnsi="Cambria"/>
          <w:i/>
          <w:sz w:val="24"/>
          <w:szCs w:val="24"/>
        </w:rPr>
        <w:t>Tablas de datos</w:t>
      </w:r>
      <w:r w:rsidRPr="00BF3029">
        <w:rPr>
          <w:rFonts w:ascii="Cambria" w:hAnsi="Cambria"/>
          <w:sz w:val="24"/>
          <w:szCs w:val="24"/>
        </w:rPr>
        <w:t>”, se encuentra la versión actualizada de las “</w:t>
      </w:r>
      <w:r w:rsidRPr="00BF3029">
        <w:rPr>
          <w:rFonts w:ascii="Cambria" w:hAnsi="Cambria"/>
          <w:i/>
          <w:sz w:val="24"/>
          <w:szCs w:val="24"/>
        </w:rPr>
        <w:t>TablasDocumentacionXML_Primera_Parte.doc</w:t>
      </w:r>
      <w:r w:rsidRPr="00BF3029">
        <w:rPr>
          <w:rFonts w:ascii="Cambria" w:hAnsi="Cambria"/>
          <w:sz w:val="24"/>
          <w:szCs w:val="24"/>
        </w:rPr>
        <w:t>” que incluyen la incorporación de los siguientes datos:</w:t>
      </w:r>
    </w:p>
    <w:p w:rsidRPr="00BF3029" w:rsidR="00B51077" w:rsidP="00B51077" w:rsidRDefault="00B51077" w14:paraId="6ECEFF05" w14:textId="77777777">
      <w:pPr>
        <w:spacing w:line="240" w:lineRule="auto"/>
        <w:ind w:left="66"/>
        <w:contextualSpacing/>
        <w:rPr>
          <w:i/>
          <w:sz w:val="24"/>
        </w:rPr>
      </w:pPr>
    </w:p>
    <w:p w:rsidRPr="00BF3029" w:rsidR="00B51077" w:rsidP="00B51077" w:rsidRDefault="00B51077" w14:paraId="0C83B215" w14:textId="1635CFE3">
      <w:pPr>
        <w:contextualSpacing/>
        <w:rPr>
          <w:b/>
          <w:sz w:val="24"/>
          <w:lang w:eastAsia="es-CR"/>
        </w:rPr>
      </w:pPr>
      <w:r w:rsidRPr="00BF3029">
        <w:rPr>
          <w:b/>
          <w:sz w:val="24"/>
          <w:lang w:eastAsia="es-CR"/>
        </w:rPr>
        <w:t>Catálogo de Datos Adicionales: Entidad Individual</w:t>
      </w:r>
    </w:p>
    <w:tbl>
      <w:tblPr>
        <w:tblW w:w="8626" w:type="dxa"/>
        <w:tblInd w:w="5" w:type="dxa"/>
        <w:tblLayout w:type="fixed"/>
        <w:tblCellMar>
          <w:left w:w="70" w:type="dxa"/>
          <w:right w:w="70" w:type="dxa"/>
        </w:tblCellMar>
        <w:tblLook w:val="04A0" w:firstRow="1" w:lastRow="0" w:firstColumn="1" w:lastColumn="0" w:noHBand="0" w:noVBand="1"/>
      </w:tblPr>
      <w:tblGrid>
        <w:gridCol w:w="989"/>
        <w:gridCol w:w="4955"/>
        <w:gridCol w:w="850"/>
        <w:gridCol w:w="1832"/>
      </w:tblGrid>
      <w:tr w:rsidRPr="00BF3029" w:rsidR="00B51077" w:rsidTr="004123E6" w14:paraId="2A557E46"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33538A86" w14:textId="77777777">
            <w:pPr>
              <w:rPr>
                <w:b/>
                <w:sz w:val="24"/>
              </w:rPr>
            </w:pPr>
            <w:r w:rsidRPr="00BF3029">
              <w:rPr>
                <w:b/>
                <w:sz w:val="24"/>
              </w:rPr>
              <w:t>Cuenta</w:t>
            </w:r>
          </w:p>
        </w:tc>
        <w:tc>
          <w:tcPr>
            <w:tcW w:w="4955"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26F607AE" w14:textId="77777777">
            <w:pPr>
              <w:rPr>
                <w:b/>
                <w:sz w:val="24"/>
              </w:rPr>
            </w:pPr>
            <w:r w:rsidRPr="00BF3029">
              <w:rPr>
                <w:b/>
                <w:sz w:val="24"/>
              </w:rPr>
              <w:t>Descripción</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47915F40" w14:textId="77777777">
            <w:pPr>
              <w:jc w:val="right"/>
              <w:rPr>
                <w:b/>
                <w:sz w:val="24"/>
              </w:rPr>
            </w:pPr>
            <w:r w:rsidRPr="00BF3029">
              <w:rPr>
                <w:b/>
                <w:sz w:val="24"/>
              </w:rPr>
              <w:t>Signo</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2EFFE734" w14:textId="77777777">
            <w:pPr>
              <w:jc w:val="center"/>
              <w:rPr>
                <w:b/>
                <w:sz w:val="24"/>
              </w:rPr>
            </w:pPr>
            <w:r w:rsidRPr="00BF3029">
              <w:rPr>
                <w:b/>
                <w:sz w:val="24"/>
              </w:rPr>
              <w:t>Tipo_Catálogo</w:t>
            </w:r>
          </w:p>
        </w:tc>
      </w:tr>
      <w:tr w:rsidRPr="00BF3029" w:rsidR="00B51077" w:rsidTr="004123E6" w14:paraId="2B2673ED"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hideMark/>
          </w:tcPr>
          <w:p w:rsidRPr="00BF3029" w:rsidR="00B51077" w:rsidP="004123E6" w:rsidRDefault="00B51077" w14:paraId="2CDA08BD" w14:textId="77777777">
            <w:pPr>
              <w:rPr>
                <w:sz w:val="24"/>
              </w:rPr>
            </w:pPr>
            <w:r w:rsidRPr="00BF3029">
              <w:rPr>
                <w:sz w:val="24"/>
              </w:rPr>
              <w:t>20218</w:t>
            </w:r>
          </w:p>
        </w:tc>
        <w:tc>
          <w:tcPr>
            <w:tcW w:w="4955" w:type="dxa"/>
            <w:tcBorders>
              <w:top w:val="single" w:color="auto" w:sz="4" w:space="0"/>
              <w:left w:val="single" w:color="auto" w:sz="4" w:space="0"/>
              <w:bottom w:val="single" w:color="auto" w:sz="4" w:space="0"/>
              <w:right w:val="single" w:color="auto" w:sz="4" w:space="0"/>
            </w:tcBorders>
            <w:shd w:val="clear" w:color="auto" w:fill="auto"/>
            <w:hideMark/>
          </w:tcPr>
          <w:p w:rsidRPr="00BF3029" w:rsidR="00B51077" w:rsidP="004123E6" w:rsidRDefault="00B51077" w14:paraId="438E152C" w14:textId="77777777">
            <w:pPr>
              <w:rPr>
                <w:sz w:val="24"/>
              </w:rPr>
            </w:pPr>
            <w:r w:rsidRPr="00BF3029">
              <w:rPr>
                <w:sz w:val="24"/>
              </w:rPr>
              <w:t>Inversiones en operaciones diferidas de liquidez; reportos y reportos tripartitos registrados en la cuenta 123.06 (Ponderación 75%)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029" w:rsidR="00B51077" w:rsidP="004123E6" w:rsidRDefault="00B51077" w14:paraId="3CCF2302" w14:textId="77777777">
            <w:pPr>
              <w:jc w:val="center"/>
              <w:rPr>
                <w:sz w:val="24"/>
                <w:lang w:eastAsia="es-CR"/>
              </w:rPr>
            </w:pPr>
            <w:r w:rsidRPr="00BF3029">
              <w:rPr>
                <w:sz w:val="24"/>
              </w:rPr>
              <w:t>1</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029" w:rsidR="00B51077" w:rsidP="004123E6" w:rsidRDefault="00B51077" w14:paraId="717EDE63" w14:textId="77777777">
            <w:pPr>
              <w:jc w:val="center"/>
              <w:rPr>
                <w:sz w:val="24"/>
                <w:lang w:eastAsia="es-CR"/>
              </w:rPr>
            </w:pPr>
            <w:r w:rsidRPr="00BF3029">
              <w:rPr>
                <w:sz w:val="24"/>
              </w:rPr>
              <w:t>2</w:t>
            </w:r>
          </w:p>
        </w:tc>
      </w:tr>
      <w:tr w:rsidRPr="00BF3029" w:rsidR="00B51077" w:rsidTr="004123E6" w14:paraId="4E169479"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7D3A1D97" w14:textId="77777777">
            <w:pPr>
              <w:rPr>
                <w:sz w:val="24"/>
              </w:rPr>
            </w:pPr>
            <w:r w:rsidRPr="00BF3029">
              <w:rPr>
                <w:sz w:val="24"/>
              </w:rPr>
              <w:t>20219</w:t>
            </w:r>
          </w:p>
        </w:tc>
        <w:tc>
          <w:tcPr>
            <w:tcW w:w="4955"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398E2989" w14:textId="77777777">
            <w:pPr>
              <w:rPr>
                <w:sz w:val="24"/>
              </w:rPr>
            </w:pPr>
            <w:r w:rsidRPr="00BF3029">
              <w:rPr>
                <w:sz w:val="24"/>
              </w:rPr>
              <w:t>Inversiones en Contraparte B.C.C.R. registrados en la cuenta 123.06 (Ponderación 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1DDC3407" w14:textId="77777777">
            <w:pPr>
              <w:jc w:val="center"/>
              <w:rPr>
                <w:sz w:val="24"/>
              </w:rPr>
            </w:pPr>
            <w:r w:rsidRPr="00BF3029">
              <w:rPr>
                <w:sz w:val="24"/>
              </w:rPr>
              <w:t>1</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23C4C06B" w14:textId="77777777">
            <w:pPr>
              <w:jc w:val="center"/>
              <w:rPr>
                <w:sz w:val="24"/>
              </w:rPr>
            </w:pPr>
            <w:r w:rsidRPr="00BF3029">
              <w:rPr>
                <w:sz w:val="24"/>
              </w:rPr>
              <w:t>2</w:t>
            </w:r>
          </w:p>
        </w:tc>
      </w:tr>
    </w:tbl>
    <w:p w:rsidRPr="00BF3029" w:rsidR="00B51077" w:rsidP="00B51077" w:rsidRDefault="00B51077" w14:paraId="534ACA5C" w14:textId="77777777">
      <w:pPr>
        <w:rPr>
          <w:b/>
          <w:sz w:val="24"/>
          <w:lang w:eastAsia="es-CR"/>
        </w:rPr>
      </w:pPr>
    </w:p>
    <w:p w:rsidRPr="00BF3029" w:rsidR="00B51077" w:rsidP="00170FA2" w:rsidRDefault="00B51077" w14:paraId="3D1B12A1" w14:textId="1313494D">
      <w:pPr>
        <w:rPr>
          <w:sz w:val="24"/>
        </w:rPr>
      </w:pPr>
      <w:r w:rsidRPr="00BF3029">
        <w:rPr>
          <w:b/>
          <w:sz w:val="24"/>
          <w:lang w:eastAsia="es-CR"/>
        </w:rPr>
        <w:t>Catálogo de Datos adicionales para suficiencia de grupos y conglomerados</w:t>
      </w:r>
    </w:p>
    <w:tbl>
      <w:tblPr>
        <w:tblW w:w="8571" w:type="dxa"/>
        <w:tblInd w:w="13" w:type="dxa"/>
        <w:tblCellMar>
          <w:left w:w="70" w:type="dxa"/>
          <w:right w:w="70" w:type="dxa"/>
        </w:tblCellMar>
        <w:tblLook w:val="04A0" w:firstRow="1" w:lastRow="0" w:firstColumn="1" w:lastColumn="0" w:noHBand="0" w:noVBand="1"/>
      </w:tblPr>
      <w:tblGrid>
        <w:gridCol w:w="1057"/>
        <w:gridCol w:w="5077"/>
        <w:gridCol w:w="745"/>
        <w:gridCol w:w="1692"/>
      </w:tblGrid>
      <w:tr w:rsidRPr="00BF3029" w:rsidR="00B51077" w:rsidTr="004123E6" w14:paraId="3725CA09" w14:textId="77777777">
        <w:trPr>
          <w:trHeight w:val="279"/>
        </w:trPr>
        <w:tc>
          <w:tcPr>
            <w:tcW w:w="1057"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52A68753" w14:textId="77777777">
            <w:pPr>
              <w:rPr>
                <w:b/>
                <w:sz w:val="24"/>
              </w:rPr>
            </w:pPr>
            <w:r w:rsidRPr="00BF3029">
              <w:rPr>
                <w:b/>
                <w:sz w:val="24"/>
              </w:rPr>
              <w:t>Cuenta</w:t>
            </w:r>
          </w:p>
        </w:tc>
        <w:tc>
          <w:tcPr>
            <w:tcW w:w="5077"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59A25703" w14:textId="77777777">
            <w:pPr>
              <w:rPr>
                <w:b/>
                <w:sz w:val="24"/>
              </w:rPr>
            </w:pPr>
            <w:r w:rsidRPr="00BF3029">
              <w:rPr>
                <w:b/>
                <w:sz w:val="24"/>
              </w:rPr>
              <w:t>Descripción</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43F10274" w14:textId="77777777">
            <w:pPr>
              <w:jc w:val="right"/>
              <w:rPr>
                <w:b/>
                <w:sz w:val="24"/>
                <w:lang w:eastAsia="es-CR"/>
              </w:rPr>
            </w:pPr>
            <w:r w:rsidRPr="00BF3029">
              <w:rPr>
                <w:b/>
                <w:sz w:val="24"/>
                <w:lang w:eastAsia="es-CR"/>
              </w:rPr>
              <w:t>Signo</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0FF7F95B" w14:textId="77777777">
            <w:pPr>
              <w:jc w:val="center"/>
              <w:rPr>
                <w:b/>
                <w:sz w:val="24"/>
                <w:lang w:eastAsia="es-CR"/>
              </w:rPr>
            </w:pPr>
            <w:r w:rsidRPr="00BF3029">
              <w:rPr>
                <w:b/>
                <w:sz w:val="24"/>
                <w:lang w:eastAsia="es-CR"/>
              </w:rPr>
              <w:t>Tipo_Catálogo</w:t>
            </w:r>
          </w:p>
        </w:tc>
      </w:tr>
      <w:tr w:rsidRPr="00BF3029" w:rsidR="00B51077" w:rsidTr="004123E6" w14:paraId="24F2C4B6" w14:textId="77777777">
        <w:trPr>
          <w:trHeight w:val="279"/>
        </w:trPr>
        <w:tc>
          <w:tcPr>
            <w:tcW w:w="1057" w:type="dxa"/>
            <w:tcBorders>
              <w:top w:val="single" w:color="auto" w:sz="4" w:space="0"/>
              <w:left w:val="single" w:color="auto" w:sz="4" w:space="0"/>
              <w:bottom w:val="single" w:color="auto" w:sz="4" w:space="0"/>
              <w:right w:val="single" w:color="auto" w:sz="4" w:space="0"/>
            </w:tcBorders>
            <w:shd w:val="clear" w:color="auto" w:fill="auto"/>
            <w:hideMark/>
          </w:tcPr>
          <w:p w:rsidRPr="00BF3029" w:rsidR="00B51077" w:rsidP="004123E6" w:rsidRDefault="00B51077" w14:paraId="3FC49B07" w14:textId="77777777">
            <w:pPr>
              <w:rPr>
                <w:sz w:val="24"/>
              </w:rPr>
            </w:pPr>
            <w:r w:rsidRPr="00BF3029">
              <w:rPr>
                <w:sz w:val="24"/>
              </w:rPr>
              <w:t>1918</w:t>
            </w:r>
          </w:p>
        </w:tc>
        <w:tc>
          <w:tcPr>
            <w:tcW w:w="5077" w:type="dxa"/>
            <w:tcBorders>
              <w:top w:val="single" w:color="auto" w:sz="4" w:space="0"/>
              <w:left w:val="single" w:color="auto" w:sz="4" w:space="0"/>
              <w:bottom w:val="single" w:color="auto" w:sz="4" w:space="0"/>
              <w:right w:val="single" w:color="auto" w:sz="4" w:space="0"/>
            </w:tcBorders>
            <w:shd w:val="clear" w:color="auto" w:fill="auto"/>
            <w:hideMark/>
          </w:tcPr>
          <w:p w:rsidRPr="00BF3029" w:rsidR="00B51077" w:rsidP="004123E6" w:rsidRDefault="00B51077" w14:paraId="747C3AA0" w14:textId="77777777">
            <w:pPr>
              <w:rPr>
                <w:sz w:val="24"/>
              </w:rPr>
            </w:pPr>
            <w:r w:rsidRPr="00BF3029">
              <w:rPr>
                <w:sz w:val="24"/>
              </w:rPr>
              <w:t>Inversiones en operaciones diferidas de liquidez; reportos y reportos tripartitos registrados en la cuenta 123.06 (Ponderación 75%)</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029" w:rsidR="00B51077" w:rsidP="004123E6" w:rsidRDefault="00B51077" w14:paraId="5CE1F938" w14:textId="77777777">
            <w:pPr>
              <w:jc w:val="center"/>
              <w:rPr>
                <w:sz w:val="24"/>
                <w:lang w:eastAsia="es-CR"/>
              </w:rPr>
            </w:pPr>
            <w:r w:rsidRPr="00BF3029">
              <w:rPr>
                <w:sz w:val="24"/>
                <w:lang w:eastAsia="es-CR"/>
              </w:rPr>
              <w:t>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029" w:rsidR="00B51077" w:rsidP="004123E6" w:rsidRDefault="00B51077" w14:paraId="6422C52A" w14:textId="77777777">
            <w:pPr>
              <w:jc w:val="center"/>
              <w:rPr>
                <w:sz w:val="24"/>
                <w:lang w:eastAsia="es-CR"/>
              </w:rPr>
            </w:pPr>
            <w:r w:rsidRPr="00BF3029">
              <w:rPr>
                <w:sz w:val="24"/>
                <w:lang w:eastAsia="es-CR"/>
              </w:rPr>
              <w:t>8</w:t>
            </w:r>
          </w:p>
        </w:tc>
      </w:tr>
      <w:tr w:rsidRPr="00BF3029" w:rsidR="00B51077" w:rsidTr="004123E6" w14:paraId="13ABDD0F" w14:textId="77777777">
        <w:trPr>
          <w:trHeight w:val="279"/>
        </w:trPr>
        <w:tc>
          <w:tcPr>
            <w:tcW w:w="1057"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1071358A" w14:textId="77777777">
            <w:pPr>
              <w:rPr>
                <w:sz w:val="24"/>
              </w:rPr>
            </w:pPr>
            <w:r w:rsidRPr="00BF3029">
              <w:rPr>
                <w:sz w:val="24"/>
              </w:rPr>
              <w:t>1919</w:t>
            </w:r>
          </w:p>
        </w:tc>
        <w:tc>
          <w:tcPr>
            <w:tcW w:w="5077" w:type="dxa"/>
            <w:tcBorders>
              <w:top w:val="single" w:color="auto" w:sz="4" w:space="0"/>
              <w:left w:val="single" w:color="auto" w:sz="4" w:space="0"/>
              <w:bottom w:val="single" w:color="auto" w:sz="4" w:space="0"/>
              <w:right w:val="single" w:color="auto" w:sz="4" w:space="0"/>
            </w:tcBorders>
            <w:shd w:val="clear" w:color="auto" w:fill="auto"/>
          </w:tcPr>
          <w:p w:rsidRPr="00BF3029" w:rsidR="00B51077" w:rsidP="004123E6" w:rsidRDefault="00B51077" w14:paraId="621FA42E" w14:textId="77777777">
            <w:pPr>
              <w:rPr>
                <w:sz w:val="24"/>
              </w:rPr>
            </w:pPr>
            <w:r w:rsidRPr="00BF3029">
              <w:rPr>
                <w:sz w:val="24"/>
              </w:rPr>
              <w:t>Inversiones en Contraparte B.C.C.R. registrados en la cuenta 123.06 (Ponderación 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72EA69A0" w14:textId="77777777">
            <w:pPr>
              <w:jc w:val="center"/>
              <w:rPr>
                <w:sz w:val="24"/>
                <w:lang w:eastAsia="es-CR"/>
              </w:rPr>
            </w:pPr>
            <w:r w:rsidRPr="00BF3029">
              <w:rPr>
                <w:sz w:val="24"/>
              </w:rPr>
              <w:t>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rsidRPr="00BF3029" w:rsidR="00B51077" w:rsidP="004123E6" w:rsidRDefault="00B51077" w14:paraId="25E31510" w14:textId="77777777">
            <w:pPr>
              <w:jc w:val="center"/>
              <w:rPr>
                <w:sz w:val="24"/>
                <w:lang w:eastAsia="es-CR"/>
              </w:rPr>
            </w:pPr>
            <w:r w:rsidRPr="00BF3029">
              <w:rPr>
                <w:sz w:val="24"/>
              </w:rPr>
              <w:t>8</w:t>
            </w:r>
          </w:p>
        </w:tc>
      </w:tr>
    </w:tbl>
    <w:p w:rsidRPr="00BF3029" w:rsidR="00B51077" w:rsidP="00B51077" w:rsidRDefault="00B51077" w14:paraId="434C3E8C" w14:textId="77777777">
      <w:pPr>
        <w:spacing w:line="240" w:lineRule="auto"/>
        <w:contextualSpacing/>
        <w:rPr>
          <w:sz w:val="24"/>
        </w:rPr>
      </w:pPr>
    </w:p>
    <w:p w:rsidRPr="00BF3029" w:rsidR="00B51077" w:rsidP="00B51077" w:rsidRDefault="00B51077" w14:paraId="5F08603E" w14:textId="77777777">
      <w:pPr>
        <w:pStyle w:val="NormalWeb"/>
        <w:numPr>
          <w:ilvl w:val="0"/>
          <w:numId w:val="16"/>
        </w:numPr>
        <w:spacing w:before="0" w:beforeAutospacing="0" w:after="0" w:afterAutospacing="0"/>
        <w:ind w:left="284" w:hanging="284"/>
        <w:jc w:val="both"/>
        <w:rPr>
          <w:rFonts w:ascii="Cambria" w:hAnsi="Cambria"/>
          <w:color w:val="auto"/>
          <w:sz w:val="24"/>
          <w:szCs w:val="24"/>
          <w:lang w:val="es-CR"/>
        </w:rPr>
      </w:pPr>
      <w:r w:rsidRPr="00BF3029">
        <w:rPr>
          <w:rFonts w:ascii="Cambria" w:hAnsi="Cambria"/>
          <w:sz w:val="24"/>
          <w:szCs w:val="24"/>
        </w:rPr>
        <w:t>Modificar las cuentas contables del ponderador del 0% del título “Ponderadores según riesgo de crédito”, de los “Lineamientos Generales para la Aplicación del Reglamento sobre la Suficiencia Patrimonial de Entidades Financieras” de acuerdo con el siguiente texto:</w:t>
      </w:r>
    </w:p>
    <w:p w:rsidRPr="00BF3029" w:rsidR="00B51077" w:rsidP="00B51077" w:rsidRDefault="00B51077" w14:paraId="5F610D21" w14:textId="77777777">
      <w:pPr>
        <w:pStyle w:val="NormalWeb"/>
        <w:spacing w:before="0" w:beforeAutospacing="0" w:after="0" w:afterAutospacing="0"/>
        <w:ind w:left="284"/>
        <w:jc w:val="both"/>
        <w:rPr>
          <w:rFonts w:ascii="Cambria" w:hAnsi="Cambria"/>
          <w:b/>
          <w:sz w:val="24"/>
          <w:szCs w:val="24"/>
        </w:rPr>
      </w:pPr>
    </w:p>
    <w:tbl>
      <w:tblPr>
        <w:tblStyle w:val="Cuadrculadetablaclara"/>
        <w:tblW w:w="8642" w:type="dxa"/>
        <w:tblLook w:val="04A0" w:firstRow="1" w:lastRow="0" w:firstColumn="1" w:lastColumn="0" w:noHBand="0" w:noVBand="1"/>
      </w:tblPr>
      <w:tblGrid>
        <w:gridCol w:w="2136"/>
        <w:gridCol w:w="3813"/>
        <w:gridCol w:w="1134"/>
        <w:gridCol w:w="1559"/>
      </w:tblGrid>
      <w:tr w:rsidRPr="00BF3029" w:rsidR="00B51077" w:rsidTr="004123E6" w14:paraId="00ECB7CD" w14:textId="77777777">
        <w:tc>
          <w:tcPr>
            <w:tcW w:w="5949" w:type="dxa"/>
            <w:gridSpan w:val="2"/>
          </w:tcPr>
          <w:p w:rsidRPr="00BF3029" w:rsidR="00B51077" w:rsidP="004123E6" w:rsidRDefault="00B51077" w14:paraId="29418654" w14:textId="77777777">
            <w:pPr>
              <w:spacing w:before="60" w:after="60" w:line="240" w:lineRule="auto"/>
              <w:rPr>
                <w:rFonts w:cs="Calibri"/>
                <w:b/>
                <w:bCs/>
                <w:sz w:val="24"/>
                <w:lang w:val="es-CR" w:eastAsia="es-CR"/>
              </w:rPr>
            </w:pPr>
            <w:r w:rsidRPr="00BF3029">
              <w:rPr>
                <w:rFonts w:cs="Calibri"/>
                <w:b/>
                <w:bCs/>
                <w:sz w:val="24"/>
                <w:lang w:val="es-CR" w:eastAsia="es-CR"/>
              </w:rPr>
              <w:t>Ponderador de 0%</w:t>
            </w:r>
          </w:p>
        </w:tc>
        <w:tc>
          <w:tcPr>
            <w:tcW w:w="1134" w:type="dxa"/>
          </w:tcPr>
          <w:p w:rsidRPr="00BF3029" w:rsidR="00B51077" w:rsidP="004123E6" w:rsidRDefault="00B51077" w14:paraId="51CB081A" w14:textId="77777777">
            <w:pPr>
              <w:spacing w:before="60" w:after="60" w:line="240" w:lineRule="auto"/>
              <w:rPr>
                <w:rFonts w:cs="Calibri"/>
                <w:b/>
                <w:bCs/>
                <w:sz w:val="24"/>
                <w:lang w:val="es-CR" w:eastAsia="es-CR"/>
              </w:rPr>
            </w:pPr>
          </w:p>
        </w:tc>
        <w:tc>
          <w:tcPr>
            <w:tcW w:w="1559" w:type="dxa"/>
          </w:tcPr>
          <w:p w:rsidRPr="00BF3029" w:rsidR="00B51077" w:rsidP="004123E6" w:rsidRDefault="00B51077" w14:paraId="7502A123" w14:textId="77777777">
            <w:pPr>
              <w:spacing w:before="60" w:after="60" w:line="240" w:lineRule="auto"/>
              <w:jc w:val="center"/>
              <w:rPr>
                <w:rFonts w:cs="Calibri"/>
                <w:b/>
                <w:bCs/>
                <w:sz w:val="24"/>
                <w:lang w:val="es-CR" w:eastAsia="es-CR"/>
              </w:rPr>
            </w:pPr>
          </w:p>
        </w:tc>
      </w:tr>
      <w:tr w:rsidRPr="00BF3029" w:rsidR="00B51077" w:rsidTr="004123E6" w14:paraId="0884EFCF" w14:textId="77777777">
        <w:tc>
          <w:tcPr>
            <w:tcW w:w="2136" w:type="dxa"/>
          </w:tcPr>
          <w:p w:rsidRPr="00BF3029" w:rsidR="00B51077" w:rsidP="004123E6" w:rsidRDefault="00B51077" w14:paraId="1453DF29" w14:textId="77777777">
            <w:pPr>
              <w:spacing w:before="60" w:after="60" w:line="240" w:lineRule="auto"/>
              <w:rPr>
                <w:rFonts w:cs="Calibri"/>
                <w:b/>
                <w:bCs/>
                <w:sz w:val="24"/>
                <w:lang w:val="es-CR" w:eastAsia="es-CR"/>
              </w:rPr>
            </w:pPr>
            <w:r w:rsidRPr="00BF3029">
              <w:rPr>
                <w:rFonts w:cs="Calibri"/>
                <w:b/>
                <w:bCs/>
                <w:sz w:val="24"/>
                <w:lang w:val="es-CR" w:eastAsia="es-CR"/>
              </w:rPr>
              <w:t>[…]</w:t>
            </w:r>
          </w:p>
        </w:tc>
        <w:tc>
          <w:tcPr>
            <w:tcW w:w="3813" w:type="dxa"/>
          </w:tcPr>
          <w:p w:rsidRPr="00BF3029" w:rsidR="00B51077" w:rsidP="004123E6" w:rsidRDefault="00B51077" w14:paraId="70A4D766" w14:textId="77777777">
            <w:pPr>
              <w:spacing w:before="60" w:after="60" w:line="240" w:lineRule="auto"/>
              <w:rPr>
                <w:rFonts w:cs="Calibri"/>
                <w:b/>
                <w:bCs/>
                <w:sz w:val="24"/>
                <w:lang w:val="es-CR" w:eastAsia="es-CR"/>
              </w:rPr>
            </w:pPr>
          </w:p>
        </w:tc>
        <w:tc>
          <w:tcPr>
            <w:tcW w:w="1134" w:type="dxa"/>
          </w:tcPr>
          <w:p w:rsidRPr="00BF3029" w:rsidR="00B51077" w:rsidP="004123E6" w:rsidRDefault="00B51077" w14:paraId="7EE84F89" w14:textId="77777777">
            <w:pPr>
              <w:spacing w:before="60" w:after="60" w:line="240" w:lineRule="auto"/>
              <w:rPr>
                <w:rFonts w:cs="Calibri"/>
                <w:b/>
                <w:bCs/>
                <w:sz w:val="24"/>
                <w:lang w:val="es-CR" w:eastAsia="es-CR"/>
              </w:rPr>
            </w:pPr>
          </w:p>
        </w:tc>
        <w:tc>
          <w:tcPr>
            <w:tcW w:w="1559" w:type="dxa"/>
          </w:tcPr>
          <w:p w:rsidRPr="00BF3029" w:rsidR="00B51077" w:rsidP="004123E6" w:rsidRDefault="00B51077" w14:paraId="31403D85" w14:textId="77777777">
            <w:pPr>
              <w:spacing w:before="60" w:after="60" w:line="240" w:lineRule="auto"/>
              <w:jc w:val="center"/>
              <w:rPr>
                <w:rFonts w:cs="Calibri"/>
                <w:b/>
                <w:bCs/>
                <w:sz w:val="24"/>
                <w:lang w:val="es-CR" w:eastAsia="es-CR"/>
              </w:rPr>
            </w:pPr>
          </w:p>
        </w:tc>
      </w:tr>
      <w:tr w:rsidRPr="00BF3029" w:rsidR="00B51077" w:rsidTr="004123E6" w14:paraId="49CE4C9C" w14:textId="77777777">
        <w:tc>
          <w:tcPr>
            <w:tcW w:w="2136" w:type="dxa"/>
          </w:tcPr>
          <w:p w:rsidRPr="00BF3029" w:rsidR="00B51077" w:rsidP="004123E6" w:rsidRDefault="00B51077" w14:paraId="6EF09F87" w14:textId="77777777">
            <w:pPr>
              <w:spacing w:before="60" w:after="60" w:line="240" w:lineRule="auto"/>
              <w:rPr>
                <w:rFonts w:cs="Calibri"/>
                <w:b/>
                <w:bCs/>
                <w:sz w:val="24"/>
                <w:lang w:val="es-CR" w:eastAsia="es-CR"/>
              </w:rPr>
            </w:pPr>
            <w:r w:rsidRPr="00BF3029">
              <w:rPr>
                <w:rFonts w:cs="Calibri"/>
                <w:b/>
                <w:bCs/>
                <w:sz w:val="24"/>
                <w:lang w:val="es-CR" w:eastAsia="es-CR"/>
              </w:rPr>
              <w:t>C(122.14.1.01) + D20219*</w:t>
            </w:r>
          </w:p>
        </w:tc>
        <w:tc>
          <w:tcPr>
            <w:tcW w:w="3813" w:type="dxa"/>
          </w:tcPr>
          <w:p w:rsidRPr="00BF3029" w:rsidR="00B51077" w:rsidP="004123E6" w:rsidRDefault="00B51077" w14:paraId="2024FB40" w14:textId="77777777">
            <w:pPr>
              <w:spacing w:before="60" w:after="60" w:line="240" w:lineRule="auto"/>
              <w:rPr>
                <w:rFonts w:cs="Calibri"/>
                <w:b/>
                <w:bCs/>
                <w:sz w:val="24"/>
                <w:lang w:val="es-CR" w:eastAsia="es-CR"/>
              </w:rPr>
            </w:pPr>
            <w:r w:rsidRPr="00BF3029">
              <w:rPr>
                <w:rFonts w:cs="Calibri"/>
                <w:b/>
                <w:bCs/>
                <w:sz w:val="24"/>
                <w:lang w:val="es-CR" w:eastAsia="es-CR"/>
              </w:rPr>
              <w:t>Contraparte B.C.C.R.</w:t>
            </w:r>
          </w:p>
        </w:tc>
        <w:tc>
          <w:tcPr>
            <w:tcW w:w="1134" w:type="dxa"/>
          </w:tcPr>
          <w:p w:rsidRPr="00BF3029" w:rsidR="00B51077" w:rsidP="004123E6" w:rsidRDefault="00B51077" w14:paraId="45C78DCE" w14:textId="77777777">
            <w:pPr>
              <w:spacing w:before="60" w:after="60" w:line="240" w:lineRule="auto"/>
              <w:rPr>
                <w:rFonts w:cs="Calibri"/>
                <w:b/>
                <w:bCs/>
                <w:sz w:val="24"/>
                <w:lang w:val="es-CR" w:eastAsia="es-CR"/>
              </w:rPr>
            </w:pPr>
          </w:p>
        </w:tc>
        <w:tc>
          <w:tcPr>
            <w:tcW w:w="1559" w:type="dxa"/>
          </w:tcPr>
          <w:p w:rsidRPr="00BF3029" w:rsidR="00B51077" w:rsidP="004123E6" w:rsidRDefault="00B51077" w14:paraId="13980396" w14:textId="77777777">
            <w:pPr>
              <w:spacing w:before="60" w:after="60" w:line="240" w:lineRule="auto"/>
              <w:jc w:val="center"/>
              <w:rPr>
                <w:rFonts w:cs="Calibri"/>
                <w:b/>
                <w:bCs/>
                <w:sz w:val="24"/>
                <w:lang w:val="es-CR" w:eastAsia="es-CR"/>
              </w:rPr>
            </w:pPr>
            <w:r w:rsidRPr="00BF3029">
              <w:rPr>
                <w:rFonts w:cs="Calibri"/>
                <w:b/>
                <w:bCs/>
                <w:sz w:val="24"/>
                <w:lang w:val="es-CR" w:eastAsia="es-CR"/>
              </w:rPr>
              <w:t>Artículo 12 (e)</w:t>
            </w:r>
          </w:p>
        </w:tc>
      </w:tr>
      <w:tr w:rsidRPr="00BF3029" w:rsidR="00B51077" w:rsidTr="004123E6" w14:paraId="5D46970E" w14:textId="77777777">
        <w:tc>
          <w:tcPr>
            <w:tcW w:w="2136" w:type="dxa"/>
          </w:tcPr>
          <w:p w:rsidRPr="00BF3029" w:rsidR="00B51077" w:rsidP="004123E6" w:rsidRDefault="00B51077" w14:paraId="0A5DE294" w14:textId="77777777">
            <w:pPr>
              <w:spacing w:before="60" w:after="60" w:line="240" w:lineRule="auto"/>
              <w:rPr>
                <w:rFonts w:cs="Calibri"/>
                <w:b/>
                <w:bCs/>
                <w:sz w:val="24"/>
                <w:lang w:val="es-CR" w:eastAsia="es-CR"/>
              </w:rPr>
            </w:pPr>
            <w:r w:rsidRPr="00BF3029">
              <w:rPr>
                <w:rFonts w:cs="Calibri"/>
                <w:b/>
                <w:bCs/>
                <w:sz w:val="24"/>
                <w:lang w:val="es-CR" w:eastAsia="es-CR"/>
              </w:rPr>
              <w:t>[…]</w:t>
            </w:r>
          </w:p>
        </w:tc>
        <w:tc>
          <w:tcPr>
            <w:tcW w:w="3813" w:type="dxa"/>
          </w:tcPr>
          <w:p w:rsidRPr="00BF3029" w:rsidR="00B51077" w:rsidP="004123E6" w:rsidRDefault="00B51077" w14:paraId="4EC9FC71" w14:textId="77777777">
            <w:pPr>
              <w:spacing w:before="60" w:after="60" w:line="240" w:lineRule="auto"/>
              <w:rPr>
                <w:rFonts w:cs="Calibri"/>
                <w:b/>
                <w:bCs/>
                <w:sz w:val="24"/>
                <w:lang w:val="es-CR" w:eastAsia="es-CR"/>
              </w:rPr>
            </w:pPr>
          </w:p>
        </w:tc>
        <w:tc>
          <w:tcPr>
            <w:tcW w:w="1134" w:type="dxa"/>
          </w:tcPr>
          <w:p w:rsidRPr="00BF3029" w:rsidR="00B51077" w:rsidP="004123E6" w:rsidRDefault="00B51077" w14:paraId="35E64921" w14:textId="77777777">
            <w:pPr>
              <w:spacing w:before="60" w:after="60" w:line="240" w:lineRule="auto"/>
              <w:rPr>
                <w:rFonts w:cs="Calibri"/>
                <w:b/>
                <w:bCs/>
                <w:sz w:val="24"/>
                <w:lang w:val="es-CR" w:eastAsia="es-CR"/>
              </w:rPr>
            </w:pPr>
          </w:p>
        </w:tc>
        <w:tc>
          <w:tcPr>
            <w:tcW w:w="1559" w:type="dxa"/>
          </w:tcPr>
          <w:p w:rsidRPr="00BF3029" w:rsidR="00B51077" w:rsidP="004123E6" w:rsidRDefault="00B51077" w14:paraId="5E9034CD" w14:textId="77777777">
            <w:pPr>
              <w:spacing w:before="60" w:after="60" w:line="240" w:lineRule="auto"/>
              <w:jc w:val="center"/>
              <w:rPr>
                <w:rFonts w:cs="Calibri"/>
                <w:b/>
                <w:bCs/>
                <w:sz w:val="24"/>
                <w:lang w:val="es-CR" w:eastAsia="es-CR"/>
              </w:rPr>
            </w:pPr>
          </w:p>
        </w:tc>
      </w:tr>
    </w:tbl>
    <w:p w:rsidRPr="00BF3029" w:rsidR="00B51077" w:rsidP="00B51077" w:rsidRDefault="00B51077" w14:paraId="781DD437" w14:textId="77777777">
      <w:pPr>
        <w:rPr>
          <w:color w:val="1F497D"/>
          <w:sz w:val="24"/>
          <w:lang w:val="es-CR"/>
        </w:rPr>
      </w:pPr>
      <w:r w:rsidRPr="00BF3029">
        <w:rPr>
          <w:b/>
          <w:sz w:val="24"/>
        </w:rPr>
        <w:t xml:space="preserve">(*) </w:t>
      </w:r>
      <w:r w:rsidRPr="00BF3029">
        <w:rPr>
          <w:color w:val="1F497D"/>
          <w:sz w:val="24"/>
        </w:rPr>
        <w:t>D20219 o su equivalente para el cálculo de grupos y conglomerados</w:t>
      </w:r>
    </w:p>
    <w:p w:rsidRPr="00BF3029" w:rsidR="00B51077" w:rsidP="00B51077" w:rsidRDefault="00B51077" w14:paraId="2B6343E8" w14:textId="77777777">
      <w:pPr>
        <w:rPr>
          <w:color w:val="1F497D"/>
          <w:sz w:val="24"/>
        </w:rPr>
      </w:pPr>
    </w:p>
    <w:p w:rsidRPr="00BF3029" w:rsidR="00B51077" w:rsidP="00B51077" w:rsidRDefault="00B51077" w14:paraId="1A30F3ED" w14:textId="77777777">
      <w:pPr>
        <w:pStyle w:val="NormalWeb"/>
        <w:numPr>
          <w:ilvl w:val="0"/>
          <w:numId w:val="16"/>
        </w:numPr>
        <w:spacing w:before="0" w:beforeAutospacing="0" w:after="0" w:afterAutospacing="0"/>
        <w:ind w:left="284" w:hanging="284"/>
        <w:jc w:val="both"/>
        <w:rPr>
          <w:rFonts w:ascii="Cambria" w:hAnsi="Cambria"/>
          <w:color w:val="auto"/>
          <w:sz w:val="24"/>
          <w:szCs w:val="24"/>
          <w:lang w:val="es-CR"/>
        </w:rPr>
      </w:pPr>
      <w:r w:rsidRPr="00BF3029">
        <w:rPr>
          <w:rFonts w:ascii="Cambria" w:hAnsi="Cambria"/>
          <w:sz w:val="24"/>
          <w:szCs w:val="24"/>
        </w:rPr>
        <w:t xml:space="preserve">Modificar las cuentas contables del ponderador del 75% del título “Ponderadores según riesgo de crédito”, de los “Lineamientos Generales para la Aplicación del </w:t>
      </w:r>
      <w:r w:rsidRPr="00BF3029">
        <w:rPr>
          <w:rFonts w:ascii="Cambria" w:hAnsi="Cambria"/>
          <w:sz w:val="24"/>
          <w:szCs w:val="24"/>
        </w:rPr>
        <w:lastRenderedPageBreak/>
        <w:t>Reglamento sobre la Suficiencia Patrimonial de Entidades Financieras” de acuerdo con el siguiente texto:</w:t>
      </w:r>
    </w:p>
    <w:p w:rsidRPr="00BF3029" w:rsidR="00B51077" w:rsidP="00B51077" w:rsidRDefault="00B51077" w14:paraId="630A7A00" w14:textId="77777777">
      <w:pPr>
        <w:pStyle w:val="NormalWeb"/>
        <w:spacing w:before="0" w:beforeAutospacing="0" w:after="0" w:afterAutospacing="0"/>
        <w:ind w:left="284"/>
        <w:jc w:val="both"/>
        <w:rPr>
          <w:rFonts w:ascii="Cambria" w:hAnsi="Cambria"/>
          <w:b/>
          <w:color w:val="auto"/>
          <w:sz w:val="24"/>
          <w:szCs w:val="24"/>
          <w:lang w:val="es-CR"/>
        </w:rPr>
      </w:pPr>
    </w:p>
    <w:tbl>
      <w:tblPr>
        <w:tblStyle w:val="Cuadrculadetablaclara"/>
        <w:tblW w:w="0" w:type="auto"/>
        <w:tblLook w:val="04A0" w:firstRow="1" w:lastRow="0" w:firstColumn="1" w:lastColumn="0" w:noHBand="0" w:noVBand="1"/>
      </w:tblPr>
      <w:tblGrid>
        <w:gridCol w:w="2136"/>
        <w:gridCol w:w="3813"/>
        <w:gridCol w:w="1276"/>
        <w:gridCol w:w="1319"/>
      </w:tblGrid>
      <w:tr w:rsidRPr="00BF3029" w:rsidR="00B51077" w:rsidTr="004123E6" w14:paraId="045F7834" w14:textId="77777777">
        <w:tc>
          <w:tcPr>
            <w:tcW w:w="5949" w:type="dxa"/>
            <w:gridSpan w:val="2"/>
          </w:tcPr>
          <w:p w:rsidRPr="00BF3029" w:rsidR="00B51077" w:rsidP="004123E6" w:rsidRDefault="00B51077" w14:paraId="23F746F7" w14:textId="77777777">
            <w:pPr>
              <w:spacing w:before="60" w:after="60" w:line="240" w:lineRule="auto"/>
              <w:rPr>
                <w:rFonts w:cs="Calibri"/>
                <w:b/>
                <w:bCs/>
                <w:sz w:val="24"/>
                <w:lang w:val="es-CR" w:eastAsia="es-CR"/>
              </w:rPr>
            </w:pPr>
            <w:r w:rsidRPr="00BF3029">
              <w:rPr>
                <w:rFonts w:cs="Calibri"/>
                <w:b/>
                <w:bCs/>
                <w:sz w:val="24"/>
                <w:lang w:val="es-CR" w:eastAsia="es-CR"/>
              </w:rPr>
              <w:t>Ponderador de 75%</w:t>
            </w:r>
          </w:p>
        </w:tc>
        <w:tc>
          <w:tcPr>
            <w:tcW w:w="1276" w:type="dxa"/>
          </w:tcPr>
          <w:p w:rsidRPr="00BF3029" w:rsidR="00B51077" w:rsidP="004123E6" w:rsidRDefault="00B51077" w14:paraId="606A39F6" w14:textId="77777777">
            <w:pPr>
              <w:spacing w:before="60" w:after="60" w:line="240" w:lineRule="auto"/>
              <w:rPr>
                <w:rFonts w:cs="Calibri"/>
                <w:b/>
                <w:bCs/>
                <w:sz w:val="24"/>
                <w:lang w:val="es-CR" w:eastAsia="es-CR"/>
              </w:rPr>
            </w:pPr>
          </w:p>
        </w:tc>
        <w:tc>
          <w:tcPr>
            <w:tcW w:w="1319" w:type="dxa"/>
          </w:tcPr>
          <w:p w:rsidRPr="00BF3029" w:rsidR="00B51077" w:rsidP="004123E6" w:rsidRDefault="00B51077" w14:paraId="663E701A" w14:textId="77777777">
            <w:pPr>
              <w:spacing w:before="60" w:after="60" w:line="240" w:lineRule="auto"/>
              <w:jc w:val="center"/>
              <w:rPr>
                <w:rFonts w:cs="Calibri"/>
                <w:b/>
                <w:bCs/>
                <w:sz w:val="24"/>
                <w:lang w:val="es-CR" w:eastAsia="es-CR"/>
              </w:rPr>
            </w:pPr>
            <w:r w:rsidRPr="00BF3029">
              <w:rPr>
                <w:rFonts w:cs="Calibri"/>
                <w:b/>
                <w:bCs/>
                <w:sz w:val="24"/>
                <w:lang w:val="es-CR" w:eastAsia="es-CR"/>
              </w:rPr>
              <w:t>Artículo 16</w:t>
            </w:r>
          </w:p>
        </w:tc>
      </w:tr>
      <w:tr w:rsidRPr="00BF3029" w:rsidR="00B51077" w:rsidTr="004123E6" w14:paraId="53999153" w14:textId="77777777">
        <w:tc>
          <w:tcPr>
            <w:tcW w:w="2136" w:type="dxa"/>
          </w:tcPr>
          <w:p w:rsidRPr="00BF3029" w:rsidR="00B51077" w:rsidP="004123E6" w:rsidRDefault="00B51077" w14:paraId="5D9325CD" w14:textId="77777777">
            <w:pPr>
              <w:spacing w:before="60" w:after="60" w:line="240" w:lineRule="auto"/>
              <w:rPr>
                <w:rFonts w:cs="Calibri"/>
                <w:b/>
                <w:bCs/>
                <w:sz w:val="24"/>
                <w:lang w:val="es-CR" w:eastAsia="es-CR"/>
              </w:rPr>
            </w:pPr>
            <w:r w:rsidRPr="00BF3029">
              <w:rPr>
                <w:rFonts w:cs="Calibri"/>
                <w:b/>
                <w:bCs/>
                <w:sz w:val="24"/>
                <w:lang w:val="es-CR" w:eastAsia="es-CR"/>
              </w:rPr>
              <w:t>C(122.12 + (122.14 – (122.14.1.01 + D20219*)) + D20218* + 125.04)</w:t>
            </w:r>
          </w:p>
        </w:tc>
        <w:tc>
          <w:tcPr>
            <w:tcW w:w="3813" w:type="dxa"/>
          </w:tcPr>
          <w:p w:rsidRPr="00BF3029" w:rsidR="00B51077" w:rsidP="004123E6" w:rsidRDefault="00B51077" w14:paraId="711E0B2D" w14:textId="77777777">
            <w:pPr>
              <w:spacing w:before="60" w:after="60" w:line="240" w:lineRule="auto"/>
              <w:rPr>
                <w:rFonts w:cs="Calibri"/>
                <w:b/>
                <w:bCs/>
                <w:sz w:val="24"/>
                <w:lang w:val="es-CR" w:eastAsia="es-CR"/>
              </w:rPr>
            </w:pPr>
            <w:r w:rsidRPr="00BF3029">
              <w:rPr>
                <w:rFonts w:cs="Calibri"/>
                <w:b/>
                <w:bCs/>
                <w:sz w:val="24"/>
                <w:lang w:val="es-CR" w:eastAsia="es-CR"/>
              </w:rPr>
              <w:t>Inversiones en reportos y reportos tripartitos</w:t>
            </w:r>
          </w:p>
        </w:tc>
        <w:tc>
          <w:tcPr>
            <w:tcW w:w="1276" w:type="dxa"/>
          </w:tcPr>
          <w:p w:rsidRPr="00BF3029" w:rsidR="00B51077" w:rsidP="004123E6" w:rsidRDefault="00B51077" w14:paraId="289FB828" w14:textId="77777777">
            <w:pPr>
              <w:spacing w:before="60" w:after="60" w:line="240" w:lineRule="auto"/>
              <w:rPr>
                <w:rFonts w:cs="Calibri"/>
                <w:b/>
                <w:bCs/>
                <w:sz w:val="24"/>
                <w:lang w:val="es-CR" w:eastAsia="es-CR"/>
              </w:rPr>
            </w:pPr>
          </w:p>
        </w:tc>
        <w:tc>
          <w:tcPr>
            <w:tcW w:w="1319" w:type="dxa"/>
          </w:tcPr>
          <w:p w:rsidRPr="00BF3029" w:rsidR="00B51077" w:rsidP="004123E6" w:rsidRDefault="00B51077" w14:paraId="1268A549" w14:textId="77777777">
            <w:pPr>
              <w:spacing w:before="60" w:after="60" w:line="240" w:lineRule="auto"/>
              <w:jc w:val="center"/>
              <w:rPr>
                <w:rFonts w:cs="Calibri"/>
                <w:b/>
                <w:bCs/>
                <w:sz w:val="24"/>
                <w:lang w:val="es-CR" w:eastAsia="es-CR"/>
              </w:rPr>
            </w:pPr>
            <w:r w:rsidRPr="00BF3029">
              <w:rPr>
                <w:rFonts w:cs="Calibri"/>
                <w:b/>
                <w:bCs/>
                <w:sz w:val="24"/>
                <w:lang w:val="es-CR" w:eastAsia="es-CR"/>
              </w:rPr>
              <w:t>Inciso b)</w:t>
            </w:r>
          </w:p>
        </w:tc>
      </w:tr>
    </w:tbl>
    <w:p w:rsidRPr="00BF3029" w:rsidR="00B51077" w:rsidP="00170FA2" w:rsidRDefault="00B51077" w14:paraId="4568F2A5" w14:textId="77777777">
      <w:pPr>
        <w:spacing w:line="240" w:lineRule="auto"/>
        <w:contextualSpacing/>
        <w:rPr>
          <w:color w:val="1F497D"/>
          <w:sz w:val="24"/>
          <w:lang w:val="es-CR"/>
        </w:rPr>
      </w:pPr>
      <w:r w:rsidRPr="00BF3029">
        <w:rPr>
          <w:b/>
          <w:sz w:val="24"/>
        </w:rPr>
        <w:t xml:space="preserve">(*) </w:t>
      </w:r>
      <w:r w:rsidRPr="00BF3029">
        <w:rPr>
          <w:color w:val="1F497D"/>
          <w:sz w:val="24"/>
        </w:rPr>
        <w:t>D20219, D20218 o su equivalente para el cálculo de grupos y conglomerados</w:t>
      </w:r>
    </w:p>
    <w:p w:rsidRPr="00BF3029" w:rsidR="00B51077" w:rsidP="00170FA2" w:rsidRDefault="00B51077" w14:paraId="66318772" w14:textId="77777777">
      <w:pPr>
        <w:spacing w:before="120" w:after="240" w:line="240" w:lineRule="auto"/>
        <w:contextualSpacing/>
        <w:rPr>
          <w:rFonts w:cs="Calibri"/>
          <w:b/>
          <w:bCs/>
          <w:sz w:val="24"/>
          <w:lang w:val="es-CR" w:eastAsia="es-CR"/>
        </w:rPr>
      </w:pPr>
    </w:p>
    <w:p w:rsidRPr="00170FA2" w:rsidR="00B51077" w:rsidP="00170FA2" w:rsidRDefault="00B51077" w14:paraId="152602A6" w14:textId="77777777">
      <w:pPr>
        <w:pStyle w:val="NormalWeb"/>
        <w:numPr>
          <w:ilvl w:val="0"/>
          <w:numId w:val="16"/>
        </w:numPr>
        <w:spacing w:before="0" w:beforeAutospacing="0" w:after="0" w:afterAutospacing="0"/>
        <w:ind w:left="284" w:hanging="284"/>
        <w:contextualSpacing/>
        <w:jc w:val="both"/>
        <w:rPr>
          <w:rFonts w:ascii="Cambria" w:hAnsi="Cambria"/>
          <w:color w:val="auto"/>
          <w:sz w:val="24"/>
          <w:szCs w:val="24"/>
          <w:lang w:val="es-CR"/>
        </w:rPr>
      </w:pPr>
      <w:r w:rsidRPr="00170FA2">
        <w:rPr>
          <w:rFonts w:ascii="Cambria" w:hAnsi="Cambria"/>
          <w:sz w:val="24"/>
          <w:szCs w:val="24"/>
        </w:rPr>
        <w:t>Modificar las cuentas contables de Ponderación según condición de Banco Multilateral de Desarrollo y según la Calificación del Emisor del título “Ponderadores según riesgo de crédito”, de los “Lineamientos Generales para la Aplicación del Reglamento sobre la Suficiencia Patrimonial de Entidades Financieras” de acuerdo con el siguiente texto:</w:t>
      </w:r>
    </w:p>
    <w:p w:rsidRPr="00BF3029" w:rsidR="00B51077" w:rsidP="00B51077" w:rsidRDefault="00B51077" w14:paraId="6E4052CC" w14:textId="77777777">
      <w:pPr>
        <w:pStyle w:val="NormalWeb"/>
        <w:spacing w:before="0" w:beforeAutospacing="0" w:after="0" w:afterAutospacing="0"/>
        <w:ind w:left="284"/>
        <w:jc w:val="both"/>
        <w:rPr>
          <w:rFonts w:ascii="Cambria" w:hAnsi="Cambria"/>
          <w:b/>
          <w:color w:val="auto"/>
          <w:sz w:val="24"/>
          <w:szCs w:val="24"/>
          <w:lang w:val="es-CR"/>
        </w:rPr>
      </w:pPr>
    </w:p>
    <w:tbl>
      <w:tblPr>
        <w:tblStyle w:val="Cuadrculadetablaclara"/>
        <w:tblW w:w="0" w:type="auto"/>
        <w:tblLook w:val="04A0" w:firstRow="1" w:lastRow="0" w:firstColumn="1" w:lastColumn="0" w:noHBand="0" w:noVBand="1"/>
      </w:tblPr>
      <w:tblGrid>
        <w:gridCol w:w="2136"/>
        <w:gridCol w:w="3813"/>
        <w:gridCol w:w="1276"/>
        <w:gridCol w:w="1319"/>
      </w:tblGrid>
      <w:tr w:rsidRPr="00BF3029" w:rsidR="00B51077" w:rsidTr="004123E6" w14:paraId="097E0E99" w14:textId="77777777">
        <w:tc>
          <w:tcPr>
            <w:tcW w:w="5949" w:type="dxa"/>
            <w:gridSpan w:val="2"/>
          </w:tcPr>
          <w:p w:rsidRPr="00BF3029" w:rsidR="00B51077" w:rsidP="004123E6" w:rsidRDefault="00B51077" w14:paraId="34B55AAA" w14:textId="77777777">
            <w:pPr>
              <w:spacing w:before="60" w:after="60" w:line="240" w:lineRule="auto"/>
              <w:rPr>
                <w:rFonts w:cs="Calibri"/>
                <w:b/>
                <w:bCs/>
                <w:sz w:val="24"/>
                <w:lang w:val="es-CR" w:eastAsia="es-CR"/>
              </w:rPr>
            </w:pPr>
            <w:r w:rsidRPr="00BF3029">
              <w:rPr>
                <w:rFonts w:cs="Calibri"/>
                <w:b/>
                <w:bCs/>
                <w:sz w:val="24"/>
                <w:lang w:val="es-CR" w:eastAsia="es-CR"/>
              </w:rPr>
              <w:t>PONDERACIÓN SEGÚN LA CONDICIÓN DE BANCO MULTILATERAL DE DESARROLLO Y SEGÚN LA CALIFICACIÓN DEL EMISOR</w:t>
            </w:r>
          </w:p>
        </w:tc>
        <w:tc>
          <w:tcPr>
            <w:tcW w:w="1276" w:type="dxa"/>
          </w:tcPr>
          <w:p w:rsidRPr="00BF3029" w:rsidR="00B51077" w:rsidP="004123E6" w:rsidRDefault="00B51077" w14:paraId="2C63FDA8" w14:textId="77777777">
            <w:pPr>
              <w:spacing w:before="60" w:after="60" w:line="240" w:lineRule="auto"/>
              <w:rPr>
                <w:rFonts w:cs="Calibri"/>
                <w:b/>
                <w:bCs/>
                <w:sz w:val="24"/>
                <w:lang w:val="es-CR" w:eastAsia="es-CR"/>
              </w:rPr>
            </w:pPr>
          </w:p>
        </w:tc>
        <w:tc>
          <w:tcPr>
            <w:tcW w:w="1319" w:type="dxa"/>
          </w:tcPr>
          <w:p w:rsidRPr="00BF3029" w:rsidR="00B51077" w:rsidP="004123E6" w:rsidRDefault="00B51077" w14:paraId="1306DDF7" w14:textId="77777777">
            <w:pPr>
              <w:spacing w:before="60" w:after="60" w:line="240" w:lineRule="auto"/>
              <w:jc w:val="center"/>
              <w:rPr>
                <w:rFonts w:cs="Calibri"/>
                <w:b/>
                <w:bCs/>
                <w:sz w:val="24"/>
                <w:lang w:val="es-CR" w:eastAsia="es-CR"/>
              </w:rPr>
            </w:pPr>
          </w:p>
        </w:tc>
      </w:tr>
      <w:tr w:rsidRPr="00BF3029" w:rsidR="00B51077" w:rsidTr="004123E6" w14:paraId="14E1401C" w14:textId="77777777">
        <w:tc>
          <w:tcPr>
            <w:tcW w:w="2136" w:type="dxa"/>
          </w:tcPr>
          <w:p w:rsidRPr="00BF3029" w:rsidR="00B51077" w:rsidP="004123E6" w:rsidRDefault="00B51077" w14:paraId="4402AA18" w14:textId="77777777">
            <w:pPr>
              <w:spacing w:before="60" w:after="60" w:line="240" w:lineRule="auto"/>
              <w:rPr>
                <w:rFonts w:cs="Calibri"/>
                <w:b/>
                <w:bCs/>
                <w:sz w:val="24"/>
                <w:lang w:val="es-CR" w:eastAsia="es-CR"/>
              </w:rPr>
            </w:pPr>
            <w:r w:rsidRPr="00BF3029">
              <w:rPr>
                <w:rFonts w:cs="Calibri"/>
                <w:b/>
                <w:bCs/>
                <w:sz w:val="24"/>
                <w:lang w:val="es-CR" w:eastAsia="es-CR"/>
              </w:rPr>
              <w:t>C(112 + 113 + 114 + 118.01 + 118.08)</w:t>
            </w:r>
          </w:p>
        </w:tc>
        <w:tc>
          <w:tcPr>
            <w:tcW w:w="3813" w:type="dxa"/>
          </w:tcPr>
          <w:p w:rsidRPr="00BF3029" w:rsidR="00B51077" w:rsidP="004123E6" w:rsidRDefault="00B51077" w14:paraId="3544427F" w14:textId="77777777">
            <w:pPr>
              <w:spacing w:before="60" w:after="60" w:line="240" w:lineRule="auto"/>
              <w:rPr>
                <w:rFonts w:cs="Calibri"/>
                <w:b/>
                <w:bCs/>
                <w:sz w:val="24"/>
                <w:lang w:val="es-CR" w:eastAsia="es-CR"/>
              </w:rPr>
            </w:pPr>
            <w:r w:rsidRPr="00BF3029">
              <w:rPr>
                <w:rFonts w:cs="Calibri"/>
                <w:b/>
                <w:bCs/>
                <w:sz w:val="24"/>
                <w:lang w:val="es-CR" w:eastAsia="es-CR"/>
              </w:rPr>
              <w:t>Disponibilidades (excepto efectivo y documentos de cobro inmediato) y productos por cobrar asociados (netos de estimaciones)</w:t>
            </w:r>
          </w:p>
        </w:tc>
        <w:tc>
          <w:tcPr>
            <w:tcW w:w="1276" w:type="dxa"/>
          </w:tcPr>
          <w:p w:rsidRPr="00BF3029" w:rsidR="00B51077" w:rsidP="004123E6" w:rsidRDefault="00B51077" w14:paraId="16B7CB92" w14:textId="77777777">
            <w:pPr>
              <w:spacing w:before="60" w:after="60" w:line="240" w:lineRule="auto"/>
              <w:rPr>
                <w:rFonts w:cs="Calibri"/>
                <w:b/>
                <w:bCs/>
                <w:sz w:val="24"/>
                <w:lang w:val="es-CR" w:eastAsia="es-CR"/>
              </w:rPr>
            </w:pPr>
          </w:p>
        </w:tc>
        <w:tc>
          <w:tcPr>
            <w:tcW w:w="1319" w:type="dxa"/>
          </w:tcPr>
          <w:p w:rsidRPr="00BF3029" w:rsidR="00B51077" w:rsidP="004123E6" w:rsidRDefault="00B51077" w14:paraId="240953D1" w14:textId="77777777">
            <w:pPr>
              <w:spacing w:before="60" w:after="60" w:line="240" w:lineRule="auto"/>
              <w:jc w:val="center"/>
              <w:rPr>
                <w:rFonts w:cs="Calibri"/>
                <w:b/>
                <w:bCs/>
                <w:sz w:val="24"/>
                <w:lang w:val="es-CR" w:eastAsia="es-CR"/>
              </w:rPr>
            </w:pPr>
            <w:r w:rsidRPr="00BF3029">
              <w:rPr>
                <w:rFonts w:cs="Calibri"/>
                <w:b/>
                <w:bCs/>
                <w:sz w:val="24"/>
                <w:lang w:val="es-CR" w:eastAsia="es-CR"/>
              </w:rPr>
              <w:t>Inciso b)</w:t>
            </w:r>
          </w:p>
        </w:tc>
      </w:tr>
      <w:tr w:rsidRPr="00BF3029" w:rsidR="00B51077" w:rsidTr="004123E6" w14:paraId="447E70E7" w14:textId="77777777">
        <w:tc>
          <w:tcPr>
            <w:tcW w:w="2136" w:type="dxa"/>
          </w:tcPr>
          <w:p w:rsidRPr="00BF3029" w:rsidR="00B51077" w:rsidP="004123E6" w:rsidRDefault="00B51077" w14:paraId="20653B14" w14:textId="77777777">
            <w:pPr>
              <w:spacing w:before="60" w:after="60" w:line="240" w:lineRule="auto"/>
              <w:rPr>
                <w:rFonts w:cs="Calibri"/>
                <w:b/>
                <w:bCs/>
                <w:sz w:val="24"/>
                <w:lang w:val="es-CR" w:eastAsia="es-CR"/>
              </w:rPr>
            </w:pPr>
            <w:r w:rsidRPr="00BF3029">
              <w:rPr>
                <w:rFonts w:cs="Calibri"/>
                <w:b/>
                <w:bCs/>
                <w:sz w:val="24"/>
                <w:lang w:val="es-CR" w:eastAsia="es-CR"/>
              </w:rPr>
              <w:t xml:space="preserve">C(121 + 122 + 123 – 122.12 – (122.14 – 122.14.1.01) – D20218 – D20219 +  124 + 125 – 125.04 – 129 + 128 + 151.01 – D20116)  </w:t>
            </w:r>
          </w:p>
        </w:tc>
        <w:tc>
          <w:tcPr>
            <w:tcW w:w="3813" w:type="dxa"/>
          </w:tcPr>
          <w:p w:rsidRPr="00BF3029" w:rsidR="00B51077" w:rsidP="004123E6" w:rsidRDefault="00B51077" w14:paraId="66983DFD" w14:textId="77777777">
            <w:pPr>
              <w:spacing w:before="60" w:after="60" w:line="240" w:lineRule="auto"/>
              <w:rPr>
                <w:rFonts w:cs="Calibri"/>
                <w:b/>
                <w:bCs/>
                <w:sz w:val="24"/>
                <w:lang w:val="es-CR" w:eastAsia="es-CR"/>
              </w:rPr>
            </w:pPr>
            <w:r w:rsidRPr="00BF3029">
              <w:rPr>
                <w:rFonts w:cs="Calibri"/>
                <w:b/>
                <w:bCs/>
                <w:sz w:val="24"/>
                <w:lang w:val="es-CR" w:eastAsia="es-CR"/>
              </w:rPr>
              <w:t>Inversiones y productos por cobrar asociados (netos de estimaciones). Incluye valores adquiridos en recuperación de créditos.</w:t>
            </w:r>
          </w:p>
        </w:tc>
        <w:tc>
          <w:tcPr>
            <w:tcW w:w="1276" w:type="dxa"/>
          </w:tcPr>
          <w:p w:rsidRPr="00BF3029" w:rsidR="00B51077" w:rsidP="004123E6" w:rsidRDefault="00B51077" w14:paraId="798EF6F0" w14:textId="77777777">
            <w:pPr>
              <w:spacing w:before="60" w:after="60" w:line="240" w:lineRule="auto"/>
              <w:rPr>
                <w:rFonts w:cs="Calibri"/>
                <w:b/>
                <w:bCs/>
                <w:sz w:val="24"/>
                <w:lang w:val="es-CR" w:eastAsia="es-CR"/>
              </w:rPr>
            </w:pPr>
          </w:p>
        </w:tc>
        <w:tc>
          <w:tcPr>
            <w:tcW w:w="1319" w:type="dxa"/>
          </w:tcPr>
          <w:p w:rsidRPr="00BF3029" w:rsidR="00B51077" w:rsidP="004123E6" w:rsidRDefault="00B51077" w14:paraId="7CA441D5" w14:textId="77777777">
            <w:pPr>
              <w:spacing w:before="60" w:after="60" w:line="240" w:lineRule="auto"/>
              <w:jc w:val="center"/>
              <w:rPr>
                <w:rFonts w:cs="Calibri"/>
                <w:b/>
                <w:bCs/>
                <w:sz w:val="24"/>
                <w:lang w:val="es-CR" w:eastAsia="es-CR"/>
              </w:rPr>
            </w:pPr>
          </w:p>
        </w:tc>
      </w:tr>
    </w:tbl>
    <w:p w:rsidRPr="00BF3029" w:rsidR="00B51077" w:rsidP="00B51077" w:rsidRDefault="00B51077" w14:paraId="41BE36BE" w14:textId="77777777">
      <w:pPr>
        <w:spacing w:before="120" w:after="240" w:line="240" w:lineRule="auto"/>
        <w:rPr>
          <w:rFonts w:cs="Calibri"/>
          <w:b/>
          <w:bCs/>
          <w:sz w:val="24"/>
          <w:lang w:eastAsia="es-CR"/>
        </w:rPr>
      </w:pPr>
    </w:p>
    <w:p w:rsidRPr="00F025B3" w:rsidR="00B51077" w:rsidP="00B51077" w:rsidRDefault="00B51077" w14:paraId="3946F549" w14:textId="77777777">
      <w:pPr>
        <w:pStyle w:val="NormalWeb"/>
        <w:numPr>
          <w:ilvl w:val="0"/>
          <w:numId w:val="16"/>
        </w:numPr>
        <w:spacing w:before="0" w:beforeAutospacing="0" w:after="0" w:afterAutospacing="0"/>
        <w:ind w:left="284" w:hanging="284"/>
        <w:jc w:val="both"/>
        <w:rPr>
          <w:rFonts w:ascii="Cambria" w:hAnsi="Cambria"/>
          <w:sz w:val="24"/>
          <w:szCs w:val="24"/>
        </w:rPr>
      </w:pPr>
      <w:r w:rsidRPr="00F025B3">
        <w:rPr>
          <w:rFonts w:ascii="Cambria" w:hAnsi="Cambria"/>
          <w:sz w:val="24"/>
          <w:szCs w:val="24"/>
        </w:rPr>
        <w:lastRenderedPageBreak/>
        <w:t>La remisión en la clase de datos “</w:t>
      </w:r>
      <w:r w:rsidRPr="00F025B3">
        <w:rPr>
          <w:rFonts w:ascii="Cambria" w:hAnsi="Cambria"/>
          <w:i/>
          <w:sz w:val="24"/>
          <w:szCs w:val="24"/>
        </w:rPr>
        <w:t>Financiero</w:t>
      </w:r>
      <w:r w:rsidRPr="00F025B3">
        <w:rPr>
          <w:rFonts w:ascii="Cambria" w:hAnsi="Cambria"/>
          <w:sz w:val="24"/>
          <w:szCs w:val="24"/>
        </w:rPr>
        <w:t xml:space="preserve">”, rige a partir del envío de la información mensual correspondiente al corte  de marzo 2020, y aplica para aquellas entidades supervisadas que requieran remitir esa información. Para la remisión en la clase de datos “Información Complementaria de Grupos y Conglomerados”, rige a partir del envío de la información trimestral individual y consolidada con corte a marzo  2020. </w:t>
      </w:r>
    </w:p>
    <w:p w:rsidRPr="00BF3029" w:rsidR="00B51077" w:rsidP="00B51077" w:rsidRDefault="00B51077" w14:paraId="723CB853" w14:textId="77777777">
      <w:pPr>
        <w:pStyle w:val="Ttulo3"/>
        <w:spacing w:before="0"/>
        <w:ind w:left="426"/>
        <w:contextualSpacing/>
        <w:rPr>
          <w:rFonts w:ascii="Cambria" w:hAnsi="Cambria"/>
        </w:rPr>
      </w:pPr>
    </w:p>
    <w:p w:rsidRPr="00BF3029" w:rsidR="00B51077" w:rsidP="00B51077" w:rsidRDefault="00B51077" w14:paraId="057A13E2" w14:textId="77777777">
      <w:pPr>
        <w:rPr>
          <w:sz w:val="24"/>
        </w:rPr>
      </w:pPr>
      <w:r w:rsidRPr="00BF3029">
        <w:rPr>
          <w:sz w:val="24"/>
        </w:rPr>
        <w:t>Rige para el envío de información con corte al 31 de marzo de 2020.</w:t>
      </w:r>
    </w:p>
    <w:p w:rsidRPr="00BF3029" w:rsidR="005B160F" w:rsidP="005B160F" w:rsidRDefault="005B160F" w14:paraId="3AD67610" w14:textId="77777777">
      <w:pPr>
        <w:spacing w:line="240" w:lineRule="auto"/>
        <w:contextualSpacing/>
        <w:rPr>
          <w:sz w:val="24"/>
        </w:rPr>
      </w:pPr>
    </w:p>
    <w:p w:rsidRPr="00BF3029" w:rsidR="005B160F" w:rsidP="005B160F" w:rsidRDefault="005B160F" w14:paraId="507C16C2" w14:textId="77777777">
      <w:pPr>
        <w:spacing w:line="240" w:lineRule="auto"/>
        <w:contextualSpacing/>
        <w:rPr>
          <w:sz w:val="24"/>
        </w:rPr>
      </w:pPr>
      <w:r w:rsidRPr="00BF3029">
        <w:rPr>
          <w:sz w:val="24"/>
        </w:rPr>
        <w:t>Publíquese en el Diario Oficial La Gaceta.</w:t>
      </w:r>
    </w:p>
    <w:p w:rsidRPr="00BF3029" w:rsidR="007C0CC9" w:rsidP="005B160F" w:rsidRDefault="007C0CC9" w14:paraId="47ED19CA" w14:textId="77777777">
      <w:pPr>
        <w:pStyle w:val="Texto0"/>
        <w:spacing w:before="0" w:after="0" w:line="240" w:lineRule="auto"/>
        <w:contextualSpacing/>
        <w:rPr>
          <w:sz w:val="24"/>
        </w:rPr>
      </w:pPr>
    </w:p>
    <w:p w:rsidRPr="00BF3029" w:rsidR="00251BA2" w:rsidP="005B160F" w:rsidRDefault="00251BA2" w14:paraId="612C57B3" w14:textId="77777777">
      <w:pPr>
        <w:pStyle w:val="Texto0"/>
        <w:spacing w:before="0" w:after="0" w:line="240" w:lineRule="auto"/>
        <w:contextualSpacing/>
        <w:rPr>
          <w:sz w:val="24"/>
        </w:rPr>
      </w:pPr>
      <w:r w:rsidRPr="00BF3029">
        <w:rPr>
          <w:sz w:val="24"/>
        </w:rPr>
        <w:t>Atentamente,</w:t>
      </w:r>
    </w:p>
    <w:p w:rsidRPr="00BF3029" w:rsidR="00251BA2" w:rsidP="005B160F" w:rsidRDefault="00251BA2" w14:paraId="7D2D4C49" w14:textId="77777777">
      <w:pPr>
        <w:spacing w:line="240" w:lineRule="auto"/>
        <w:contextualSpacing/>
        <w:rPr>
          <w:sz w:val="24"/>
        </w:rPr>
      </w:pPr>
      <w:r w:rsidRPr="00BF3029">
        <w:rPr>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F3029" w:rsidR="00251BA2" w:rsidP="005B160F" w:rsidRDefault="00251BA2" w14:paraId="4DD479B1" w14:textId="77777777">
      <w:pPr>
        <w:spacing w:line="240" w:lineRule="auto"/>
        <w:contextualSpacing/>
        <w:rPr>
          <w:sz w:val="24"/>
        </w:rPr>
      </w:pPr>
    </w:p>
    <w:p w:rsidRPr="00BF3029" w:rsidR="00251BA2" w:rsidP="005B160F" w:rsidRDefault="00251BA2" w14:paraId="6B4D47CD" w14:textId="77777777">
      <w:pPr>
        <w:spacing w:line="240" w:lineRule="auto"/>
        <w:contextualSpacing/>
        <w:rPr>
          <w:sz w:val="24"/>
        </w:rPr>
      </w:pPr>
    </w:p>
    <w:p w:rsidRPr="00BF3029" w:rsidR="0056149B" w:rsidP="005B160F" w:rsidRDefault="00251BA2" w14:paraId="4A4063B2" w14:textId="77777777">
      <w:pPr>
        <w:spacing w:line="240" w:lineRule="auto"/>
        <w:contextualSpacing/>
        <w:rPr>
          <w:sz w:val="24"/>
        </w:rPr>
      </w:pPr>
      <w:r w:rsidRPr="00BF3029">
        <w:rPr>
          <w:sz w:val="24"/>
        </w:rPr>
        <w:t>Bernardo Alfaro A.</w:t>
      </w:r>
    </w:p>
    <w:p w:rsidRPr="00BF3029" w:rsidR="00251BA2" w:rsidP="005B160F" w:rsidRDefault="00251BA2" w14:paraId="0EC86EC6" w14:textId="092FAD99">
      <w:pPr>
        <w:spacing w:line="240" w:lineRule="auto"/>
        <w:contextualSpacing/>
        <w:rPr>
          <w:sz w:val="24"/>
        </w:rPr>
      </w:pPr>
      <w:r w:rsidRPr="00BF3029">
        <w:rPr>
          <w:b/>
          <w:sz w:val="24"/>
        </w:rPr>
        <w:t>Superintendente</w:t>
      </w:r>
    </w:p>
    <w:p w:rsidRPr="00BF3029" w:rsidR="00251BA2" w:rsidP="005B160F" w:rsidRDefault="00251BA2" w14:paraId="3A4E599A" w14:textId="77777777">
      <w:pPr>
        <w:spacing w:line="240" w:lineRule="auto"/>
        <w:contextualSpacing/>
        <w:rPr>
          <w:sz w:val="24"/>
        </w:rPr>
      </w:pPr>
    </w:p>
    <w:p w:rsidRPr="00BF3029" w:rsidR="00251BA2" w:rsidP="005B160F" w:rsidRDefault="00251BA2" w14:paraId="52628D68" w14:textId="77777777">
      <w:pPr>
        <w:spacing w:before="120" w:after="120" w:line="240" w:lineRule="auto"/>
        <w:contextualSpacing/>
        <w:rPr>
          <w:rFonts w:eastAsia="Calibri"/>
          <w:bCs/>
          <w:sz w:val="24"/>
        </w:rPr>
      </w:pPr>
    </w:p>
    <w:p w:rsidRPr="00BF3029" w:rsidR="00251BA2" w:rsidP="005B160F" w:rsidRDefault="005B160F" w14:paraId="17EE72F1" w14:textId="7C5D56D6">
      <w:pPr>
        <w:spacing w:before="120" w:after="120" w:line="240" w:lineRule="auto"/>
        <w:contextualSpacing/>
        <w:rPr>
          <w:rFonts w:eastAsia="Calibri"/>
          <w:b/>
          <w:bCs/>
          <w:sz w:val="24"/>
          <w:lang w:val="es-CR"/>
        </w:rPr>
      </w:pPr>
      <w:r w:rsidRPr="00BF3029">
        <w:rPr>
          <w:rFonts w:eastAsia="Calibri"/>
          <w:b/>
          <w:bCs/>
          <w:sz w:val="24"/>
          <w:lang w:val="es-CR"/>
        </w:rPr>
        <w:t>J</w:t>
      </w:r>
      <w:r w:rsidRPr="00BF3029" w:rsidR="0056149B">
        <w:rPr>
          <w:rFonts w:eastAsia="Calibri"/>
          <w:b/>
          <w:bCs/>
          <w:sz w:val="24"/>
          <w:lang w:val="es-CR"/>
        </w:rPr>
        <w:t>SC/GAA</w:t>
      </w:r>
      <w:r w:rsidRPr="00BF3029" w:rsidR="00251BA2">
        <w:rPr>
          <w:rFonts w:eastAsia="Calibri"/>
          <w:b/>
          <w:bCs/>
          <w:sz w:val="24"/>
          <w:lang w:val="es-CR"/>
        </w:rPr>
        <w:t>/</w:t>
      </w:r>
      <w:r w:rsidRPr="00BF3029" w:rsidR="0056149B">
        <w:rPr>
          <w:rFonts w:eastAsia="Calibri"/>
          <w:b/>
          <w:bCs/>
          <w:sz w:val="24"/>
          <w:lang w:val="es-CR"/>
        </w:rPr>
        <w:t>CRC</w:t>
      </w:r>
      <w:r w:rsidRPr="00BF3029" w:rsidR="00251BA2">
        <w:rPr>
          <w:rFonts w:eastAsia="Calibri"/>
          <w:b/>
          <w:bCs/>
          <w:sz w:val="24"/>
          <w:lang w:val="es-CR"/>
        </w:rPr>
        <w:t>/gvl*</w:t>
      </w:r>
    </w:p>
    <w:p w:rsidRPr="00BF3029" w:rsidR="00A26E9E" w:rsidP="00590F07" w:rsidRDefault="00A26E9E" w14:paraId="31BC3841" w14:textId="77777777">
      <w:pPr>
        <w:pStyle w:val="CC"/>
        <w:rPr>
          <w:sz w:val="24"/>
          <w:szCs w:val="24"/>
        </w:rPr>
      </w:pPr>
    </w:p>
    <w:sectPr w:rsidRPr="00BF3029"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6902" w14:textId="77777777" w:rsidR="00067D6D" w:rsidRDefault="00067D6D" w:rsidP="00D43D57">
      <w:r>
        <w:separator/>
      </w:r>
    </w:p>
  </w:endnote>
  <w:endnote w:type="continuationSeparator" w:id="0">
    <w:p w14:paraId="5D69F098" w14:textId="77777777" w:rsidR="00067D6D" w:rsidRDefault="00067D6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641B27">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DD4A" w14:textId="77777777" w:rsidR="00067D6D" w:rsidRDefault="00067D6D" w:rsidP="00D43D57">
      <w:r>
        <w:separator/>
      </w:r>
    </w:p>
  </w:footnote>
  <w:footnote w:type="continuationSeparator" w:id="0">
    <w:p w14:paraId="21D6E5A5" w14:textId="77777777" w:rsidR="00067D6D" w:rsidRDefault="00067D6D"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6"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2"/>
    <w:rsid w:val="000064A4"/>
    <w:rsid w:val="000235B5"/>
    <w:rsid w:val="00026C85"/>
    <w:rsid w:val="00041BDD"/>
    <w:rsid w:val="000439A6"/>
    <w:rsid w:val="00060C03"/>
    <w:rsid w:val="000646DD"/>
    <w:rsid w:val="00067D6D"/>
    <w:rsid w:val="000728EA"/>
    <w:rsid w:val="00081865"/>
    <w:rsid w:val="00082968"/>
    <w:rsid w:val="00086804"/>
    <w:rsid w:val="000B3CF7"/>
    <w:rsid w:val="000C2932"/>
    <w:rsid w:val="000C62BB"/>
    <w:rsid w:val="000D18B9"/>
    <w:rsid w:val="000D7C47"/>
    <w:rsid w:val="000E0AC6"/>
    <w:rsid w:val="000F34AE"/>
    <w:rsid w:val="001052E8"/>
    <w:rsid w:val="00117501"/>
    <w:rsid w:val="001322B4"/>
    <w:rsid w:val="001327EB"/>
    <w:rsid w:val="0016220C"/>
    <w:rsid w:val="001653C6"/>
    <w:rsid w:val="00170FA2"/>
    <w:rsid w:val="001946F4"/>
    <w:rsid w:val="001A311A"/>
    <w:rsid w:val="001A6574"/>
    <w:rsid w:val="001B4D6A"/>
    <w:rsid w:val="001C075B"/>
    <w:rsid w:val="001C5806"/>
    <w:rsid w:val="001E0448"/>
    <w:rsid w:val="00212B7C"/>
    <w:rsid w:val="00230C67"/>
    <w:rsid w:val="00234BEA"/>
    <w:rsid w:val="00251BA2"/>
    <w:rsid w:val="002577CD"/>
    <w:rsid w:val="002645B7"/>
    <w:rsid w:val="002670B9"/>
    <w:rsid w:val="002A14D5"/>
    <w:rsid w:val="002C56A4"/>
    <w:rsid w:val="002C57C2"/>
    <w:rsid w:val="002E2B0A"/>
    <w:rsid w:val="002E3589"/>
    <w:rsid w:val="002E56D1"/>
    <w:rsid w:val="002E571B"/>
    <w:rsid w:val="002F08D5"/>
    <w:rsid w:val="003060E2"/>
    <w:rsid w:val="00310570"/>
    <w:rsid w:val="00317BBB"/>
    <w:rsid w:val="00322A87"/>
    <w:rsid w:val="003267FB"/>
    <w:rsid w:val="003312B8"/>
    <w:rsid w:val="00336111"/>
    <w:rsid w:val="003503A2"/>
    <w:rsid w:val="003554C5"/>
    <w:rsid w:val="00365794"/>
    <w:rsid w:val="00373B22"/>
    <w:rsid w:val="00385CC2"/>
    <w:rsid w:val="003C4C71"/>
    <w:rsid w:val="003E4EDB"/>
    <w:rsid w:val="003E72FD"/>
    <w:rsid w:val="003F6025"/>
    <w:rsid w:val="00410551"/>
    <w:rsid w:val="00414B77"/>
    <w:rsid w:val="0042119B"/>
    <w:rsid w:val="00427002"/>
    <w:rsid w:val="00445881"/>
    <w:rsid w:val="00447A41"/>
    <w:rsid w:val="004822E6"/>
    <w:rsid w:val="00492FE3"/>
    <w:rsid w:val="004A78CC"/>
    <w:rsid w:val="004B5F88"/>
    <w:rsid w:val="004C7711"/>
    <w:rsid w:val="004D7F44"/>
    <w:rsid w:val="004F74E7"/>
    <w:rsid w:val="005105C4"/>
    <w:rsid w:val="0053623F"/>
    <w:rsid w:val="00550D78"/>
    <w:rsid w:val="00557369"/>
    <w:rsid w:val="0056149B"/>
    <w:rsid w:val="005706D1"/>
    <w:rsid w:val="005739A8"/>
    <w:rsid w:val="005751FC"/>
    <w:rsid w:val="00577A95"/>
    <w:rsid w:val="005852CF"/>
    <w:rsid w:val="00590F07"/>
    <w:rsid w:val="0059392E"/>
    <w:rsid w:val="005B160F"/>
    <w:rsid w:val="005B448F"/>
    <w:rsid w:val="005C173B"/>
    <w:rsid w:val="005D5973"/>
    <w:rsid w:val="005E07F2"/>
    <w:rsid w:val="005E39BB"/>
    <w:rsid w:val="006033C4"/>
    <w:rsid w:val="00603B3F"/>
    <w:rsid w:val="00604A3D"/>
    <w:rsid w:val="0060703F"/>
    <w:rsid w:val="00614D68"/>
    <w:rsid w:val="00620B23"/>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610"/>
    <w:rsid w:val="006E36EA"/>
    <w:rsid w:val="006E6DE5"/>
    <w:rsid w:val="006E6F58"/>
    <w:rsid w:val="0071134B"/>
    <w:rsid w:val="00714DC4"/>
    <w:rsid w:val="00715376"/>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C0CC9"/>
    <w:rsid w:val="007D1328"/>
    <w:rsid w:val="007F1723"/>
    <w:rsid w:val="007F1E6F"/>
    <w:rsid w:val="007F327D"/>
    <w:rsid w:val="007F3A44"/>
    <w:rsid w:val="007F5430"/>
    <w:rsid w:val="007F7B1E"/>
    <w:rsid w:val="008202A0"/>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C0BF0"/>
    <w:rsid w:val="008D0528"/>
    <w:rsid w:val="008E5850"/>
    <w:rsid w:val="008F1461"/>
    <w:rsid w:val="008F33F5"/>
    <w:rsid w:val="00904CBE"/>
    <w:rsid w:val="00906CC5"/>
    <w:rsid w:val="00930D01"/>
    <w:rsid w:val="00936085"/>
    <w:rsid w:val="009475B6"/>
    <w:rsid w:val="009578D4"/>
    <w:rsid w:val="00962265"/>
    <w:rsid w:val="0097235C"/>
    <w:rsid w:val="00977CEE"/>
    <w:rsid w:val="00982147"/>
    <w:rsid w:val="00983CB1"/>
    <w:rsid w:val="00984A65"/>
    <w:rsid w:val="009908DE"/>
    <w:rsid w:val="009B5E5E"/>
    <w:rsid w:val="009C47FE"/>
    <w:rsid w:val="009E79C1"/>
    <w:rsid w:val="009F54CB"/>
    <w:rsid w:val="00A23019"/>
    <w:rsid w:val="00A26E9E"/>
    <w:rsid w:val="00A34523"/>
    <w:rsid w:val="00A4334A"/>
    <w:rsid w:val="00A76A2E"/>
    <w:rsid w:val="00A84CDB"/>
    <w:rsid w:val="00A906DD"/>
    <w:rsid w:val="00A95C52"/>
    <w:rsid w:val="00AC2066"/>
    <w:rsid w:val="00AC5138"/>
    <w:rsid w:val="00AC5E12"/>
    <w:rsid w:val="00AD1E09"/>
    <w:rsid w:val="00AD7B1E"/>
    <w:rsid w:val="00AE326C"/>
    <w:rsid w:val="00AE3929"/>
    <w:rsid w:val="00AE6001"/>
    <w:rsid w:val="00AF45B7"/>
    <w:rsid w:val="00B079EC"/>
    <w:rsid w:val="00B1318C"/>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14C9"/>
    <w:rsid w:val="00C42047"/>
    <w:rsid w:val="00C5093E"/>
    <w:rsid w:val="00C60480"/>
    <w:rsid w:val="00C64425"/>
    <w:rsid w:val="00C809BA"/>
    <w:rsid w:val="00C928C7"/>
    <w:rsid w:val="00C9305E"/>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5185D"/>
    <w:rsid w:val="00E676F4"/>
    <w:rsid w:val="00E75AC8"/>
    <w:rsid w:val="00E82177"/>
    <w:rsid w:val="00E85D8D"/>
    <w:rsid w:val="00EA013A"/>
    <w:rsid w:val="00EB4E27"/>
    <w:rsid w:val="00EB71D8"/>
    <w:rsid w:val="00EC2E48"/>
    <w:rsid w:val="00ED0FDD"/>
    <w:rsid w:val="00EE00D4"/>
    <w:rsid w:val="00EE3A47"/>
    <w:rsid w:val="00EE761B"/>
    <w:rsid w:val="00EF0C8B"/>
    <w:rsid w:val="00F025B3"/>
    <w:rsid w:val="00F037C1"/>
    <w:rsid w:val="00F10AFE"/>
    <w:rsid w:val="00F1102D"/>
    <w:rsid w:val="00F1297C"/>
    <w:rsid w:val="00F12A97"/>
    <w:rsid w:val="00F33277"/>
    <w:rsid w:val="00F6038D"/>
    <w:rsid w:val="00F6197C"/>
    <w:rsid w:val="00F654F5"/>
    <w:rsid w:val="00F731A3"/>
    <w:rsid w:val="00F73412"/>
    <w:rsid w:val="00F8514F"/>
    <w:rsid w:val="00F8680D"/>
    <w:rsid w:val="00FA06A7"/>
    <w:rsid w:val="00FA1E58"/>
    <w:rsid w:val="00FA54DF"/>
    <w:rsid w:val="00FB79EB"/>
    <w:rsid w:val="00FC374C"/>
    <w:rsid w:val="00FD5ED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251BA2"/>
    <w:rPr>
      <w:rFonts w:ascii="Calibri" w:hAnsi="Calibri" w:cs="Calibri"/>
      <w:sz w:val="22"/>
      <w:szCs w:val="22"/>
      <w:lang w:eastAsia="en-US"/>
    </w:rPr>
  </w:style>
  <w:style w:type="paragraph" w:styleId="Prrafodelista">
    <w:name w:val="List Paragraph"/>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Cuadrculadetab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F"/>
    <w:rsid w:val="000B4FAF"/>
    <w:rsid w:val="005C01CC"/>
    <w:rsid w:val="00B93B4F"/>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buHYbpfIfF8FlIZlxrZwcT7/r0vetqpBmZ8lTrY4tmM=</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I9OTEqjQ6kFtTYse/Wz6Q8z8USw40++byRJo+0BhLWg=</DigestValue>
    </Reference>
  </SignedInfo>
  <SignatureValue>FSUneuMaChYipvL0olGVDYEeNGUbc3Mj1MOWWEc9FfnpbG91LxNl5naJZRHktFqiRDZ4/R5JYYMs
gls/4U6NU3snSpC9greA0LpGuEMX9W/WlRp30bYfg6vvbENVB8Q3IqICG7lSn2aRNr4rgcsKZQpx
PwJwuybHrJt2AYZyel/6y6OTRSsRqQ+V9TqWLqRAUHZqQblPkkEQHXwfzJpMVCvVRc5hhE1Sq2Iu
beTZ6vj5i9B1yWiAlZ4MCdSQGOl7xE2ChljUpKoeEVFv7VprfniOfQvpz0ZmJJ/YkK6UkqQaI4t5
X8cnqEXhBqj5CyaBv66abF4sZ4FSwtYu6l1E7Q==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Mz+zNRfXwG/IW88KUtAWgjuSbfRNAmkMTjZRszEpQhE=</DigestValue>
      </Reference>
      <Reference URI="/word/endnotes.xml?ContentType=application/vnd.openxmlformats-officedocument.wordprocessingml.endnotes+xml">
        <DigestMethod Algorithm="http://www.w3.org/2001/04/xmlenc#sha256"/>
        <DigestValue>gGG15EyIZI5JrNVwM7Yrv+cQD4KLq9JeF81ZcY4zIFQ=</DigestValue>
      </Reference>
      <Reference URI="/word/fontTable.xml?ContentType=application/vnd.openxmlformats-officedocument.wordprocessingml.fontTable+xml">
        <DigestMethod Algorithm="http://www.w3.org/2001/04/xmlenc#sha256"/>
        <DigestValue>ve+Z1k4ZBf4R4bwPjICpe3pgMk1eItDTUJTSZn2jQcc=</DigestValue>
      </Reference>
      <Reference URI="/word/footer1.xml?ContentType=application/vnd.openxmlformats-officedocument.wordprocessingml.footer+xml">
        <DigestMethod Algorithm="http://www.w3.org/2001/04/xmlenc#sha256"/>
        <DigestValue>T8zrZWb32sUVW7wNDVM7rp4SplQGnG98WaJbWgcyDno=</DigestValue>
      </Reference>
      <Reference URI="/word/footer2.xml?ContentType=application/vnd.openxmlformats-officedocument.wordprocessingml.footer+xml">
        <DigestMethod Algorithm="http://www.w3.org/2001/04/xmlenc#sha256"/>
        <DigestValue>Rhhhfs2ydrG3X286qBBXQuY/AYXt7crrkJSBIih5bek=</DigestValue>
      </Reference>
      <Reference URI="/word/footnotes.xml?ContentType=application/vnd.openxmlformats-officedocument.wordprocessingml.footnotes+xml">
        <DigestMethod Algorithm="http://www.w3.org/2001/04/xmlenc#sha256"/>
        <DigestValue>fTCrIY6tZAJnOyi5IPawOxmV5TZdaHVgbVN/0qXqAOE=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457ZzZmAZQRzF8oLvd0aDcniWzq2tRYqJmu8QIoVnVg=</DigestValue>
      </Reference>
      <Reference URI="/word/glossary/fontTable.xml?ContentType=application/vnd.openxmlformats-officedocument.wordprocessingml.fontTable+xml">
        <DigestMethod Algorithm="http://www.w3.org/2001/04/xmlenc#sha256"/>
        <DigestValue>j/ugAHzyZqnvz9gHRJUpJNrxVS5XRg5WvfCIZTm/pqw=</DigestValue>
      </Reference>
      <Reference URI="/word/glossary/settings.xml?ContentType=application/vnd.openxmlformats-officedocument.wordprocessingml.settings+xml">
        <DigestMethod Algorithm="http://www.w3.org/2001/04/xmlenc#sha256"/>
        <DigestValue>JnwhNTYDvb6sI/02g2Tk4XLPAAI1wtZkga5+2zbqDnY=</DigestValue>
      </Reference>
      <Reference URI="/word/glossary/styles.xml?ContentType=application/vnd.openxmlformats-officedocument.wordprocessingml.styles+xml">
        <DigestMethod Algorithm="http://www.w3.org/2001/04/xmlenc#sha256"/>
        <DigestValue>vpfBwRflkEjmf1HL6QWpHcZU/jCsPWAjwMhAWTYFJow=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d6IsYuq5L3uUNYHD7ZGOCoqtF//8AYTK4TxmMlY5yQA=</DigestValue>
      </Reference>
      <Reference URI="/word/header2.xml?ContentType=application/vnd.openxmlformats-officedocument.wordprocessingml.header+xml">
        <DigestMethod Algorithm="http://www.w3.org/2001/04/xmlenc#sha256"/>
        <DigestValue>bCpX2+OmbX9L+bFcN/NIsWQGr7SHMoP82sIoFBxhOiw=</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JCeS0xwqmj2aLIxnACOyZ/ls4VdI1LC6pdVgG4n9yQQ=</DigestValue>
      </Reference>
      <Reference URI="/word/settings.xml?ContentType=application/vnd.openxmlformats-officedocument.wordprocessingml.settings+xml">
        <DigestMethod Algorithm="http://www.w3.org/2001/04/xmlenc#sha256"/>
        <DigestValue>cbfuwASCI/pTY0dsZzJmzwvhnJts3LFGIhnmTZes6Ow=</DigestValue>
      </Reference>
      <Reference URI="/word/styles.xml?ContentType=application/vnd.openxmlformats-officedocument.wordprocessingml.styles+xml">
        <DigestMethod Algorithm="http://www.w3.org/2001/04/xmlenc#sha256"/>
        <DigestValue>dpIhDFksb6HxBQQajG9Sh08tQUyoWhmY15xj9hdtUuk=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IcdfStPGvAuHtFwTnNNXa2TQNTt2u/8O3KVlU4gYpVw=</DigestValue>
      </Reference>
    </Manifest>
    <SignatureProperties>
      <SignatureProperty Id="idSignatureTime" Target="#idPackageSignature">
        <mdssi:SignatureTime xmlns:mdssi="http://schemas.openxmlformats.org/package/2006/digital-signature">
          <mdssi:Format>YYYY-MM-DDThh:mm:ssTZD</mdssi:Format>
          <mdssi:Value>2020-04-14T20:09:13Z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2020-04-14T20:09:13Z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1l1Hpj0i3I88nCC0xM0C8IFVa/5ZVO7U8zTy5cPre+YCBAmvGMMYDzIwMjAwNDE0MjAwOT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e+ofSC1QDLP+hL2MfpbYsfS31Ec=</xd:ByKey>
                  </xd:ResponderID>
                  <xd:ProducedAt>2020-04-14T19:59:16Z</xd:ProducedAt>
                </xd:OCSPIdentifier>
                <xd:DigestAlgAndValue>
                  <DigestMethod Algorithm="http://www.w3.org/2001/04/xmlenc#sha256"/>
                  <DigestValue>0A/Ms4QUi8BAu+iUCWwwCHr4gvl2uH6nDuynkCdfAYw=</DigestValue>
                </xd:DigestAlgAndValue>
              </xd:OCSPRef>
            </xd:OCSPRefs>
            <xd:CRLRefs>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1QeW+zOQjdU/uE31+J87ZFvwm+qfXe86Yo2Y1RTupkCBAmvGMQYDzIwMjAwNDE0MjAwOT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la Entrante de Administrativo para que realice la publicación en el Diario Oficial La Gaceta.
Resolución sobre cuenta 123.12 y 123.14 v4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sobre cuenta 123.12 y 123.14 v4</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83D3F1DE-EAE4-4402-BF85-9C84029CC76E}"/>
</file>

<file path=customXml/itemProps3.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4.xml><?xml version="1.0" encoding="utf-8"?>
<ds:datastoreItem xmlns:ds="http://schemas.openxmlformats.org/officeDocument/2006/customXml" ds:itemID="{A88B3DE6-119E-4A9F-B676-F039F0C0A8CF}"/>
</file>

<file path=customXml/itemProps5.xml><?xml version="1.0" encoding="utf-8"?>
<ds:datastoreItem xmlns:ds="http://schemas.openxmlformats.org/officeDocument/2006/customXml" ds:itemID="{283BF82E-1A70-4392-8CF2-7DEAFF1953AE}">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b875e23b-67d9-4b2e-bdec-edacbf90b326"/>
  </ds:schemaRefs>
</ds:datastoreItem>
</file>

<file path=customXml/itemProps6.xml><?xml version="1.0" encoding="utf-8"?>
<ds:datastoreItem xmlns:ds="http://schemas.openxmlformats.org/officeDocument/2006/customXml" ds:itemID="{0460603F-ED7B-4AA0-895E-83F1347D5EDE}">
  <ds:schemaRefs>
    <ds:schemaRef ds:uri="http://schemas.openxmlformats.org/officeDocument/2006/bibliography"/>
  </ds:schemaRefs>
</ds:datastoreItem>
</file>

<file path=customXml/itemProps7.xml><?xml version="1.0" encoding="utf-8"?>
<ds:datastoreItem xmlns:ds="http://schemas.openxmlformats.org/officeDocument/2006/customXml" ds:itemID="{130340C9-2803-43AE-B1F8-93FFF6F9B8D2}"/>
</file>

<file path=docProps/app.xml><?xml version="1.0" encoding="utf-8"?>
<Properties xmlns="http://schemas.openxmlformats.org/officeDocument/2006/extended-properties" xmlns:vt="http://schemas.openxmlformats.org/officeDocument/2006/docPropsVTypes">
  <Template>plantilla-SGF-13-Normas</Template>
  <TotalTime>44</TotalTime>
  <Pages>5</Pages>
  <Words>1148</Words>
  <Characters>6315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SEGURA CALDERON GENARO ALONSO</cp:lastModifiedBy>
  <cp:revision>7</cp:revision>
  <cp:lastPrinted>2015-07-30T22:36:00Z</cp:lastPrinted>
  <dcterms:created xsi:type="dcterms:W3CDTF">2020-04-02T16:01:00Z</dcterms:created>
  <dcterms:modified xsi:type="dcterms:W3CDTF">2020-04-08T21:04:00Z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49400</vt:r8>
  </property>
  <property fmtid="{D5CDD505-2E9C-101B-9397-08002B2CF9AE}" pid="15" name="Confidencialidad">
    <vt:lpwstr>Público|99c2402f-8ec3-4ca8-8024-be52e4e7f629</vt:lpwstr>
  </property>
  <property fmtid="{D5CDD505-2E9C-101B-9397-08002B2CF9AE}" pid="16" name="WorkflowChangePath">
    <vt:lpwstr>546dfbb4-8cc0-45d4-a64c-4db3fdd3f8fe,5;ab7952a0-1ae5-4b26-8d7a-be63a467751b,8;</vt:lpwstr>
  </property>
</Properties>
</file>