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20B7" w:rsidR="007755BD" w:rsidP="007755BD" w:rsidRDefault="007755BD" w14:paraId="05339287" w14:textId="77777777">
      <w:pPr>
        <w:pStyle w:val="Texto"/>
        <w:spacing w:before="0" w:after="0" w:line="240" w:lineRule="auto"/>
        <w:contextualSpacing/>
        <w:jc w:val="center"/>
        <w:rPr>
          <w:sz w:val="24"/>
        </w:rPr>
      </w:pPr>
      <w:r w:rsidRPr="00F620B7">
        <w:rPr>
          <w:b/>
          <w:sz w:val="24"/>
        </w:rPr>
        <w:t>Resolución</w:t>
      </w:r>
    </w:p>
    <w:p w:rsidRPr="00F620B7" w:rsidR="007755BD" w:rsidP="007755BD" w:rsidRDefault="00F620B7" w14:paraId="2688FFB7" w14:textId="4F65FE44">
      <w:pPr>
        <w:pStyle w:val="Texto"/>
        <w:spacing w:before="0" w:after="0" w:line="240" w:lineRule="auto"/>
        <w:contextualSpacing/>
        <w:jc w:val="center"/>
        <w:rPr>
          <w:sz w:val="24"/>
        </w:rPr>
      </w:pPr>
      <w:r w:rsidRPr="00F620B7">
        <w:rPr>
          <w:sz w:val="24"/>
        </w:rPr>
        <w:t>23</w:t>
      </w:r>
      <w:r w:rsidRPr="00F620B7" w:rsidR="007755BD">
        <w:rPr>
          <w:sz w:val="24"/>
        </w:rPr>
        <w:t xml:space="preserve"> de mayo del 2023</w:t>
      </w:r>
    </w:p>
    <w:sdt>
      <w:sdtPr>
        <w:rPr>
          <w:sz w:val="24"/>
        </w:rPr>
        <w:alias w:val="Consecutivo"/>
        <w:tag w:val="Consecutivo"/>
        <w:id w:val="2052717023"/>
        <w:placeholder>
          <w:docPart w:val="E6B5AF1B8EA84F59BF1F66DAEAFC3A08"/>
        </w:placeholder>
        <w:text/>
      </w:sdtPr>
      <w:sdtEndPr/>
      <w:sdtContent>
        <w:p w:rsidRPr="00F620B7" w:rsidR="007755BD" w:rsidP="007755BD" w:rsidRDefault="007755BD" w14:paraId="70C6CB92" w14:textId="77777777">
          <w:pPr>
            <w:tabs>
              <w:tab w:val="left" w:pos="2843"/>
            </w:tabs>
            <w:spacing w:line="240" w:lineRule="auto"/>
            <w:contextualSpacing/>
            <w:jc w:val="center"/>
            <w:rPr>
              <w:sz w:val="24"/>
            </w:rPr>
          </w:pPr>
          <w:r>
            <w:t>SGF-1286-2023</w:t>
          </w:r>
        </w:p>
      </w:sdtContent>
    </w:sdt>
    <w:p w:rsidRPr="00F620B7" w:rsidR="007755BD" w:rsidP="007755BD" w:rsidRDefault="00F620B7" w14:paraId="157C93CE" w14:textId="77777777">
      <w:pPr>
        <w:tabs>
          <w:tab w:val="left" w:pos="2843"/>
        </w:tabs>
        <w:spacing w:line="240" w:lineRule="auto"/>
        <w:contextualSpacing/>
        <w:jc w:val="center"/>
        <w:rPr>
          <w:sz w:val="24"/>
        </w:rPr>
      </w:pPr>
      <w:sdt>
        <w:sdtPr>
          <w:rPr>
            <w:sz w:val="24"/>
          </w:rPr>
          <w:alias w:val="Confidencialidad"/>
          <w:tag w:val="Confidencialidad"/>
          <w:id w:val="2135442733"/>
          <w:placeholder>
            <w:docPart w:val="67951B8F8BB44C6BABA6194E498315C0"/>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620B7" w:rsidR="007755BD">
            <w:rPr>
              <w:sz w:val="24"/>
              <w:lang w:val="es-CR"/>
            </w:rPr>
            <w:t>SGF-PUBLICO</w:t>
          </w:r>
        </w:sdtContent>
      </w:sdt>
    </w:p>
    <w:p w:rsidRPr="00F620B7" w:rsidR="007755BD" w:rsidP="007755BD" w:rsidRDefault="007755BD" w14:paraId="673F11BC" w14:textId="77777777">
      <w:pPr>
        <w:widowControl w:val="0"/>
        <w:spacing w:line="240" w:lineRule="auto"/>
        <w:ind w:left="34" w:right="86"/>
        <w:contextualSpacing/>
        <w:outlineLvl w:val="0"/>
        <w:rPr>
          <w:b/>
          <w:sz w:val="24"/>
          <w:lang w:val="es-CR"/>
        </w:rPr>
      </w:pPr>
    </w:p>
    <w:p w:rsidRPr="00F620B7" w:rsidR="007755BD" w:rsidP="007755BD" w:rsidRDefault="007755BD" w14:paraId="79985992" w14:textId="77777777">
      <w:pPr>
        <w:widowControl w:val="0"/>
        <w:spacing w:line="240" w:lineRule="auto"/>
        <w:ind w:left="34" w:right="86"/>
        <w:contextualSpacing/>
        <w:outlineLvl w:val="0"/>
        <w:rPr>
          <w:b/>
          <w:sz w:val="24"/>
          <w:lang w:val="es-CR"/>
        </w:rPr>
      </w:pPr>
      <w:r w:rsidRPr="00F620B7">
        <w:rPr>
          <w:b/>
          <w:sz w:val="24"/>
          <w:lang w:val="es-CR"/>
        </w:rPr>
        <w:t xml:space="preserve">Dirigida a: </w:t>
      </w:r>
    </w:p>
    <w:p w:rsidRPr="00F620B7" w:rsidR="007755BD" w:rsidP="007755BD" w:rsidRDefault="007755BD" w14:paraId="64B1350A" w14:textId="77777777">
      <w:pPr>
        <w:widowControl w:val="0"/>
        <w:spacing w:line="240" w:lineRule="auto"/>
        <w:ind w:left="34" w:right="86"/>
        <w:contextualSpacing/>
        <w:outlineLvl w:val="0"/>
        <w:rPr>
          <w:b/>
          <w:sz w:val="24"/>
          <w:lang w:val="es-CR"/>
        </w:rPr>
      </w:pPr>
    </w:p>
    <w:p w:rsidRPr="00F620B7" w:rsidR="007755BD" w:rsidP="007755BD" w:rsidRDefault="007755BD" w14:paraId="7D4CBC56" w14:textId="77777777">
      <w:pPr>
        <w:widowControl w:val="0"/>
        <w:numPr>
          <w:ilvl w:val="0"/>
          <w:numId w:val="4"/>
        </w:numPr>
        <w:spacing w:after="200" w:line="240" w:lineRule="auto"/>
        <w:ind w:left="567" w:right="86" w:hanging="567"/>
        <w:contextualSpacing/>
        <w:rPr>
          <w:b/>
          <w:sz w:val="24"/>
          <w:lang w:val="es-CR"/>
        </w:rPr>
      </w:pPr>
      <w:r w:rsidRPr="00F620B7">
        <w:rPr>
          <w:b/>
          <w:sz w:val="24"/>
          <w:lang w:val="es-CR"/>
        </w:rPr>
        <w:t>Bancos Comerciales del Estado</w:t>
      </w:r>
    </w:p>
    <w:p w:rsidRPr="00F620B7" w:rsidR="007755BD" w:rsidP="007755BD" w:rsidRDefault="007755BD" w14:paraId="03E22B2D" w14:textId="77777777">
      <w:pPr>
        <w:widowControl w:val="0"/>
        <w:numPr>
          <w:ilvl w:val="0"/>
          <w:numId w:val="4"/>
        </w:numPr>
        <w:spacing w:after="200" w:line="240" w:lineRule="auto"/>
        <w:ind w:left="567" w:right="86" w:hanging="567"/>
        <w:contextualSpacing/>
        <w:rPr>
          <w:b/>
          <w:sz w:val="24"/>
          <w:lang w:val="es-CR"/>
        </w:rPr>
      </w:pPr>
      <w:r w:rsidRPr="00F620B7">
        <w:rPr>
          <w:b/>
          <w:sz w:val="24"/>
          <w:lang w:val="es-CR"/>
        </w:rPr>
        <w:t>Bancos Creados por Leyes Especiales</w:t>
      </w:r>
    </w:p>
    <w:p w:rsidRPr="00F620B7" w:rsidR="007755BD" w:rsidP="007755BD" w:rsidRDefault="007755BD" w14:paraId="169F219C" w14:textId="77777777">
      <w:pPr>
        <w:widowControl w:val="0"/>
        <w:numPr>
          <w:ilvl w:val="0"/>
          <w:numId w:val="4"/>
        </w:numPr>
        <w:spacing w:after="200" w:line="240" w:lineRule="auto"/>
        <w:ind w:left="567" w:right="86" w:hanging="567"/>
        <w:contextualSpacing/>
        <w:rPr>
          <w:b/>
          <w:sz w:val="24"/>
          <w:lang w:val="es-CR"/>
        </w:rPr>
      </w:pPr>
      <w:r w:rsidRPr="00F620B7">
        <w:rPr>
          <w:b/>
          <w:sz w:val="24"/>
          <w:lang w:val="es-CR"/>
        </w:rPr>
        <w:t>Bancos Privados</w:t>
      </w:r>
    </w:p>
    <w:p w:rsidRPr="00F620B7" w:rsidR="007755BD" w:rsidP="007755BD" w:rsidRDefault="007755BD" w14:paraId="71D9235A" w14:textId="77777777">
      <w:pPr>
        <w:widowControl w:val="0"/>
        <w:numPr>
          <w:ilvl w:val="0"/>
          <w:numId w:val="4"/>
        </w:numPr>
        <w:spacing w:after="200" w:line="240" w:lineRule="auto"/>
        <w:ind w:left="567" w:right="86" w:hanging="567"/>
        <w:contextualSpacing/>
        <w:rPr>
          <w:b/>
          <w:sz w:val="24"/>
          <w:lang w:val="es-CR"/>
        </w:rPr>
      </w:pPr>
      <w:r w:rsidRPr="00F620B7">
        <w:rPr>
          <w:b/>
          <w:sz w:val="24"/>
          <w:lang w:val="es-CR"/>
        </w:rPr>
        <w:t>Empresas Financieras no Bancarias</w:t>
      </w:r>
    </w:p>
    <w:p w:rsidRPr="00F620B7" w:rsidR="007755BD" w:rsidP="007755BD" w:rsidRDefault="007755BD" w14:paraId="322E310D" w14:textId="77777777">
      <w:pPr>
        <w:widowControl w:val="0"/>
        <w:numPr>
          <w:ilvl w:val="0"/>
          <w:numId w:val="4"/>
        </w:numPr>
        <w:spacing w:after="200" w:line="240" w:lineRule="auto"/>
        <w:ind w:left="567" w:right="86" w:hanging="567"/>
        <w:contextualSpacing/>
        <w:rPr>
          <w:b/>
          <w:sz w:val="24"/>
          <w:lang w:val="es-CR"/>
        </w:rPr>
      </w:pPr>
      <w:r w:rsidRPr="00F620B7">
        <w:rPr>
          <w:b/>
          <w:sz w:val="24"/>
          <w:lang w:val="es-CR"/>
        </w:rPr>
        <w:t>Otras Entidades Financieras</w:t>
      </w:r>
    </w:p>
    <w:p w:rsidRPr="00F620B7" w:rsidR="007755BD" w:rsidP="007755BD" w:rsidRDefault="007755BD" w14:paraId="311C9538" w14:textId="77777777">
      <w:pPr>
        <w:widowControl w:val="0"/>
        <w:numPr>
          <w:ilvl w:val="0"/>
          <w:numId w:val="4"/>
        </w:numPr>
        <w:spacing w:after="200" w:line="240" w:lineRule="auto"/>
        <w:ind w:left="567" w:right="86" w:hanging="567"/>
        <w:contextualSpacing/>
        <w:rPr>
          <w:b/>
          <w:sz w:val="24"/>
          <w:lang w:val="es-CR"/>
        </w:rPr>
      </w:pPr>
      <w:r w:rsidRPr="00F620B7">
        <w:rPr>
          <w:b/>
          <w:sz w:val="24"/>
          <w:lang w:val="es-CR"/>
        </w:rPr>
        <w:t>Organizaciones Cooperativas de Ahorro y Crédito</w:t>
      </w:r>
    </w:p>
    <w:p w:rsidRPr="00F620B7" w:rsidR="007755BD" w:rsidP="007755BD" w:rsidRDefault="007755BD" w14:paraId="3095427D" w14:textId="77777777">
      <w:pPr>
        <w:widowControl w:val="0"/>
        <w:numPr>
          <w:ilvl w:val="0"/>
          <w:numId w:val="4"/>
        </w:numPr>
        <w:spacing w:after="200" w:line="240" w:lineRule="auto"/>
        <w:ind w:left="567" w:right="86" w:hanging="567"/>
        <w:contextualSpacing/>
        <w:rPr>
          <w:b/>
          <w:sz w:val="24"/>
          <w:lang w:val="es-CR"/>
        </w:rPr>
      </w:pPr>
      <w:r w:rsidRPr="00F620B7">
        <w:rPr>
          <w:b/>
          <w:sz w:val="24"/>
          <w:lang w:val="es-CR"/>
        </w:rPr>
        <w:t>Entidades Autorizadas del Sistema Financiera Nacional para la Vivienda</w:t>
      </w:r>
    </w:p>
    <w:p w:rsidRPr="00F620B7" w:rsidR="007755BD" w:rsidP="007755BD" w:rsidRDefault="007755BD" w14:paraId="69247147" w14:textId="77777777">
      <w:pPr>
        <w:pStyle w:val="Texto"/>
        <w:spacing w:line="240" w:lineRule="auto"/>
        <w:contextualSpacing/>
        <w:rPr>
          <w:b/>
          <w:sz w:val="24"/>
        </w:rPr>
      </w:pPr>
    </w:p>
    <w:p w:rsidRPr="00F620B7" w:rsidR="007755BD" w:rsidP="007755BD" w:rsidRDefault="007755BD" w14:paraId="361A8FA7" w14:textId="20D9C347">
      <w:pPr>
        <w:pStyle w:val="Texto"/>
        <w:spacing w:line="240" w:lineRule="auto"/>
        <w:contextualSpacing/>
        <w:rPr>
          <w:i/>
          <w:iCs/>
          <w:sz w:val="24"/>
          <w:lang w:val="es-419"/>
        </w:rPr>
      </w:pPr>
      <w:r w:rsidRPr="00F620B7">
        <w:rPr>
          <w:b/>
          <w:sz w:val="24"/>
        </w:rPr>
        <w:t xml:space="preserve">Asunto: </w:t>
      </w:r>
      <w:r w:rsidRPr="00F620B7">
        <w:rPr>
          <w:i/>
          <w:iCs/>
          <w:sz w:val="24"/>
          <w:lang w:val="es-419"/>
        </w:rPr>
        <w:t xml:space="preserve">Modificación de los </w:t>
      </w:r>
      <w:r w:rsidRPr="00F620B7" w:rsidR="00CC5484">
        <w:rPr>
          <w:sz w:val="24"/>
          <w:lang w:val="es-CR"/>
        </w:rPr>
        <w:t>'</w:t>
      </w:r>
      <w:r w:rsidRPr="00F620B7">
        <w:rPr>
          <w:i/>
          <w:iCs/>
          <w:sz w:val="24"/>
          <w:lang w:val="es-CR"/>
        </w:rPr>
        <w:t>Lineamientos Generales para la Aplicación del Reglamento sobre la Suficiencia Patrimonial de Entidades Financieras, Acuerdo SUGEF 3-06</w:t>
      </w:r>
      <w:r w:rsidRPr="00F620B7" w:rsidR="00CC5484">
        <w:rPr>
          <w:sz w:val="24"/>
          <w:lang w:val="es-CR"/>
        </w:rPr>
        <w:t>'</w:t>
      </w:r>
    </w:p>
    <w:p w:rsidRPr="00F620B7" w:rsidR="007755BD" w:rsidP="007755BD" w:rsidRDefault="007755BD" w14:paraId="3405D1DC" w14:textId="77777777">
      <w:pPr>
        <w:spacing w:line="240" w:lineRule="auto"/>
        <w:ind w:left="34"/>
        <w:contextualSpacing/>
        <w:outlineLvl w:val="0"/>
        <w:rPr>
          <w:b/>
          <w:sz w:val="24"/>
          <w:lang w:val="es-419"/>
        </w:rPr>
      </w:pPr>
    </w:p>
    <w:p w:rsidRPr="00F620B7" w:rsidR="007755BD" w:rsidP="007755BD" w:rsidRDefault="007755BD" w14:paraId="5E50B6BE" w14:textId="77777777">
      <w:pPr>
        <w:spacing w:line="240" w:lineRule="auto"/>
        <w:ind w:left="34"/>
        <w:contextualSpacing/>
        <w:outlineLvl w:val="0"/>
        <w:rPr>
          <w:sz w:val="24"/>
        </w:rPr>
      </w:pPr>
      <w:r w:rsidRPr="00F620B7">
        <w:rPr>
          <w:b/>
          <w:sz w:val="24"/>
        </w:rPr>
        <w:t>La Superintendente General de Entidades Financieras,</w:t>
      </w:r>
    </w:p>
    <w:p w:rsidRPr="00F620B7" w:rsidR="007755BD" w:rsidP="007755BD" w:rsidRDefault="007755BD" w14:paraId="597F7E59" w14:textId="77777777">
      <w:pPr>
        <w:spacing w:after="120" w:line="240" w:lineRule="auto"/>
        <w:jc w:val="left"/>
        <w:rPr>
          <w:sz w:val="24"/>
        </w:rPr>
      </w:pPr>
    </w:p>
    <w:p w:rsidRPr="00F620B7" w:rsidR="007755BD" w:rsidP="007755BD" w:rsidRDefault="007755BD" w14:paraId="0B1F08AF" w14:textId="77777777">
      <w:pPr>
        <w:spacing w:after="120" w:line="229" w:lineRule="auto"/>
        <w:ind w:hanging="10"/>
        <w:rPr>
          <w:sz w:val="24"/>
        </w:rPr>
      </w:pPr>
      <w:r w:rsidRPr="00F620B7">
        <w:rPr>
          <w:b/>
          <w:sz w:val="24"/>
        </w:rPr>
        <w:t xml:space="preserve">Considerando que: </w:t>
      </w:r>
    </w:p>
    <w:p w:rsidRPr="00F620B7" w:rsidR="007755BD" w:rsidP="007755BD" w:rsidRDefault="007755BD" w14:paraId="409CC7B7" w14:textId="77777777">
      <w:pPr>
        <w:numPr>
          <w:ilvl w:val="1"/>
          <w:numId w:val="3"/>
        </w:numPr>
        <w:spacing w:after="120" w:line="230" w:lineRule="auto"/>
        <w:ind w:left="567" w:hanging="567"/>
        <w:rPr>
          <w:sz w:val="24"/>
        </w:rPr>
      </w:pPr>
      <w:r w:rsidRPr="00F620B7">
        <w:rPr>
          <w:sz w:val="24"/>
        </w:rPr>
        <w:t xml:space="preserve">El Consejo Nacional de Supervisión del Sistema Financiero (CONASSIF), mediante el </w:t>
      </w:r>
      <w:r w:rsidRPr="00F620B7">
        <w:rPr>
          <w:sz w:val="24"/>
          <w:lang w:val="es-CR"/>
        </w:rPr>
        <w:t>Artículo 14 de la Sesión 547-2006 del 5 de enero del 2006</w:t>
      </w:r>
      <w:r w:rsidRPr="00F620B7">
        <w:rPr>
          <w:sz w:val="24"/>
        </w:rPr>
        <w:t xml:space="preserve">, aprobó el </w:t>
      </w:r>
      <w:r w:rsidRPr="00F620B7">
        <w:rPr>
          <w:i/>
          <w:iCs/>
          <w:sz w:val="24"/>
          <w:lang w:val="es-CR"/>
        </w:rPr>
        <w:t>Reglamento sobre la Suficiencia Patrimonial de Entidades Financieras, Acuerdo SUGEF 3-06</w:t>
      </w:r>
      <w:r w:rsidRPr="00F620B7">
        <w:rPr>
          <w:sz w:val="24"/>
        </w:rPr>
        <w:t>.</w:t>
      </w:r>
    </w:p>
    <w:p w:rsidRPr="00F620B7" w:rsidR="007755BD" w:rsidP="007755BD" w:rsidRDefault="007755BD" w14:paraId="59A67C6A" w14:textId="77777777">
      <w:pPr>
        <w:numPr>
          <w:ilvl w:val="1"/>
          <w:numId w:val="3"/>
        </w:numPr>
        <w:spacing w:after="120" w:line="230" w:lineRule="auto"/>
        <w:ind w:left="567" w:hanging="567"/>
        <w:rPr>
          <w:sz w:val="24"/>
        </w:rPr>
      </w:pPr>
      <w:r w:rsidRPr="00F620B7">
        <w:rPr>
          <w:sz w:val="24"/>
        </w:rPr>
        <w:t xml:space="preserve">El Artículo 4 del </w:t>
      </w:r>
      <w:r w:rsidRPr="00F620B7">
        <w:rPr>
          <w:i/>
          <w:iCs/>
          <w:sz w:val="24"/>
          <w:lang w:val="es-CR"/>
        </w:rPr>
        <w:t>Reglamento sobre la Suficiencia Patrimonial de Entidades Financieras</w:t>
      </w:r>
      <w:r w:rsidRPr="00F620B7">
        <w:rPr>
          <w:sz w:val="24"/>
        </w:rPr>
        <w:t>, establece la potestad del Superintendente para emitir los Lineamientos Generales necesarios para la aplicación de dicha regulación. Asimismo, estos Lineamientos Generales pueden ser modificados por el Superintendente cuando lo considere conveniente.</w:t>
      </w:r>
    </w:p>
    <w:p w:rsidRPr="00F620B7" w:rsidR="004D2364" w:rsidP="004D2364" w:rsidRDefault="007755BD" w14:paraId="53130450" w14:textId="77777777">
      <w:pPr>
        <w:numPr>
          <w:ilvl w:val="1"/>
          <w:numId w:val="3"/>
        </w:numPr>
        <w:spacing w:after="120" w:line="230" w:lineRule="auto"/>
        <w:ind w:left="567" w:hanging="567"/>
        <w:rPr>
          <w:sz w:val="24"/>
          <w:lang w:val="es-CR"/>
        </w:rPr>
      </w:pPr>
      <w:r w:rsidRPr="00F620B7">
        <w:rPr>
          <w:sz w:val="24"/>
        </w:rPr>
        <w:t xml:space="preserve">Mediante </w:t>
      </w:r>
      <w:r w:rsidRPr="00F620B7">
        <w:rPr>
          <w:sz w:val="24"/>
          <w:lang w:val="es-CR"/>
        </w:rPr>
        <w:t xml:space="preserve">SUGEF-A-002. Superintendencia General de Entidades Financieras. Despacho del Superintendente General de Entidades Financieras, a las 11 horas del 6 de enero del 2006 aprobó lo lineamientos generales al </w:t>
      </w:r>
      <w:r w:rsidRPr="00F620B7">
        <w:rPr>
          <w:i/>
          <w:iCs/>
          <w:sz w:val="24"/>
          <w:lang w:val="es-CR"/>
        </w:rPr>
        <w:t>Reglamento sobre la Suficiencia Patrimonial de Entidades Financieras, Acuerdo SUGEF 3-06</w:t>
      </w:r>
      <w:r w:rsidRPr="00F620B7">
        <w:rPr>
          <w:sz w:val="24"/>
          <w:lang w:val="es-CR"/>
        </w:rPr>
        <w:t xml:space="preserve">. </w:t>
      </w:r>
    </w:p>
    <w:p w:rsidRPr="00F620B7" w:rsidR="004D2364" w:rsidP="004D2364" w:rsidRDefault="004D2364" w14:paraId="0F20F9EF" w14:textId="0FF6935B">
      <w:pPr>
        <w:numPr>
          <w:ilvl w:val="1"/>
          <w:numId w:val="3"/>
        </w:numPr>
        <w:spacing w:after="120" w:line="230" w:lineRule="auto"/>
        <w:ind w:left="567" w:hanging="567"/>
        <w:rPr>
          <w:sz w:val="24"/>
          <w:lang w:val="es-CR"/>
        </w:rPr>
      </w:pPr>
      <w:r w:rsidRPr="00F620B7">
        <w:rPr>
          <w:sz w:val="24"/>
          <w:lang w:val="es-CR"/>
        </w:rPr>
        <w:t>Estos lineamientos fueron modificados mediante Resolución SGF-2373-2021 del 18 de agosto del 2021, cuya vigencia es a partir del 1° de enero del 2025.</w:t>
      </w:r>
    </w:p>
    <w:p w:rsidRPr="00F620B7" w:rsidR="007755BD" w:rsidP="007755BD" w:rsidRDefault="007755BD" w14:paraId="1FBE38B2" w14:textId="42AE4771">
      <w:pPr>
        <w:numPr>
          <w:ilvl w:val="1"/>
          <w:numId w:val="3"/>
        </w:numPr>
        <w:spacing w:after="120" w:line="230" w:lineRule="auto"/>
        <w:ind w:left="567" w:hanging="567"/>
        <w:rPr>
          <w:sz w:val="24"/>
          <w:lang w:val="es-CR"/>
        </w:rPr>
      </w:pPr>
      <w:r w:rsidRPr="00F620B7">
        <w:rPr>
          <w:sz w:val="24"/>
          <w:lang w:val="es-CR"/>
        </w:rPr>
        <w:t xml:space="preserve">Mediante resoluciones 1300-2020 del 13 de abril de 2020 y SGF-1993-2020 del 9 de junio de 2020 se incorporaron al Manual de Información-SICVECA, “Tablas de datos” los datos adicionales 20218, 20219 para Entidades Individuales, y los datos adicionales 1918 y 1919 para grupos financieros con el propósito de identificar los reportos y reportos tripartitos y operaciones diferidas de liquidez, clasificados en la </w:t>
      </w:r>
      <w:r w:rsidRPr="00F620B7" w:rsidR="006B643C">
        <w:rPr>
          <w:sz w:val="24"/>
          <w:lang w:val="es-CR"/>
        </w:rPr>
        <w:t xml:space="preserve">cartera de inversiones al </w:t>
      </w:r>
      <w:r w:rsidRPr="00F620B7">
        <w:rPr>
          <w:sz w:val="24"/>
          <w:lang w:val="es-CR"/>
        </w:rPr>
        <w:t>costo amortizado que estuvieran registrados en la cuenta 123.06 “Instrumentos financieros en otras entidades del país”</w:t>
      </w:r>
      <w:r w:rsidRPr="00F620B7" w:rsidR="006B643C">
        <w:rPr>
          <w:sz w:val="24"/>
          <w:lang w:val="es-CR"/>
        </w:rPr>
        <w:t xml:space="preserve">, lo anterior para aplicar a estos instrumentos </w:t>
      </w:r>
      <w:r w:rsidRPr="00F620B7">
        <w:rPr>
          <w:sz w:val="24"/>
          <w:lang w:val="es-CR"/>
        </w:rPr>
        <w:t xml:space="preserve">una ponderación </w:t>
      </w:r>
      <w:r w:rsidRPr="00F620B7" w:rsidR="006B643C">
        <w:rPr>
          <w:sz w:val="24"/>
          <w:lang w:val="es-CR"/>
        </w:rPr>
        <w:t xml:space="preserve">de riesgo </w:t>
      </w:r>
      <w:r w:rsidRPr="00F620B7">
        <w:rPr>
          <w:sz w:val="24"/>
          <w:lang w:val="es-CR"/>
        </w:rPr>
        <w:t xml:space="preserve">homóloga a la </w:t>
      </w:r>
      <w:r w:rsidRPr="00F620B7" w:rsidR="006B643C">
        <w:rPr>
          <w:sz w:val="24"/>
          <w:lang w:val="es-CR"/>
        </w:rPr>
        <w:t xml:space="preserve">aplicable para instrumentos homólogos registrados en la cartera de inversiones a </w:t>
      </w:r>
      <w:r w:rsidRPr="00F620B7">
        <w:rPr>
          <w:sz w:val="24"/>
          <w:lang w:val="es-CR"/>
        </w:rPr>
        <w:t>valor razonable con cambios en otro resultado integral.</w:t>
      </w:r>
      <w:r w:rsidRPr="00F620B7" w:rsidR="006B643C">
        <w:rPr>
          <w:sz w:val="24"/>
          <w:lang w:val="es-CR"/>
        </w:rPr>
        <w:t xml:space="preserve"> Lo anterior, en tanto no se crearan las subcuentas específicas para la identificación contable de estos instrumentos financieros.</w:t>
      </w:r>
    </w:p>
    <w:p w:rsidRPr="00F620B7" w:rsidR="007755BD" w:rsidP="007755BD" w:rsidRDefault="007755BD" w14:paraId="5F91CB05" w14:textId="7C434E67">
      <w:pPr>
        <w:numPr>
          <w:ilvl w:val="1"/>
          <w:numId w:val="3"/>
        </w:numPr>
        <w:spacing w:after="120" w:line="230" w:lineRule="auto"/>
        <w:ind w:left="567" w:hanging="567"/>
        <w:rPr>
          <w:sz w:val="24"/>
        </w:rPr>
      </w:pPr>
      <w:r w:rsidRPr="00F620B7">
        <w:rPr>
          <w:sz w:val="24"/>
        </w:rPr>
        <w:t xml:space="preserve">El CONASSIF reformó el Reglamento de Información Financiera, mediante artículos 5 y 6 de las actas de las sesiones 1759-2022 y 1760-2022, celebradas el 26 de setiembre del 2022 y publicado en el Alcance 222 a La Gaceta 198 del martes 18 </w:t>
      </w:r>
      <w:r w:rsidRPr="00F620B7">
        <w:rPr>
          <w:sz w:val="24"/>
        </w:rPr>
        <w:lastRenderedPageBreak/>
        <w:t xml:space="preserve">de octubre de 2022, en el cual se adicionan las subcuentas, con sus respectivas cuentas analíticas, </w:t>
      </w:r>
      <w:r w:rsidRPr="00F620B7" w:rsidR="006B643C">
        <w:rPr>
          <w:i/>
          <w:iCs/>
          <w:sz w:val="24"/>
        </w:rPr>
        <w:t>“</w:t>
      </w:r>
      <w:r w:rsidRPr="00F620B7">
        <w:rPr>
          <w:i/>
          <w:iCs/>
          <w:sz w:val="24"/>
        </w:rPr>
        <w:t>123.12 Reporto tripartito posición vendedor a plazo – Recursos propios</w:t>
      </w:r>
      <w:r w:rsidRPr="00F620B7" w:rsidR="006B643C">
        <w:rPr>
          <w:i/>
          <w:iCs/>
          <w:sz w:val="24"/>
        </w:rPr>
        <w:t>”</w:t>
      </w:r>
      <w:r w:rsidRPr="00F620B7">
        <w:rPr>
          <w:sz w:val="24"/>
        </w:rPr>
        <w:t xml:space="preserve"> y </w:t>
      </w:r>
      <w:r w:rsidRPr="00F620B7" w:rsidR="006B643C">
        <w:rPr>
          <w:i/>
          <w:iCs/>
          <w:sz w:val="24"/>
        </w:rPr>
        <w:t>“</w:t>
      </w:r>
      <w:r w:rsidRPr="00F620B7">
        <w:rPr>
          <w:i/>
          <w:iCs/>
          <w:sz w:val="24"/>
        </w:rPr>
        <w:t>123.14 Operaciones Diferidas de Liquidez –Recursos propios</w:t>
      </w:r>
      <w:r w:rsidRPr="00F620B7" w:rsidR="006B643C">
        <w:rPr>
          <w:i/>
          <w:iCs/>
          <w:sz w:val="24"/>
        </w:rPr>
        <w:t>”</w:t>
      </w:r>
      <w:r w:rsidRPr="00F620B7">
        <w:rPr>
          <w:i/>
          <w:iCs/>
          <w:sz w:val="24"/>
        </w:rPr>
        <w:t>.</w:t>
      </w:r>
    </w:p>
    <w:p w:rsidR="007755BD" w:rsidP="007755BD" w:rsidRDefault="006B643C" w14:paraId="77266E28" w14:textId="15260EEC">
      <w:pPr>
        <w:numPr>
          <w:ilvl w:val="1"/>
          <w:numId w:val="3"/>
        </w:numPr>
        <w:spacing w:after="120" w:line="230" w:lineRule="auto"/>
        <w:ind w:left="567" w:hanging="567"/>
        <w:rPr>
          <w:sz w:val="24"/>
        </w:rPr>
      </w:pPr>
      <w:r w:rsidRPr="00F620B7">
        <w:rPr>
          <w:sz w:val="24"/>
        </w:rPr>
        <w:t xml:space="preserve">Mediante la </w:t>
      </w:r>
      <w:r w:rsidRPr="00F620B7" w:rsidR="007755BD">
        <w:rPr>
          <w:sz w:val="24"/>
        </w:rPr>
        <w:t xml:space="preserve">cuenta analítica </w:t>
      </w:r>
      <w:r w:rsidRPr="00F620B7">
        <w:rPr>
          <w:i/>
          <w:iCs/>
          <w:sz w:val="24"/>
        </w:rPr>
        <w:t>“</w:t>
      </w:r>
      <w:r w:rsidRPr="00F620B7" w:rsidR="007755BD">
        <w:rPr>
          <w:i/>
          <w:iCs/>
          <w:sz w:val="24"/>
        </w:rPr>
        <w:t>123.14.1.01 Contraparte B.C.C.R. con o sin garantías</w:t>
      </w:r>
      <w:r w:rsidRPr="00F620B7">
        <w:rPr>
          <w:i/>
          <w:iCs/>
          <w:sz w:val="24"/>
        </w:rPr>
        <w:t>”</w:t>
      </w:r>
      <w:r w:rsidRPr="00F620B7" w:rsidR="007755BD">
        <w:rPr>
          <w:sz w:val="24"/>
        </w:rPr>
        <w:t xml:space="preserve"> de la subcuenta 123.14, </w:t>
      </w:r>
      <w:r w:rsidRPr="00F620B7">
        <w:rPr>
          <w:sz w:val="24"/>
        </w:rPr>
        <w:t xml:space="preserve">se identifica contablemente la información reportada </w:t>
      </w:r>
      <w:r w:rsidRPr="00F620B7" w:rsidR="00D60455">
        <w:rPr>
          <w:sz w:val="24"/>
        </w:rPr>
        <w:t>con</w:t>
      </w:r>
      <w:r w:rsidRPr="00F620B7">
        <w:rPr>
          <w:sz w:val="24"/>
        </w:rPr>
        <w:t xml:space="preserve"> </w:t>
      </w:r>
      <w:r w:rsidRPr="00F620B7" w:rsidR="007755BD">
        <w:rPr>
          <w:sz w:val="24"/>
        </w:rPr>
        <w:t>el dato adicional D20219</w:t>
      </w:r>
      <w:r w:rsidRPr="00F620B7" w:rsidR="00D60455">
        <w:rPr>
          <w:sz w:val="24"/>
        </w:rPr>
        <w:t xml:space="preserve">. Asimismo, mediante la subcuenta 123.12 se identifica la información reportada con </w:t>
      </w:r>
      <w:r w:rsidRPr="00F620B7" w:rsidR="007755BD">
        <w:rPr>
          <w:sz w:val="24"/>
        </w:rPr>
        <w:t>el dato adicional D20218</w:t>
      </w:r>
      <w:r w:rsidRPr="00F620B7" w:rsidR="00D60455">
        <w:rPr>
          <w:sz w:val="24"/>
        </w:rPr>
        <w:t xml:space="preserve">. Consecuentemente, se prescinde de dichos datos adicionales y se </w:t>
      </w:r>
      <w:r w:rsidRPr="00F620B7" w:rsidR="007755BD">
        <w:rPr>
          <w:sz w:val="24"/>
        </w:rPr>
        <w:t>sustitu</w:t>
      </w:r>
      <w:r w:rsidRPr="00F620B7" w:rsidR="00D60455">
        <w:rPr>
          <w:sz w:val="24"/>
        </w:rPr>
        <w:t xml:space="preserve">yen </w:t>
      </w:r>
      <w:r w:rsidRPr="00F620B7" w:rsidR="007755BD">
        <w:rPr>
          <w:sz w:val="24"/>
        </w:rPr>
        <w:t xml:space="preserve">por </w:t>
      </w:r>
      <w:r w:rsidRPr="00F620B7" w:rsidR="00D60455">
        <w:rPr>
          <w:sz w:val="24"/>
        </w:rPr>
        <w:t xml:space="preserve">las cuentas </w:t>
      </w:r>
      <w:r w:rsidRPr="00F620B7" w:rsidR="007755BD">
        <w:rPr>
          <w:sz w:val="24"/>
        </w:rPr>
        <w:t xml:space="preserve">analíticas y subcuentas, respectivamente, en la ponderación del 0% y 75% en el cálculo del riesgo de crédito que señala los </w:t>
      </w:r>
      <w:r w:rsidRPr="00F620B7" w:rsidR="007755BD">
        <w:rPr>
          <w:sz w:val="24"/>
          <w:lang w:val="es-CR"/>
        </w:rPr>
        <w:t>“</w:t>
      </w:r>
      <w:r w:rsidRPr="00F620B7" w:rsidR="007755BD">
        <w:rPr>
          <w:i/>
          <w:iCs/>
          <w:sz w:val="24"/>
          <w:lang w:val="es-CR"/>
        </w:rPr>
        <w:t>Lineamientos Generales para la Aplicación del Reglamento sobre la Suficiencia Patrimonial de Entidades Financieras, Acuerdo SUGEF 3-06</w:t>
      </w:r>
      <w:r w:rsidRPr="00F620B7" w:rsidR="007755BD">
        <w:rPr>
          <w:sz w:val="24"/>
          <w:lang w:val="es-CR"/>
        </w:rPr>
        <w:t>”</w:t>
      </w:r>
      <w:r w:rsidRPr="00F620B7" w:rsidR="007755BD">
        <w:rPr>
          <w:sz w:val="24"/>
        </w:rPr>
        <w:t xml:space="preserve">. De igual forma se sustituyen por </w:t>
      </w:r>
      <w:r w:rsidRPr="00F620B7" w:rsidR="00D60455">
        <w:rPr>
          <w:sz w:val="24"/>
        </w:rPr>
        <w:t xml:space="preserve">las mismas </w:t>
      </w:r>
      <w:r w:rsidRPr="00F620B7" w:rsidR="007755BD">
        <w:rPr>
          <w:sz w:val="24"/>
        </w:rPr>
        <w:t xml:space="preserve">cuentas y subcuentas los datos </w:t>
      </w:r>
      <w:r w:rsidRPr="00F620B7" w:rsidR="00D60455">
        <w:rPr>
          <w:sz w:val="24"/>
        </w:rPr>
        <w:t xml:space="preserve">adicionales </w:t>
      </w:r>
      <w:r w:rsidRPr="00F620B7" w:rsidR="007755BD">
        <w:rPr>
          <w:sz w:val="24"/>
        </w:rPr>
        <w:t>1918 y 1919 en lo que corresponda a información de Grupos Financieros.</w:t>
      </w:r>
    </w:p>
    <w:p w:rsidR="00F620B7" w:rsidP="00F620B7" w:rsidRDefault="00F620B7" w14:paraId="70171F31" w14:textId="42148221">
      <w:pPr>
        <w:spacing w:after="120" w:line="230" w:lineRule="auto"/>
        <w:ind w:left="567"/>
        <w:rPr>
          <w:sz w:val="24"/>
        </w:rPr>
      </w:pPr>
    </w:p>
    <w:p w:rsidR="00F620B7" w:rsidP="00F620B7" w:rsidRDefault="00F620B7" w14:paraId="27D0F20C" w14:textId="15E289D5">
      <w:pPr>
        <w:spacing w:after="120" w:line="230" w:lineRule="auto"/>
        <w:ind w:left="567"/>
        <w:rPr>
          <w:sz w:val="24"/>
        </w:rPr>
      </w:pPr>
    </w:p>
    <w:p w:rsidRPr="00F620B7" w:rsidR="00F620B7" w:rsidP="00F620B7" w:rsidRDefault="00F620B7" w14:paraId="2ECE7131" w14:textId="77777777">
      <w:pPr>
        <w:spacing w:after="120" w:line="230" w:lineRule="auto"/>
        <w:ind w:left="567"/>
        <w:rPr>
          <w:sz w:val="24"/>
        </w:rPr>
      </w:pPr>
    </w:p>
    <w:p w:rsidRPr="00F620B7" w:rsidR="00A201AE" w:rsidP="00A201AE" w:rsidRDefault="00A201AE" w14:paraId="78391CC5" w14:textId="77777777">
      <w:pPr>
        <w:spacing w:after="120" w:line="229" w:lineRule="auto"/>
        <w:ind w:hanging="10"/>
        <w:rPr>
          <w:b/>
          <w:sz w:val="24"/>
        </w:rPr>
      </w:pPr>
      <w:r w:rsidRPr="00F620B7">
        <w:rPr>
          <w:b/>
          <w:sz w:val="24"/>
        </w:rPr>
        <w:t xml:space="preserve">Dispone: </w:t>
      </w:r>
    </w:p>
    <w:p w:rsidRPr="00F620B7" w:rsidR="00A201AE" w:rsidP="00A201AE" w:rsidRDefault="00A201AE" w14:paraId="42119CCA" w14:textId="77777777">
      <w:pPr>
        <w:spacing w:line="240" w:lineRule="auto"/>
        <w:contextualSpacing/>
        <w:rPr>
          <w:sz w:val="24"/>
        </w:rPr>
      </w:pPr>
    </w:p>
    <w:p w:rsidRPr="00F620B7" w:rsidR="00A201AE" w:rsidP="00A201AE" w:rsidRDefault="00A201AE" w14:paraId="38B8C886" w14:textId="77777777">
      <w:pPr>
        <w:pStyle w:val="Prrafodelista"/>
        <w:numPr>
          <w:ilvl w:val="0"/>
          <w:numId w:val="5"/>
        </w:numPr>
        <w:spacing w:line="240" w:lineRule="auto"/>
        <w:rPr>
          <w:rFonts w:ascii="Cambria" w:hAnsi="Cambria"/>
          <w:b/>
          <w:bCs/>
          <w:color w:val="000000" w:themeColor="text1"/>
          <w:szCs w:val="24"/>
        </w:rPr>
      </w:pPr>
      <w:r w:rsidRPr="00F620B7">
        <w:rPr>
          <w:rFonts w:ascii="Cambria" w:hAnsi="Cambria"/>
          <w:b/>
          <w:bCs/>
          <w:color w:val="000000" w:themeColor="text1"/>
          <w:szCs w:val="24"/>
        </w:rPr>
        <w:t xml:space="preserve">Sustituir datos adicionales por cuentas contables en la </w:t>
      </w:r>
      <w:bookmarkStart w:name="_Hlk132118428" w:id="0"/>
      <w:r w:rsidRPr="00F620B7">
        <w:rPr>
          <w:rFonts w:ascii="Cambria" w:hAnsi="Cambria"/>
          <w:b/>
          <w:bCs/>
          <w:color w:val="000000" w:themeColor="text1"/>
          <w:szCs w:val="24"/>
          <w:lang w:val="es-CR"/>
        </w:rPr>
        <w:t>PONDERACIÓN EN RIESGO DE CRÉDITO</w:t>
      </w:r>
      <w:bookmarkEnd w:id="0"/>
      <w:r w:rsidRPr="00F620B7">
        <w:rPr>
          <w:rFonts w:ascii="Cambria" w:hAnsi="Cambria"/>
          <w:b/>
          <w:bCs/>
          <w:color w:val="000000" w:themeColor="text1"/>
          <w:szCs w:val="24"/>
          <w:lang w:val="es-CR"/>
        </w:rPr>
        <w:t xml:space="preserve"> de </w:t>
      </w:r>
      <w:r w:rsidRPr="00F620B7">
        <w:rPr>
          <w:rFonts w:ascii="Cambria" w:hAnsi="Cambria"/>
          <w:b/>
          <w:bCs/>
          <w:color w:val="000000" w:themeColor="text1"/>
          <w:szCs w:val="24"/>
        </w:rPr>
        <w:t xml:space="preserve">la sección </w:t>
      </w:r>
      <w:bookmarkStart w:name="_Hlk132118194" w:id="1"/>
      <w:r w:rsidRPr="00F620B7">
        <w:rPr>
          <w:rFonts w:ascii="Cambria" w:hAnsi="Cambria"/>
          <w:b/>
          <w:bCs/>
          <w:i/>
          <w:iCs/>
          <w:color w:val="000000" w:themeColor="text1"/>
          <w:szCs w:val="24"/>
          <w:lang w:val="es-CR"/>
        </w:rPr>
        <w:t>III. CUENTAS CONTABLES PARA EL CÁLCULO DE LA SUFICIENCIA PATRIMONIAL</w:t>
      </w:r>
      <w:r w:rsidRPr="00F620B7">
        <w:rPr>
          <w:rFonts w:ascii="Cambria" w:hAnsi="Cambria"/>
          <w:b/>
          <w:bCs/>
          <w:i/>
          <w:iCs/>
          <w:color w:val="000000" w:themeColor="text1"/>
          <w:szCs w:val="24"/>
        </w:rPr>
        <w:t xml:space="preserve"> de los </w:t>
      </w:r>
      <w:r w:rsidRPr="00F620B7">
        <w:rPr>
          <w:rFonts w:ascii="Cambria" w:hAnsi="Cambria"/>
          <w:b/>
          <w:bCs/>
          <w:i/>
          <w:iCs/>
          <w:color w:val="000000" w:themeColor="text1"/>
          <w:szCs w:val="24"/>
          <w:lang w:val="es-CR"/>
        </w:rPr>
        <w:t>“Lineamientos Generales para la Aplicación del Reglamento sobre la Suficiencia Patrimonial de Entidades Financieras, Acuerdo SUGEF 3-06”</w:t>
      </w:r>
      <w:bookmarkEnd w:id="1"/>
      <w:r w:rsidRPr="00F620B7">
        <w:rPr>
          <w:rFonts w:ascii="Cambria" w:hAnsi="Cambria"/>
          <w:b/>
          <w:bCs/>
          <w:i/>
          <w:iCs/>
          <w:color w:val="000000" w:themeColor="text1"/>
          <w:szCs w:val="24"/>
          <w:lang w:val="es-CR"/>
        </w:rPr>
        <w:t>, cuya vigencia termina el 31 de diciembre del 2024</w:t>
      </w:r>
      <w:r w:rsidRPr="00F620B7">
        <w:rPr>
          <w:rFonts w:ascii="Cambria" w:hAnsi="Cambria"/>
          <w:b/>
          <w:bCs/>
          <w:color w:val="000000" w:themeColor="text1"/>
          <w:szCs w:val="24"/>
        </w:rPr>
        <w:t>, de acuerdo con el siguiente texto:</w:t>
      </w:r>
    </w:p>
    <w:p w:rsidRPr="00F620B7" w:rsidR="00A201AE" w:rsidP="00A201AE" w:rsidRDefault="00A201AE" w14:paraId="23F1A009" w14:textId="77777777">
      <w:pPr>
        <w:spacing w:line="240" w:lineRule="auto"/>
        <w:ind w:left="494"/>
        <w:contextualSpacing/>
        <w:rPr>
          <w:i/>
          <w:iCs/>
          <w:color w:val="000000" w:themeColor="text1"/>
          <w:sz w:val="24"/>
        </w:rPr>
      </w:pPr>
    </w:p>
    <w:p w:rsidRPr="00F620B7" w:rsidR="00A201AE" w:rsidP="00A201AE" w:rsidRDefault="00A201AE" w14:paraId="07954D91" w14:textId="77777777">
      <w:pPr>
        <w:spacing w:line="240" w:lineRule="auto"/>
        <w:ind w:left="567"/>
        <w:rPr>
          <w:b/>
          <w:bCs/>
          <w:i/>
          <w:iCs/>
          <w:color w:val="000000" w:themeColor="text1"/>
          <w:sz w:val="24"/>
        </w:rPr>
      </w:pPr>
      <w:r w:rsidRPr="00F620B7">
        <w:rPr>
          <w:b/>
          <w:bCs/>
          <w:i/>
          <w:iCs/>
          <w:color w:val="000000" w:themeColor="text1"/>
          <w:sz w:val="24"/>
        </w:rPr>
        <w:t>“PONDERACIONES SEGÚN EL RIESGO DE CRÉDITO</w:t>
      </w:r>
    </w:p>
    <w:p w:rsidRPr="00F620B7" w:rsidR="00A201AE" w:rsidP="00A201AE" w:rsidRDefault="00A201AE" w14:paraId="05CD746B" w14:textId="77777777">
      <w:pPr>
        <w:spacing w:line="240" w:lineRule="auto"/>
        <w:ind w:left="567"/>
        <w:rPr>
          <w:i/>
          <w:iCs/>
          <w:color w:val="000000" w:themeColor="text1"/>
          <w:sz w:val="24"/>
        </w:rPr>
      </w:pPr>
    </w:p>
    <w:p w:rsidRPr="00F620B7" w:rsidR="00A201AE" w:rsidP="00A201AE" w:rsidRDefault="00A201AE" w14:paraId="35F7DDF3" w14:textId="77777777">
      <w:pPr>
        <w:spacing w:line="240" w:lineRule="auto"/>
        <w:ind w:left="567"/>
        <w:rPr>
          <w:i/>
          <w:iCs/>
          <w:color w:val="000000" w:themeColor="text1"/>
          <w:sz w:val="24"/>
        </w:rPr>
      </w:pPr>
      <w:r w:rsidRPr="00F620B7">
        <w:rPr>
          <w:i/>
          <w:iCs/>
          <w:color w:val="000000" w:themeColor="text1"/>
          <w:sz w:val="24"/>
        </w:rPr>
        <w:t>[…]</w:t>
      </w:r>
    </w:p>
    <w:p w:rsidRPr="00F620B7" w:rsidR="00A201AE" w:rsidP="00A201AE" w:rsidRDefault="00A201AE" w14:paraId="010A8C25" w14:textId="77777777">
      <w:pPr>
        <w:spacing w:line="240" w:lineRule="auto"/>
        <w:ind w:left="567"/>
        <w:rPr>
          <w:i/>
          <w:iCs/>
          <w:color w:val="000000" w:themeColor="text1"/>
          <w:sz w:val="24"/>
        </w:rPr>
      </w:pPr>
    </w:p>
    <w:tbl>
      <w:tblPr>
        <w:tblStyle w:val="TableGrid"/>
        <w:tblW w:w="9356" w:type="dxa"/>
        <w:tblInd w:w="-3" w:type="dxa"/>
        <w:tblCellMar>
          <w:top w:w="12" w:type="dxa"/>
          <w:left w:w="70" w:type="dxa"/>
          <w:right w:w="19" w:type="dxa"/>
        </w:tblCellMar>
        <w:tblLook w:val="04A0" w:firstRow="1" w:lastRow="0" w:firstColumn="1" w:lastColumn="0" w:noHBand="0" w:noVBand="1"/>
      </w:tblPr>
      <w:tblGrid>
        <w:gridCol w:w="9356"/>
      </w:tblGrid>
      <w:tr w:rsidRPr="00F620B7" w:rsidR="00A201AE" w:rsidTr="00FA61B5" w14:paraId="371B1EDA" w14:textId="77777777">
        <w:trPr>
          <w:trHeight w:val="557"/>
        </w:trPr>
        <w:tc>
          <w:tcPr>
            <w:tcW w:w="9356" w:type="dxa"/>
            <w:tcBorders>
              <w:top w:val="single" w:color="000000" w:sz="2" w:space="0"/>
              <w:left w:val="single" w:color="000000" w:sz="2" w:space="0"/>
              <w:bottom w:val="single" w:color="000000" w:sz="2" w:space="0"/>
              <w:right w:val="single" w:color="000000" w:sz="2" w:space="0"/>
            </w:tcBorders>
            <w:vAlign w:val="center"/>
          </w:tcPr>
          <w:p w:rsidRPr="00F620B7" w:rsidR="00A201AE" w:rsidP="00FA61B5" w:rsidRDefault="00A201AE" w14:paraId="0CAF2B41" w14:textId="77777777">
            <w:pPr>
              <w:ind w:left="567"/>
              <w:rPr>
                <w:i/>
                <w:iCs/>
                <w:color w:val="000000" w:themeColor="text1"/>
                <w:sz w:val="24"/>
              </w:rPr>
            </w:pPr>
            <w:r w:rsidRPr="00F620B7">
              <w:rPr>
                <w:b/>
                <w:i/>
                <w:iCs/>
                <w:color w:val="000000" w:themeColor="text1"/>
                <w:sz w:val="24"/>
              </w:rPr>
              <w:t xml:space="preserve">PONDERACIONES ÚNICAS </w:t>
            </w:r>
          </w:p>
        </w:tc>
      </w:tr>
      <w:tr w:rsidRPr="00F620B7" w:rsidR="00A201AE" w:rsidTr="00FA61B5" w14:paraId="6706E294" w14:textId="77777777">
        <w:trPr>
          <w:trHeight w:val="281"/>
        </w:trPr>
        <w:tc>
          <w:tcPr>
            <w:tcW w:w="9356" w:type="dxa"/>
            <w:tcBorders>
              <w:top w:val="single" w:color="000000" w:sz="2" w:space="0"/>
              <w:left w:val="single" w:color="000000" w:sz="2" w:space="0"/>
              <w:bottom w:val="single" w:color="000000" w:sz="2" w:space="0"/>
              <w:right w:val="single" w:color="000000" w:sz="2" w:space="0"/>
            </w:tcBorders>
          </w:tcPr>
          <w:p w:rsidRPr="00F620B7" w:rsidR="00A201AE" w:rsidP="00FA61B5" w:rsidRDefault="00A201AE" w14:paraId="267B660E" w14:textId="77777777">
            <w:pPr>
              <w:ind w:left="567"/>
              <w:rPr>
                <w:i/>
                <w:iCs/>
                <w:color w:val="000000" w:themeColor="text1"/>
                <w:sz w:val="24"/>
              </w:rPr>
            </w:pPr>
            <w:r w:rsidRPr="00F620B7">
              <w:rPr>
                <w:b/>
                <w:i/>
                <w:iCs/>
                <w:color w:val="000000" w:themeColor="text1"/>
                <w:sz w:val="24"/>
              </w:rPr>
              <w:t xml:space="preserve">Ponderador de 0%  </w:t>
            </w:r>
          </w:p>
        </w:tc>
      </w:tr>
    </w:tbl>
    <w:p w:rsidRPr="00F620B7" w:rsidR="00A201AE" w:rsidP="00A201AE" w:rsidRDefault="00A201AE" w14:paraId="0E2F2A26" w14:textId="77777777">
      <w:pPr>
        <w:ind w:left="567"/>
        <w:rPr>
          <w:i/>
          <w:iCs/>
          <w:color w:val="000000" w:themeColor="text1"/>
          <w:sz w:val="24"/>
        </w:rPr>
      </w:pPr>
    </w:p>
    <w:p w:rsidRPr="00F620B7" w:rsidR="00A201AE" w:rsidP="00A201AE" w:rsidRDefault="00A201AE" w14:paraId="4270BA3D" w14:textId="77777777">
      <w:pPr>
        <w:ind w:left="567"/>
        <w:rPr>
          <w:i/>
          <w:iCs/>
          <w:color w:val="000000" w:themeColor="text1"/>
          <w:sz w:val="24"/>
        </w:rPr>
      </w:pPr>
      <w:r w:rsidRPr="00F620B7">
        <w:rPr>
          <w:i/>
          <w:iCs/>
          <w:color w:val="000000" w:themeColor="text1"/>
          <w:sz w:val="24"/>
        </w:rPr>
        <w:t>[…]</w:t>
      </w:r>
    </w:p>
    <w:p w:rsidRPr="00F620B7" w:rsidR="00A201AE" w:rsidP="00A201AE" w:rsidRDefault="00A201AE" w14:paraId="79A5861B" w14:textId="77777777">
      <w:pPr>
        <w:ind w:left="567"/>
        <w:rPr>
          <w:i/>
          <w:iCs/>
          <w:color w:val="000000" w:themeColor="text1"/>
          <w:sz w:val="24"/>
        </w:rPr>
      </w:pPr>
    </w:p>
    <w:tbl>
      <w:tblPr>
        <w:tblStyle w:val="TableGrid"/>
        <w:tblW w:w="9498" w:type="dxa"/>
        <w:tblInd w:w="-147" w:type="dxa"/>
        <w:tblCellMar>
          <w:top w:w="8" w:type="dxa"/>
          <w:left w:w="69" w:type="dxa"/>
          <w:right w:w="10" w:type="dxa"/>
        </w:tblCellMar>
        <w:tblLook w:val="04A0" w:firstRow="1" w:lastRow="0" w:firstColumn="1" w:lastColumn="0" w:noHBand="0" w:noVBand="1"/>
      </w:tblPr>
      <w:tblGrid>
        <w:gridCol w:w="2977"/>
        <w:gridCol w:w="3261"/>
        <w:gridCol w:w="1417"/>
        <w:gridCol w:w="1843"/>
      </w:tblGrid>
      <w:tr w:rsidRPr="00F620B7" w:rsidR="00A201AE" w:rsidTr="00FA61B5" w14:paraId="788CB298" w14:textId="77777777">
        <w:trPr>
          <w:trHeight w:val="547"/>
        </w:trPr>
        <w:tc>
          <w:tcPr>
            <w:tcW w:w="2977" w:type="dxa"/>
            <w:tcBorders>
              <w:top w:val="single" w:color="auto" w:sz="4" w:space="0"/>
              <w:left w:val="single" w:color="auto" w:sz="4" w:space="0"/>
              <w:bottom w:val="single" w:color="auto" w:sz="4" w:space="0"/>
              <w:right w:val="single" w:color="auto" w:sz="4" w:space="0"/>
            </w:tcBorders>
          </w:tcPr>
          <w:p w:rsidRPr="00F620B7" w:rsidR="00A201AE" w:rsidP="00FA61B5" w:rsidRDefault="00A201AE" w14:paraId="5E16B2BE" w14:textId="77777777">
            <w:pPr>
              <w:spacing w:line="256" w:lineRule="auto"/>
              <w:ind w:left="567"/>
              <w:rPr>
                <w:i/>
                <w:iCs/>
                <w:color w:val="000000" w:themeColor="text1"/>
                <w:sz w:val="24"/>
              </w:rPr>
            </w:pPr>
            <w:r w:rsidRPr="00F620B7">
              <w:rPr>
                <w:i/>
                <w:iCs/>
                <w:color w:val="000000" w:themeColor="text1"/>
                <w:sz w:val="24"/>
              </w:rPr>
              <w:t xml:space="preserve">C(122.14.1.01 + </w:t>
            </w:r>
          </w:p>
          <w:p w:rsidRPr="00F620B7" w:rsidR="00A201AE" w:rsidP="00FA61B5" w:rsidRDefault="00A201AE" w14:paraId="27D40375" w14:textId="77777777">
            <w:pPr>
              <w:ind w:left="567"/>
              <w:rPr>
                <w:i/>
                <w:iCs/>
                <w:color w:val="000000" w:themeColor="text1"/>
                <w:sz w:val="24"/>
              </w:rPr>
            </w:pPr>
            <w:r w:rsidRPr="00F620B7">
              <w:rPr>
                <w:i/>
                <w:iCs/>
                <w:color w:val="000000" w:themeColor="text1"/>
                <w:sz w:val="24"/>
              </w:rPr>
              <w:t>123.14.1.01)</w:t>
            </w:r>
          </w:p>
        </w:tc>
        <w:tc>
          <w:tcPr>
            <w:tcW w:w="3261" w:type="dxa"/>
            <w:tcBorders>
              <w:top w:val="single" w:color="auto" w:sz="4" w:space="0"/>
              <w:left w:val="single" w:color="auto" w:sz="4" w:space="0"/>
              <w:bottom w:val="single" w:color="auto" w:sz="4" w:space="0"/>
              <w:right w:val="single" w:color="auto" w:sz="4" w:space="0"/>
            </w:tcBorders>
          </w:tcPr>
          <w:p w:rsidRPr="00F620B7" w:rsidR="00A201AE" w:rsidP="00FA61B5" w:rsidRDefault="00A201AE" w14:paraId="0B957094" w14:textId="77777777">
            <w:pPr>
              <w:ind w:left="567"/>
              <w:rPr>
                <w:i/>
                <w:iCs/>
                <w:color w:val="000000" w:themeColor="text1"/>
                <w:sz w:val="24"/>
              </w:rPr>
            </w:pPr>
            <w:r w:rsidRPr="00F620B7">
              <w:rPr>
                <w:i/>
                <w:iCs/>
                <w:color w:val="000000" w:themeColor="text1"/>
                <w:sz w:val="24"/>
              </w:rPr>
              <w:t xml:space="preserve">Contraparte B.C.C.R.  </w:t>
            </w:r>
          </w:p>
        </w:tc>
        <w:tc>
          <w:tcPr>
            <w:tcW w:w="1417" w:type="dxa"/>
            <w:tcBorders>
              <w:top w:val="single" w:color="auto" w:sz="4" w:space="0"/>
              <w:bottom w:val="single" w:color="auto" w:sz="4" w:space="0"/>
              <w:right w:val="single" w:color="auto" w:sz="4" w:space="0"/>
            </w:tcBorders>
          </w:tcPr>
          <w:p w:rsidRPr="00F620B7" w:rsidR="00A201AE" w:rsidP="00FA61B5" w:rsidRDefault="00A201AE" w14:paraId="7F0CA5C5" w14:textId="77777777">
            <w:pPr>
              <w:spacing w:after="160" w:line="259" w:lineRule="auto"/>
              <w:ind w:left="567"/>
              <w:jc w:val="left"/>
              <w:rPr>
                <w:i/>
                <w:iCs/>
                <w:color w:val="000000" w:themeColor="text1"/>
                <w:sz w:val="24"/>
              </w:rPr>
            </w:pPr>
            <w:r w:rsidRPr="00F620B7">
              <w:rPr>
                <w:i/>
                <w:iCs/>
                <w:color w:val="000000" w:themeColor="text1"/>
                <w:sz w:val="24"/>
              </w:rPr>
              <w:t xml:space="preserve"> </w:t>
            </w:r>
          </w:p>
        </w:tc>
        <w:tc>
          <w:tcPr>
            <w:tcW w:w="1843" w:type="dxa"/>
            <w:tcBorders>
              <w:top w:val="single" w:color="auto" w:sz="4" w:space="0"/>
              <w:left w:val="single" w:color="auto" w:sz="4" w:space="0"/>
              <w:bottom w:val="single" w:color="auto" w:sz="4" w:space="0"/>
              <w:right w:val="single" w:color="auto" w:sz="4" w:space="0"/>
            </w:tcBorders>
          </w:tcPr>
          <w:p w:rsidRPr="00F620B7" w:rsidR="00A201AE" w:rsidP="00FA61B5" w:rsidRDefault="00A201AE" w14:paraId="234065C3" w14:textId="77777777">
            <w:pPr>
              <w:spacing w:after="160" w:line="259" w:lineRule="auto"/>
              <w:ind w:left="567"/>
              <w:jc w:val="left"/>
              <w:rPr>
                <w:i/>
                <w:iCs/>
                <w:color w:val="000000" w:themeColor="text1"/>
                <w:sz w:val="24"/>
              </w:rPr>
            </w:pPr>
            <w:r w:rsidRPr="00F620B7">
              <w:rPr>
                <w:i/>
                <w:iCs/>
                <w:color w:val="000000" w:themeColor="text1"/>
                <w:sz w:val="24"/>
              </w:rPr>
              <w:t xml:space="preserve">Artículo 12 (e) </w:t>
            </w:r>
          </w:p>
        </w:tc>
      </w:tr>
    </w:tbl>
    <w:p w:rsidRPr="00F620B7" w:rsidR="00A201AE" w:rsidP="00A201AE" w:rsidRDefault="00A201AE" w14:paraId="48AC595E" w14:textId="77777777">
      <w:pPr>
        <w:spacing w:line="240" w:lineRule="auto"/>
        <w:ind w:left="567"/>
        <w:rPr>
          <w:i/>
          <w:iCs/>
          <w:color w:val="000000" w:themeColor="text1"/>
          <w:sz w:val="24"/>
        </w:rPr>
      </w:pPr>
    </w:p>
    <w:p w:rsidRPr="00F620B7" w:rsidR="00A201AE" w:rsidP="00A201AE" w:rsidRDefault="00A201AE" w14:paraId="16ED5793" w14:textId="77777777">
      <w:pPr>
        <w:spacing w:line="240" w:lineRule="auto"/>
        <w:ind w:left="567"/>
        <w:rPr>
          <w:i/>
          <w:iCs/>
          <w:color w:val="000000" w:themeColor="text1"/>
          <w:sz w:val="24"/>
        </w:rPr>
      </w:pPr>
      <w:r w:rsidRPr="00F620B7">
        <w:rPr>
          <w:i/>
          <w:iCs/>
          <w:color w:val="000000" w:themeColor="text1"/>
          <w:sz w:val="24"/>
        </w:rPr>
        <w:t>[…]</w:t>
      </w:r>
    </w:p>
    <w:p w:rsidRPr="00F620B7" w:rsidR="00A201AE" w:rsidP="00A201AE" w:rsidRDefault="00A201AE" w14:paraId="2A454F83" w14:textId="77777777">
      <w:pPr>
        <w:spacing w:line="240" w:lineRule="auto"/>
        <w:ind w:left="567"/>
        <w:rPr>
          <w:i/>
          <w:iCs/>
          <w:color w:val="000000" w:themeColor="text1"/>
          <w:sz w:val="24"/>
        </w:rPr>
      </w:pPr>
    </w:p>
    <w:tbl>
      <w:tblPr>
        <w:tblStyle w:val="TableGrid"/>
        <w:tblW w:w="9498" w:type="dxa"/>
        <w:tblInd w:w="-145" w:type="dxa"/>
        <w:tblCellMar>
          <w:top w:w="8" w:type="dxa"/>
          <w:left w:w="69" w:type="dxa"/>
          <w:right w:w="10" w:type="dxa"/>
        </w:tblCellMar>
        <w:tblLook w:val="04A0" w:firstRow="1" w:lastRow="0" w:firstColumn="1" w:lastColumn="0" w:noHBand="0" w:noVBand="1"/>
      </w:tblPr>
      <w:tblGrid>
        <w:gridCol w:w="9498"/>
      </w:tblGrid>
      <w:tr w:rsidRPr="00F620B7" w:rsidR="00A201AE" w:rsidTr="00FA61B5" w14:paraId="1129EED5" w14:textId="77777777">
        <w:trPr>
          <w:trHeight w:val="283"/>
        </w:trPr>
        <w:tc>
          <w:tcPr>
            <w:tcW w:w="9498" w:type="dxa"/>
            <w:tcBorders>
              <w:top w:val="single" w:color="000000" w:sz="2" w:space="0"/>
              <w:left w:val="single" w:color="000000" w:sz="2" w:space="0"/>
              <w:bottom w:val="single" w:color="000000" w:sz="2" w:space="0"/>
              <w:right w:val="single" w:color="000000" w:sz="2" w:space="0"/>
            </w:tcBorders>
          </w:tcPr>
          <w:p w:rsidRPr="00F620B7" w:rsidR="00A201AE" w:rsidP="00FA61B5" w:rsidRDefault="00A201AE" w14:paraId="40081567" w14:textId="77777777">
            <w:pPr>
              <w:keepNext/>
              <w:spacing w:line="259" w:lineRule="auto"/>
              <w:ind w:left="567"/>
              <w:jc w:val="left"/>
              <w:rPr>
                <w:i/>
                <w:iCs/>
                <w:color w:val="000000" w:themeColor="text1"/>
                <w:sz w:val="24"/>
              </w:rPr>
            </w:pPr>
            <w:r w:rsidRPr="00F620B7">
              <w:rPr>
                <w:b/>
                <w:i/>
                <w:iCs/>
                <w:color w:val="000000" w:themeColor="text1"/>
                <w:sz w:val="24"/>
              </w:rPr>
              <w:t>Ponderador de 75%</w:t>
            </w:r>
            <w:r w:rsidRPr="00F620B7">
              <w:rPr>
                <w:i/>
                <w:iCs/>
                <w:color w:val="000000" w:themeColor="text1"/>
                <w:sz w:val="24"/>
              </w:rPr>
              <w:t xml:space="preserve"> </w:t>
            </w:r>
          </w:p>
        </w:tc>
      </w:tr>
    </w:tbl>
    <w:tbl>
      <w:tblPr>
        <w:tblStyle w:val="TableGrid1"/>
        <w:tblW w:w="9498" w:type="dxa"/>
        <w:tblInd w:w="-147" w:type="dxa"/>
        <w:tblCellMar>
          <w:top w:w="8" w:type="dxa"/>
          <w:left w:w="69" w:type="dxa"/>
          <w:right w:w="10" w:type="dxa"/>
        </w:tblCellMar>
        <w:tblLook w:val="04A0" w:firstRow="1" w:lastRow="0" w:firstColumn="1" w:lastColumn="0" w:noHBand="0" w:noVBand="1"/>
      </w:tblPr>
      <w:tblGrid>
        <w:gridCol w:w="2911"/>
        <w:gridCol w:w="3327"/>
        <w:gridCol w:w="1417"/>
        <w:gridCol w:w="1843"/>
      </w:tblGrid>
      <w:tr w:rsidRPr="00F620B7" w:rsidR="00A201AE" w:rsidTr="00FA61B5" w14:paraId="077C521E" w14:textId="77777777">
        <w:trPr>
          <w:trHeight w:val="1385"/>
        </w:trPr>
        <w:tc>
          <w:tcPr>
            <w:tcW w:w="2911" w:type="dxa"/>
            <w:tcBorders>
              <w:top w:val="single" w:color="auto" w:sz="4" w:space="0"/>
              <w:left w:val="single" w:color="auto" w:sz="4" w:space="0"/>
              <w:bottom w:val="single" w:color="auto" w:sz="4" w:space="0"/>
              <w:right w:val="single" w:color="auto" w:sz="4" w:space="0"/>
            </w:tcBorders>
          </w:tcPr>
          <w:p w:rsidRPr="00F620B7" w:rsidR="00A201AE" w:rsidP="00FA61B5" w:rsidRDefault="00A201AE" w14:paraId="10BC0FC3" w14:textId="77777777">
            <w:pPr>
              <w:keepNext/>
              <w:spacing w:line="259" w:lineRule="auto"/>
              <w:ind w:left="567"/>
              <w:rPr>
                <w:i/>
                <w:iCs/>
                <w:color w:val="000000" w:themeColor="text1"/>
                <w:sz w:val="24"/>
              </w:rPr>
            </w:pPr>
            <w:r w:rsidRPr="00F620B7">
              <w:rPr>
                <w:i/>
                <w:iCs/>
                <w:color w:val="000000" w:themeColor="text1"/>
                <w:sz w:val="24"/>
              </w:rPr>
              <w:t>C(122.12 + (122.14 + 123.14</w:t>
            </w:r>
          </w:p>
          <w:p w:rsidRPr="00F620B7" w:rsidR="00A201AE" w:rsidP="00FA61B5" w:rsidRDefault="00A201AE" w14:paraId="19B57007" w14:textId="77777777">
            <w:pPr>
              <w:keepNext/>
              <w:spacing w:line="259" w:lineRule="auto"/>
              <w:ind w:left="567"/>
              <w:rPr>
                <w:i/>
                <w:iCs/>
                <w:color w:val="000000" w:themeColor="text1"/>
                <w:sz w:val="24"/>
              </w:rPr>
            </w:pPr>
            <w:r w:rsidRPr="00F620B7">
              <w:rPr>
                <w:i/>
                <w:iCs/>
                <w:color w:val="000000" w:themeColor="text1"/>
                <w:sz w:val="24"/>
              </w:rPr>
              <w:t>– (122.14.1.01 + 123.14.1.01)) + 123.12 + 125.04)</w:t>
            </w:r>
          </w:p>
        </w:tc>
        <w:tc>
          <w:tcPr>
            <w:tcW w:w="3327" w:type="dxa"/>
            <w:tcBorders>
              <w:top w:val="single" w:color="auto" w:sz="4" w:space="0"/>
              <w:left w:val="single" w:color="auto" w:sz="4" w:space="0"/>
              <w:bottom w:val="single" w:color="auto" w:sz="4" w:space="0"/>
              <w:right w:val="single" w:color="auto" w:sz="4" w:space="0"/>
            </w:tcBorders>
            <w:vAlign w:val="center"/>
          </w:tcPr>
          <w:p w:rsidRPr="00F620B7" w:rsidR="00A201AE" w:rsidP="00FA61B5" w:rsidRDefault="00A201AE" w14:paraId="60977B42" w14:textId="77777777">
            <w:pPr>
              <w:keepNext/>
              <w:ind w:left="567"/>
              <w:rPr>
                <w:i/>
                <w:iCs/>
                <w:color w:val="000000" w:themeColor="text1"/>
                <w:sz w:val="24"/>
              </w:rPr>
            </w:pPr>
            <w:r w:rsidRPr="00F620B7">
              <w:rPr>
                <w:i/>
                <w:iCs/>
                <w:color w:val="000000" w:themeColor="text1"/>
                <w:sz w:val="24"/>
              </w:rPr>
              <w:t>Inversiones en reportos y reportos tripartitos y operaciones diferidas de liquidez cuando la contraparte no es el BCCR.</w:t>
            </w:r>
          </w:p>
        </w:tc>
        <w:tc>
          <w:tcPr>
            <w:tcW w:w="1417" w:type="dxa"/>
            <w:tcBorders>
              <w:top w:val="single" w:color="auto" w:sz="4" w:space="0"/>
              <w:bottom w:val="single" w:color="auto" w:sz="4" w:space="0"/>
              <w:right w:val="single" w:color="auto" w:sz="4" w:space="0"/>
            </w:tcBorders>
          </w:tcPr>
          <w:p w:rsidRPr="00F620B7" w:rsidR="00A201AE" w:rsidP="00FA61B5" w:rsidRDefault="00A201AE" w14:paraId="2E606E17" w14:textId="77777777">
            <w:pPr>
              <w:keepNext/>
              <w:spacing w:after="160" w:line="259" w:lineRule="auto"/>
              <w:ind w:left="567"/>
              <w:jc w:val="left"/>
              <w:rPr>
                <w:i/>
                <w:iCs/>
                <w:color w:val="000000" w:themeColor="text1"/>
                <w:sz w:val="24"/>
              </w:rPr>
            </w:pPr>
            <w:r w:rsidRPr="00F620B7">
              <w:rPr>
                <w:i/>
                <w:iCs/>
                <w:color w:val="000000" w:themeColor="text1"/>
                <w:sz w:val="24"/>
              </w:rPr>
              <w:t xml:space="preserve"> </w:t>
            </w:r>
          </w:p>
        </w:tc>
        <w:tc>
          <w:tcPr>
            <w:tcW w:w="1843" w:type="dxa"/>
            <w:tcBorders>
              <w:top w:val="single" w:color="auto" w:sz="4" w:space="0"/>
              <w:left w:val="single" w:color="auto" w:sz="4" w:space="0"/>
              <w:bottom w:val="single" w:color="auto" w:sz="4" w:space="0"/>
              <w:right w:val="single" w:color="auto" w:sz="4" w:space="0"/>
            </w:tcBorders>
          </w:tcPr>
          <w:p w:rsidRPr="00F620B7" w:rsidR="00A201AE" w:rsidP="00FA61B5" w:rsidRDefault="00A201AE" w14:paraId="446C3D66" w14:textId="77777777">
            <w:pPr>
              <w:keepNext/>
              <w:spacing w:after="160" w:line="259" w:lineRule="auto"/>
              <w:ind w:left="567"/>
              <w:jc w:val="left"/>
              <w:rPr>
                <w:i/>
                <w:iCs/>
                <w:color w:val="000000" w:themeColor="text1"/>
                <w:sz w:val="24"/>
              </w:rPr>
            </w:pPr>
            <w:r w:rsidRPr="00F620B7">
              <w:rPr>
                <w:i/>
                <w:iCs/>
                <w:color w:val="000000" w:themeColor="text1"/>
                <w:sz w:val="24"/>
              </w:rPr>
              <w:t xml:space="preserve">Artículo 16 (b) </w:t>
            </w:r>
          </w:p>
        </w:tc>
      </w:tr>
    </w:tbl>
    <w:p w:rsidRPr="00F620B7" w:rsidR="00A201AE" w:rsidP="00A201AE" w:rsidRDefault="00A201AE" w14:paraId="4766F721" w14:textId="77777777">
      <w:pPr>
        <w:spacing w:line="240" w:lineRule="auto"/>
        <w:ind w:left="567"/>
        <w:rPr>
          <w:i/>
          <w:iCs/>
          <w:color w:val="000000" w:themeColor="text1"/>
          <w:sz w:val="24"/>
        </w:rPr>
      </w:pPr>
    </w:p>
    <w:p w:rsidRPr="00F620B7" w:rsidR="00A201AE" w:rsidP="00A201AE" w:rsidRDefault="00A201AE" w14:paraId="54238999" w14:textId="77777777">
      <w:pPr>
        <w:spacing w:line="240" w:lineRule="auto"/>
        <w:ind w:left="567"/>
        <w:rPr>
          <w:i/>
          <w:iCs/>
          <w:color w:val="000000" w:themeColor="text1"/>
          <w:sz w:val="24"/>
        </w:rPr>
      </w:pPr>
      <w:r w:rsidRPr="00F620B7">
        <w:rPr>
          <w:i/>
          <w:iCs/>
          <w:color w:val="000000" w:themeColor="text1"/>
          <w:sz w:val="24"/>
        </w:rPr>
        <w:t>[…]</w:t>
      </w:r>
    </w:p>
    <w:p w:rsidRPr="00F620B7" w:rsidR="00A201AE" w:rsidP="00A201AE" w:rsidRDefault="00A201AE" w14:paraId="72629FE6" w14:textId="77777777">
      <w:pPr>
        <w:spacing w:line="240" w:lineRule="auto"/>
        <w:rPr>
          <w:i/>
          <w:iCs/>
          <w:color w:val="000000" w:themeColor="text1"/>
          <w:sz w:val="24"/>
        </w:rPr>
      </w:pPr>
    </w:p>
    <w:p w:rsidRPr="00F620B7" w:rsidR="00A201AE" w:rsidP="00A201AE" w:rsidRDefault="00A201AE" w14:paraId="46F81565" w14:textId="77777777">
      <w:pPr>
        <w:spacing w:line="240" w:lineRule="auto"/>
        <w:ind w:left="134"/>
        <w:rPr>
          <w:b/>
          <w:bCs/>
          <w:color w:val="000000" w:themeColor="text1"/>
          <w:sz w:val="24"/>
        </w:rPr>
      </w:pPr>
      <w:r w:rsidRPr="00F620B7">
        <w:rPr>
          <w:b/>
          <w:bCs/>
          <w:color w:val="000000" w:themeColor="text1"/>
          <w:sz w:val="24"/>
        </w:rPr>
        <w:t>Vigencia</w:t>
      </w:r>
    </w:p>
    <w:p w:rsidR="00A201AE" w:rsidP="00A201AE" w:rsidRDefault="00A201AE" w14:paraId="36598E2C" w14:textId="40D94336">
      <w:pPr>
        <w:spacing w:before="240" w:after="240"/>
        <w:ind w:left="426"/>
        <w:rPr>
          <w:color w:val="000000" w:themeColor="text1"/>
          <w:sz w:val="24"/>
        </w:rPr>
      </w:pPr>
      <w:r w:rsidRPr="00F620B7">
        <w:rPr>
          <w:color w:val="000000" w:themeColor="text1"/>
          <w:sz w:val="24"/>
        </w:rPr>
        <w:t>Rige a partir de su comunicación.</w:t>
      </w:r>
    </w:p>
    <w:p w:rsidRPr="00F620B7" w:rsidR="00F620B7" w:rsidP="00A201AE" w:rsidRDefault="00F620B7" w14:paraId="69F4435C" w14:textId="77777777">
      <w:pPr>
        <w:spacing w:before="240" w:after="240"/>
        <w:ind w:left="426"/>
        <w:rPr>
          <w:color w:val="000000" w:themeColor="text1"/>
          <w:sz w:val="24"/>
        </w:rPr>
      </w:pPr>
    </w:p>
    <w:p w:rsidRPr="00F620B7" w:rsidR="00A201AE" w:rsidP="00A201AE" w:rsidRDefault="00A201AE" w14:paraId="24AFF698" w14:textId="77777777">
      <w:pPr>
        <w:pStyle w:val="Prrafodelista"/>
        <w:numPr>
          <w:ilvl w:val="0"/>
          <w:numId w:val="5"/>
        </w:numPr>
        <w:spacing w:line="240" w:lineRule="auto"/>
        <w:rPr>
          <w:rFonts w:ascii="Cambria" w:hAnsi="Cambria"/>
          <w:b/>
          <w:bCs/>
          <w:color w:val="000000" w:themeColor="text1"/>
          <w:szCs w:val="24"/>
        </w:rPr>
      </w:pPr>
      <w:r w:rsidRPr="00F620B7">
        <w:rPr>
          <w:rFonts w:ascii="Cambria" w:hAnsi="Cambria"/>
          <w:b/>
          <w:bCs/>
          <w:color w:val="000000" w:themeColor="text1"/>
          <w:szCs w:val="24"/>
        </w:rPr>
        <w:lastRenderedPageBreak/>
        <w:t xml:space="preserve">Sustituir datos adicionales por cuentas contables en la </w:t>
      </w:r>
      <w:r w:rsidRPr="00F620B7">
        <w:rPr>
          <w:rFonts w:ascii="Cambria" w:hAnsi="Cambria"/>
          <w:b/>
          <w:bCs/>
          <w:color w:val="000000" w:themeColor="text1"/>
          <w:szCs w:val="24"/>
          <w:lang w:val="es-CR"/>
        </w:rPr>
        <w:t xml:space="preserve">PONDERACIÓN EN RIESGO DE CRÉDITO de </w:t>
      </w:r>
      <w:r w:rsidRPr="00F620B7">
        <w:rPr>
          <w:rFonts w:ascii="Cambria" w:hAnsi="Cambria"/>
          <w:b/>
          <w:bCs/>
          <w:color w:val="000000" w:themeColor="text1"/>
          <w:szCs w:val="24"/>
        </w:rPr>
        <w:t xml:space="preserve">la sección </w:t>
      </w:r>
      <w:r w:rsidRPr="00F620B7">
        <w:rPr>
          <w:rFonts w:ascii="Cambria" w:hAnsi="Cambria"/>
          <w:b/>
          <w:bCs/>
          <w:i/>
          <w:iCs/>
          <w:color w:val="000000" w:themeColor="text1"/>
          <w:szCs w:val="24"/>
          <w:lang w:val="es-CR"/>
        </w:rPr>
        <w:t>III. CUENTAS CONTABLES PARA EL CÁLCULO DE LA SUFICIENCIA PATRIMONIAL</w:t>
      </w:r>
      <w:r w:rsidRPr="00F620B7">
        <w:rPr>
          <w:rFonts w:ascii="Cambria" w:hAnsi="Cambria"/>
          <w:b/>
          <w:bCs/>
          <w:i/>
          <w:iCs/>
          <w:color w:val="000000" w:themeColor="text1"/>
          <w:szCs w:val="24"/>
        </w:rPr>
        <w:t xml:space="preserve"> de los </w:t>
      </w:r>
      <w:r w:rsidRPr="00F620B7">
        <w:rPr>
          <w:rFonts w:ascii="Cambria" w:hAnsi="Cambria"/>
          <w:b/>
          <w:bCs/>
          <w:i/>
          <w:iCs/>
          <w:color w:val="000000" w:themeColor="text1"/>
          <w:szCs w:val="24"/>
          <w:lang w:val="es-CR"/>
        </w:rPr>
        <w:t>“Lineamientos Generales para la Aplicación del Reglamento sobre la Suficiencia Patrimonial de Entidades Financieras, Acuerdo SUGEF 3-06”, cuya modificación rige a partir del 1 de enero del 2025</w:t>
      </w:r>
      <w:r w:rsidRPr="00F620B7">
        <w:rPr>
          <w:rFonts w:ascii="Cambria" w:hAnsi="Cambria"/>
          <w:b/>
          <w:bCs/>
          <w:color w:val="000000" w:themeColor="text1"/>
          <w:szCs w:val="24"/>
        </w:rPr>
        <w:t>, de acuerdo con el siguiente texto:</w:t>
      </w:r>
    </w:p>
    <w:p w:rsidRPr="00F620B7" w:rsidR="00A201AE" w:rsidP="00A201AE" w:rsidRDefault="00A201AE" w14:paraId="0D93D913" w14:textId="77777777">
      <w:pPr>
        <w:spacing w:line="240" w:lineRule="auto"/>
        <w:ind w:left="494"/>
        <w:contextualSpacing/>
        <w:rPr>
          <w:i/>
          <w:iCs/>
          <w:color w:val="000000" w:themeColor="text1"/>
          <w:sz w:val="24"/>
        </w:rPr>
      </w:pPr>
    </w:p>
    <w:p w:rsidRPr="00F620B7" w:rsidR="00A201AE" w:rsidP="00A201AE" w:rsidRDefault="00A201AE" w14:paraId="7BFB55B0" w14:textId="77777777">
      <w:pPr>
        <w:spacing w:line="240" w:lineRule="auto"/>
        <w:ind w:left="567"/>
        <w:rPr>
          <w:b/>
          <w:bCs/>
          <w:i/>
          <w:iCs/>
          <w:color w:val="000000" w:themeColor="text1"/>
          <w:sz w:val="24"/>
        </w:rPr>
      </w:pPr>
      <w:r w:rsidRPr="00F620B7">
        <w:rPr>
          <w:b/>
          <w:bCs/>
          <w:i/>
          <w:iCs/>
          <w:color w:val="000000" w:themeColor="text1"/>
          <w:sz w:val="24"/>
        </w:rPr>
        <w:t>“PONDERACIONES SEGÚN EL RIESGO DE CRÉDITO</w:t>
      </w:r>
    </w:p>
    <w:p w:rsidRPr="00F620B7" w:rsidR="00A201AE" w:rsidP="00A201AE" w:rsidRDefault="00A201AE" w14:paraId="74132C15" w14:textId="77777777">
      <w:pPr>
        <w:spacing w:line="240" w:lineRule="auto"/>
        <w:ind w:left="567"/>
        <w:rPr>
          <w:i/>
          <w:iCs/>
          <w:color w:val="000000" w:themeColor="text1"/>
          <w:sz w:val="24"/>
        </w:rPr>
      </w:pPr>
    </w:p>
    <w:p w:rsidRPr="00F620B7" w:rsidR="00A201AE" w:rsidP="00A201AE" w:rsidRDefault="00A201AE" w14:paraId="1E8F183E" w14:textId="77777777">
      <w:pPr>
        <w:spacing w:line="240" w:lineRule="auto"/>
        <w:ind w:left="567"/>
        <w:rPr>
          <w:i/>
          <w:iCs/>
          <w:color w:val="000000" w:themeColor="text1"/>
          <w:sz w:val="24"/>
        </w:rPr>
      </w:pPr>
      <w:r w:rsidRPr="00F620B7">
        <w:rPr>
          <w:i/>
          <w:iCs/>
          <w:color w:val="000000" w:themeColor="text1"/>
          <w:sz w:val="24"/>
        </w:rPr>
        <w:t>[…]</w:t>
      </w:r>
    </w:p>
    <w:tbl>
      <w:tblPr>
        <w:tblStyle w:val="TableGrid"/>
        <w:tblW w:w="9425" w:type="dxa"/>
        <w:tblInd w:w="-69" w:type="dxa"/>
        <w:tblCellMar>
          <w:top w:w="4" w:type="dxa"/>
          <w:left w:w="69" w:type="dxa"/>
          <w:right w:w="12" w:type="dxa"/>
        </w:tblCellMar>
        <w:tblLook w:val="04A0" w:firstRow="1" w:lastRow="0" w:firstColumn="1" w:lastColumn="0" w:noHBand="0" w:noVBand="1"/>
      </w:tblPr>
      <w:tblGrid>
        <w:gridCol w:w="7582"/>
        <w:gridCol w:w="1843"/>
      </w:tblGrid>
      <w:tr w:rsidRPr="00F620B7" w:rsidR="00A201AE" w:rsidTr="00FA61B5" w14:paraId="68149CD8" w14:textId="77777777">
        <w:trPr>
          <w:trHeight w:val="269"/>
        </w:trPr>
        <w:tc>
          <w:tcPr>
            <w:tcW w:w="7582" w:type="dxa"/>
            <w:tcBorders>
              <w:top w:val="single" w:color="000000" w:sz="2" w:space="0"/>
              <w:left w:val="single" w:color="000000" w:sz="2" w:space="0"/>
              <w:bottom w:val="single" w:color="000000" w:sz="2" w:space="0"/>
              <w:right w:val="single" w:color="000000" w:sz="2" w:space="0"/>
            </w:tcBorders>
          </w:tcPr>
          <w:p w:rsidRPr="00F620B7" w:rsidR="00A201AE" w:rsidP="00FA61B5" w:rsidRDefault="00A201AE" w14:paraId="72A1CAAD" w14:textId="77777777">
            <w:pPr>
              <w:spacing w:line="259" w:lineRule="auto"/>
              <w:jc w:val="left"/>
              <w:rPr>
                <w:color w:val="000000" w:themeColor="text1"/>
                <w:sz w:val="24"/>
                <w:lang w:val="es-CR" w:eastAsia="es-CR"/>
              </w:rPr>
            </w:pPr>
            <w:r w:rsidRPr="00F620B7">
              <w:rPr>
                <w:b/>
                <w:i/>
                <w:color w:val="000000" w:themeColor="text1"/>
                <w:sz w:val="24"/>
                <w:lang w:val="es-CR" w:eastAsia="es-CR"/>
              </w:rPr>
              <w:t xml:space="preserve">PONDERACIONES ÚNICAS </w:t>
            </w:r>
          </w:p>
        </w:tc>
        <w:tc>
          <w:tcPr>
            <w:tcW w:w="1843" w:type="dxa"/>
            <w:tcBorders>
              <w:top w:val="single" w:color="000000" w:sz="2" w:space="0"/>
              <w:left w:val="single" w:color="000000" w:sz="2" w:space="0"/>
              <w:bottom w:val="single" w:color="000000" w:sz="2" w:space="0"/>
              <w:right w:val="single" w:color="000000" w:sz="2" w:space="0"/>
            </w:tcBorders>
          </w:tcPr>
          <w:p w:rsidRPr="00F620B7" w:rsidR="00A201AE" w:rsidP="00FA61B5" w:rsidRDefault="00A201AE" w14:paraId="43E94BFA" w14:textId="77777777">
            <w:pPr>
              <w:spacing w:line="259" w:lineRule="auto"/>
              <w:jc w:val="left"/>
              <w:rPr>
                <w:color w:val="000000" w:themeColor="text1"/>
                <w:sz w:val="24"/>
                <w:lang w:val="es-CR" w:eastAsia="es-CR"/>
              </w:rPr>
            </w:pPr>
            <w:r w:rsidRPr="00F620B7">
              <w:rPr>
                <w:b/>
                <w:i/>
                <w:color w:val="000000" w:themeColor="text1"/>
                <w:sz w:val="24"/>
                <w:lang w:val="es-CR" w:eastAsia="es-CR"/>
              </w:rPr>
              <w:t xml:space="preserve">Referencia 3-06 </w:t>
            </w:r>
          </w:p>
        </w:tc>
      </w:tr>
      <w:tr w:rsidRPr="00F620B7" w:rsidR="00A201AE" w:rsidTr="00FA61B5" w14:paraId="079235AB" w14:textId="77777777">
        <w:trPr>
          <w:trHeight w:val="269"/>
        </w:trPr>
        <w:tc>
          <w:tcPr>
            <w:tcW w:w="7582" w:type="dxa"/>
            <w:tcBorders>
              <w:top w:val="single" w:color="000000" w:sz="2" w:space="0"/>
              <w:left w:val="single" w:color="000000" w:sz="2" w:space="0"/>
              <w:bottom w:val="single" w:color="000000" w:sz="2" w:space="0"/>
              <w:right w:val="single" w:color="000000" w:sz="2" w:space="0"/>
            </w:tcBorders>
          </w:tcPr>
          <w:p w:rsidRPr="00F620B7" w:rsidR="00A201AE" w:rsidP="00FA61B5" w:rsidRDefault="00A201AE" w14:paraId="79D2014D" w14:textId="77777777">
            <w:pPr>
              <w:spacing w:line="259" w:lineRule="auto"/>
              <w:jc w:val="left"/>
              <w:rPr>
                <w:color w:val="000000" w:themeColor="text1"/>
                <w:sz w:val="24"/>
                <w:lang w:val="es-CR" w:eastAsia="es-CR"/>
              </w:rPr>
            </w:pPr>
            <w:r w:rsidRPr="00F620B7">
              <w:rPr>
                <w:b/>
                <w:i/>
                <w:color w:val="000000" w:themeColor="text1"/>
                <w:sz w:val="24"/>
                <w:lang w:val="es-CR" w:eastAsia="es-CR"/>
              </w:rPr>
              <w:t xml:space="preserve">Ponderador de 0% </w:t>
            </w:r>
          </w:p>
        </w:tc>
        <w:tc>
          <w:tcPr>
            <w:tcW w:w="1843" w:type="dxa"/>
            <w:tcBorders>
              <w:top w:val="single" w:color="000000" w:sz="2" w:space="0"/>
              <w:left w:val="single" w:color="000000" w:sz="2" w:space="0"/>
              <w:bottom w:val="single" w:color="000000" w:sz="2" w:space="0"/>
              <w:right w:val="single" w:color="000000" w:sz="2" w:space="0"/>
            </w:tcBorders>
          </w:tcPr>
          <w:p w:rsidRPr="00F620B7" w:rsidR="00A201AE" w:rsidP="00FA61B5" w:rsidRDefault="00A201AE" w14:paraId="0888EA53" w14:textId="77777777">
            <w:pPr>
              <w:spacing w:line="259" w:lineRule="auto"/>
              <w:jc w:val="left"/>
              <w:rPr>
                <w:color w:val="000000" w:themeColor="text1"/>
                <w:sz w:val="24"/>
                <w:lang w:val="es-CR" w:eastAsia="es-CR"/>
              </w:rPr>
            </w:pPr>
            <w:r w:rsidRPr="00F620B7">
              <w:rPr>
                <w:i/>
                <w:color w:val="000000" w:themeColor="text1"/>
                <w:sz w:val="24"/>
                <w:lang w:val="es-CR" w:eastAsia="es-CR"/>
              </w:rPr>
              <w:t xml:space="preserve"> </w:t>
            </w:r>
          </w:p>
        </w:tc>
      </w:tr>
    </w:tbl>
    <w:p w:rsidRPr="00F620B7" w:rsidR="00A201AE" w:rsidP="00A201AE" w:rsidRDefault="00A201AE" w14:paraId="0F21877D" w14:textId="77777777">
      <w:pPr>
        <w:tabs>
          <w:tab w:val="left" w:pos="2341"/>
          <w:tab w:val="left" w:pos="7585"/>
        </w:tabs>
        <w:spacing w:line="259" w:lineRule="auto"/>
        <w:ind w:left="3"/>
        <w:jc w:val="left"/>
        <w:rPr>
          <w:color w:val="000000" w:themeColor="text1"/>
          <w:sz w:val="24"/>
          <w:lang w:val="es-CR" w:eastAsia="es-CR"/>
        </w:rPr>
      </w:pPr>
    </w:p>
    <w:p w:rsidRPr="00F620B7" w:rsidR="00A201AE" w:rsidP="00A201AE" w:rsidRDefault="00A201AE" w14:paraId="145779E4" w14:textId="77777777">
      <w:pPr>
        <w:spacing w:line="240" w:lineRule="auto"/>
        <w:ind w:left="567"/>
        <w:rPr>
          <w:i/>
          <w:iCs/>
          <w:color w:val="000000" w:themeColor="text1"/>
          <w:sz w:val="24"/>
        </w:rPr>
      </w:pPr>
      <w:r w:rsidRPr="00F620B7">
        <w:rPr>
          <w:i/>
          <w:iCs/>
          <w:color w:val="000000" w:themeColor="text1"/>
          <w:sz w:val="24"/>
        </w:rPr>
        <w:t>[…]</w:t>
      </w:r>
    </w:p>
    <w:p w:rsidRPr="00F620B7" w:rsidR="00A201AE" w:rsidP="00A201AE" w:rsidRDefault="00A201AE" w14:paraId="7AEBCB22" w14:textId="77777777">
      <w:pPr>
        <w:tabs>
          <w:tab w:val="left" w:pos="2341"/>
          <w:tab w:val="left" w:pos="7585"/>
        </w:tabs>
        <w:spacing w:line="259" w:lineRule="auto"/>
        <w:ind w:left="3"/>
        <w:jc w:val="left"/>
        <w:rPr>
          <w:color w:val="000000" w:themeColor="text1"/>
          <w:sz w:val="24"/>
          <w:lang w:val="es-CR" w:eastAsia="es-CR"/>
        </w:rPr>
      </w:pPr>
    </w:p>
    <w:tbl>
      <w:tblPr>
        <w:tblStyle w:val="TableGrid"/>
        <w:tblW w:w="9425" w:type="dxa"/>
        <w:tblInd w:w="-69" w:type="dxa"/>
        <w:tblCellMar>
          <w:top w:w="4" w:type="dxa"/>
          <w:left w:w="69" w:type="dxa"/>
          <w:right w:w="12" w:type="dxa"/>
        </w:tblCellMar>
        <w:tblLook w:val="04A0" w:firstRow="1" w:lastRow="0" w:firstColumn="1" w:lastColumn="0" w:noHBand="0" w:noVBand="1"/>
      </w:tblPr>
      <w:tblGrid>
        <w:gridCol w:w="2338"/>
        <w:gridCol w:w="5244"/>
        <w:gridCol w:w="1843"/>
      </w:tblGrid>
      <w:tr w:rsidRPr="00F620B7" w:rsidR="00A201AE" w:rsidTr="00FA61B5" w14:paraId="596AEA0C" w14:textId="77777777">
        <w:trPr>
          <w:trHeight w:val="270"/>
        </w:trPr>
        <w:tc>
          <w:tcPr>
            <w:tcW w:w="2338" w:type="dxa"/>
            <w:tcBorders>
              <w:top w:val="single" w:color="000000" w:sz="2" w:space="0"/>
              <w:left w:val="single" w:color="000000" w:sz="2" w:space="0"/>
              <w:bottom w:val="nil"/>
              <w:right w:val="single" w:color="000000" w:sz="2" w:space="0"/>
            </w:tcBorders>
          </w:tcPr>
          <w:p w:rsidRPr="00F620B7" w:rsidR="00A201AE" w:rsidP="00FA61B5" w:rsidRDefault="00A201AE" w14:paraId="42DCD71B" w14:textId="77777777">
            <w:pPr>
              <w:spacing w:line="259" w:lineRule="auto"/>
              <w:jc w:val="left"/>
              <w:rPr>
                <w:color w:val="000000" w:themeColor="text1"/>
                <w:sz w:val="24"/>
                <w:lang w:val="es-CR" w:eastAsia="es-CR"/>
              </w:rPr>
            </w:pPr>
            <w:r w:rsidRPr="00F620B7">
              <w:rPr>
                <w:i/>
                <w:color w:val="000000" w:themeColor="text1"/>
                <w:sz w:val="24"/>
                <w:lang w:val="es-CR" w:eastAsia="es-CR"/>
              </w:rPr>
              <w:t xml:space="preserve">CC 12214101 </w:t>
            </w:r>
          </w:p>
        </w:tc>
        <w:tc>
          <w:tcPr>
            <w:tcW w:w="5244" w:type="dxa"/>
            <w:tcBorders>
              <w:top w:val="single" w:color="000000" w:sz="2" w:space="0"/>
              <w:left w:val="single" w:color="000000" w:sz="2" w:space="0"/>
              <w:bottom w:val="nil"/>
              <w:right w:val="single" w:color="000000" w:sz="2" w:space="0"/>
            </w:tcBorders>
          </w:tcPr>
          <w:p w:rsidRPr="00F620B7" w:rsidR="00A201AE" w:rsidP="00FA61B5" w:rsidRDefault="00A201AE" w14:paraId="2D34F51C" w14:textId="77777777">
            <w:pPr>
              <w:spacing w:line="259" w:lineRule="auto"/>
              <w:jc w:val="left"/>
              <w:rPr>
                <w:color w:val="000000" w:themeColor="text1"/>
                <w:sz w:val="24"/>
                <w:lang w:val="es-CR" w:eastAsia="es-CR"/>
              </w:rPr>
            </w:pPr>
            <w:r w:rsidRPr="00F620B7">
              <w:rPr>
                <w:i/>
                <w:color w:val="000000" w:themeColor="text1"/>
                <w:sz w:val="24"/>
                <w:lang w:val="es-CR" w:eastAsia="es-CR"/>
              </w:rPr>
              <w:t xml:space="preserve">Contraparte B.C.C.R. con o sin garantía </w:t>
            </w:r>
          </w:p>
        </w:tc>
        <w:tc>
          <w:tcPr>
            <w:tcW w:w="1843" w:type="dxa"/>
            <w:tcBorders>
              <w:top w:val="single" w:color="000000" w:sz="2" w:space="0"/>
              <w:left w:val="single" w:color="000000" w:sz="2" w:space="0"/>
              <w:bottom w:val="nil"/>
              <w:right w:val="single" w:color="000000" w:sz="2" w:space="0"/>
            </w:tcBorders>
          </w:tcPr>
          <w:p w:rsidRPr="00F620B7" w:rsidR="00A201AE" w:rsidP="00FA61B5" w:rsidRDefault="00A201AE" w14:paraId="63AC05E4" w14:textId="77777777">
            <w:pPr>
              <w:spacing w:after="160" w:line="259" w:lineRule="auto"/>
              <w:jc w:val="left"/>
              <w:rPr>
                <w:color w:val="000000" w:themeColor="text1"/>
                <w:sz w:val="24"/>
                <w:lang w:val="es-CR" w:eastAsia="es-CR"/>
              </w:rPr>
            </w:pPr>
          </w:p>
        </w:tc>
      </w:tr>
      <w:tr w:rsidRPr="00F620B7" w:rsidR="00A201AE" w:rsidTr="00FA61B5" w14:paraId="3A4C408B" w14:textId="77777777">
        <w:trPr>
          <w:trHeight w:val="529"/>
        </w:trPr>
        <w:tc>
          <w:tcPr>
            <w:tcW w:w="2338" w:type="dxa"/>
            <w:tcBorders>
              <w:top w:val="nil"/>
              <w:left w:val="single" w:color="000000" w:sz="2" w:space="0"/>
              <w:bottom w:val="single" w:color="000000" w:sz="2" w:space="0"/>
              <w:right w:val="single" w:color="000000" w:sz="2" w:space="0"/>
            </w:tcBorders>
            <w:vAlign w:val="center"/>
          </w:tcPr>
          <w:p w:rsidRPr="00F620B7" w:rsidR="00A201AE" w:rsidP="00FA61B5" w:rsidRDefault="00A201AE" w14:paraId="75A1AF9D" w14:textId="77777777">
            <w:pPr>
              <w:spacing w:line="259" w:lineRule="auto"/>
              <w:jc w:val="left"/>
              <w:rPr>
                <w:color w:val="000000" w:themeColor="text1"/>
                <w:sz w:val="24"/>
                <w:lang w:val="es-CR" w:eastAsia="es-CR"/>
              </w:rPr>
            </w:pPr>
            <w:r w:rsidRPr="00F620B7">
              <w:rPr>
                <w:i/>
                <w:color w:val="000000" w:themeColor="text1"/>
                <w:sz w:val="24"/>
                <w:lang w:val="es-CR" w:eastAsia="es-CR"/>
              </w:rPr>
              <w:t xml:space="preserve">MÁS CC 12314101 </w:t>
            </w:r>
          </w:p>
        </w:tc>
        <w:tc>
          <w:tcPr>
            <w:tcW w:w="5244" w:type="dxa"/>
            <w:tcBorders>
              <w:top w:val="nil"/>
              <w:left w:val="single" w:color="000000" w:sz="2" w:space="0"/>
              <w:bottom w:val="single" w:color="000000" w:sz="2" w:space="0"/>
              <w:right w:val="single" w:color="000000" w:sz="2" w:space="0"/>
            </w:tcBorders>
          </w:tcPr>
          <w:p w:rsidRPr="00F620B7" w:rsidR="00A201AE" w:rsidP="00FA61B5" w:rsidRDefault="00A201AE" w14:paraId="56DB1165" w14:textId="77777777">
            <w:pPr>
              <w:spacing w:line="259" w:lineRule="auto"/>
              <w:jc w:val="left"/>
              <w:rPr>
                <w:color w:val="000000" w:themeColor="text1"/>
                <w:sz w:val="24"/>
                <w:lang w:val="es-CR" w:eastAsia="es-CR"/>
              </w:rPr>
            </w:pPr>
            <w:r w:rsidRPr="00F620B7">
              <w:rPr>
                <w:i/>
                <w:color w:val="000000" w:themeColor="text1"/>
                <w:sz w:val="24"/>
                <w:lang w:val="es-CR" w:eastAsia="es-CR"/>
              </w:rPr>
              <w:t xml:space="preserve">+ Inversiones en Contraparte B.C.C.R con o sin garantía a costo amortizado. </w:t>
            </w:r>
          </w:p>
        </w:tc>
        <w:tc>
          <w:tcPr>
            <w:tcW w:w="1843" w:type="dxa"/>
            <w:tcBorders>
              <w:top w:val="nil"/>
              <w:left w:val="single" w:color="000000" w:sz="2" w:space="0"/>
              <w:bottom w:val="single" w:color="000000" w:sz="2" w:space="0"/>
              <w:right w:val="single" w:color="000000" w:sz="2" w:space="0"/>
            </w:tcBorders>
          </w:tcPr>
          <w:p w:rsidRPr="00F620B7" w:rsidR="00A201AE" w:rsidP="00FA61B5" w:rsidRDefault="00A201AE" w14:paraId="2D37372B" w14:textId="77777777">
            <w:pPr>
              <w:spacing w:line="259" w:lineRule="auto"/>
              <w:jc w:val="left"/>
              <w:rPr>
                <w:color w:val="000000" w:themeColor="text1"/>
                <w:sz w:val="24"/>
                <w:lang w:val="es-CR" w:eastAsia="es-CR"/>
              </w:rPr>
            </w:pPr>
            <w:r w:rsidRPr="00F620B7">
              <w:rPr>
                <w:i/>
                <w:color w:val="000000" w:themeColor="text1"/>
                <w:sz w:val="24"/>
                <w:lang w:val="es-CR" w:eastAsia="es-CR"/>
              </w:rPr>
              <w:t xml:space="preserve">Artículo 40 (e) </w:t>
            </w:r>
          </w:p>
        </w:tc>
      </w:tr>
      <w:tr w:rsidRPr="00F620B7" w:rsidR="00A201AE" w:rsidTr="00FA61B5" w14:paraId="276C0BE3" w14:textId="77777777">
        <w:tblPrEx>
          <w:tblCellMar>
            <w:bottom w:w="1" w:type="dxa"/>
            <w:right w:w="19" w:type="dxa"/>
          </w:tblCellMar>
        </w:tblPrEx>
        <w:trPr>
          <w:trHeight w:val="269"/>
        </w:trPr>
        <w:tc>
          <w:tcPr>
            <w:tcW w:w="7582" w:type="dxa"/>
            <w:gridSpan w:val="2"/>
            <w:tcBorders>
              <w:top w:val="single" w:color="000000" w:sz="2" w:space="0"/>
              <w:left w:val="single" w:color="000000" w:sz="2" w:space="0"/>
              <w:bottom w:val="single" w:color="000000" w:sz="2" w:space="0"/>
              <w:right w:val="single" w:color="000000" w:sz="2" w:space="0"/>
            </w:tcBorders>
          </w:tcPr>
          <w:p w:rsidRPr="00F620B7" w:rsidR="00A201AE" w:rsidP="00FA61B5" w:rsidRDefault="00A201AE" w14:paraId="1A54D8C2" w14:textId="77777777">
            <w:pPr>
              <w:spacing w:line="259" w:lineRule="auto"/>
              <w:jc w:val="left"/>
              <w:rPr>
                <w:color w:val="000000" w:themeColor="text1"/>
                <w:sz w:val="24"/>
              </w:rPr>
            </w:pPr>
            <w:r w:rsidRPr="00F620B7">
              <w:rPr>
                <w:b/>
                <w:i/>
                <w:color w:val="000000" w:themeColor="text1"/>
                <w:sz w:val="24"/>
              </w:rPr>
              <w:t>Ponderador de 75%</w:t>
            </w:r>
            <w:r w:rsidRPr="00F620B7">
              <w:rPr>
                <w:i/>
                <w:color w:val="000000" w:themeColor="text1"/>
                <w:sz w:val="24"/>
              </w:rPr>
              <w:t xml:space="preserve"> </w:t>
            </w:r>
          </w:p>
        </w:tc>
        <w:tc>
          <w:tcPr>
            <w:tcW w:w="1843" w:type="dxa"/>
            <w:tcBorders>
              <w:top w:val="single" w:color="000000" w:sz="2" w:space="0"/>
              <w:left w:val="single" w:color="000000" w:sz="2" w:space="0"/>
              <w:bottom w:val="single" w:color="000000" w:sz="2" w:space="0"/>
              <w:right w:val="single" w:color="000000" w:sz="2" w:space="0"/>
            </w:tcBorders>
          </w:tcPr>
          <w:p w:rsidRPr="00F620B7" w:rsidR="00A201AE" w:rsidP="00FA61B5" w:rsidRDefault="00A201AE" w14:paraId="440C5029" w14:textId="77777777">
            <w:pPr>
              <w:spacing w:line="259" w:lineRule="auto"/>
              <w:jc w:val="left"/>
              <w:rPr>
                <w:color w:val="000000" w:themeColor="text1"/>
                <w:sz w:val="24"/>
              </w:rPr>
            </w:pPr>
            <w:r w:rsidRPr="00F620B7">
              <w:rPr>
                <w:i/>
                <w:color w:val="000000" w:themeColor="text1"/>
                <w:sz w:val="24"/>
              </w:rPr>
              <w:t xml:space="preserve">Artículo 44 </w:t>
            </w:r>
          </w:p>
        </w:tc>
      </w:tr>
      <w:tr w:rsidRPr="00F620B7" w:rsidR="00A201AE" w:rsidTr="00FA61B5" w14:paraId="231CE208" w14:textId="77777777">
        <w:tblPrEx>
          <w:tblCellMar>
            <w:bottom w:w="1" w:type="dxa"/>
            <w:right w:w="19" w:type="dxa"/>
          </w:tblCellMar>
        </w:tblPrEx>
        <w:trPr>
          <w:trHeight w:val="537"/>
        </w:trPr>
        <w:tc>
          <w:tcPr>
            <w:tcW w:w="2338" w:type="dxa"/>
            <w:tcBorders>
              <w:top w:val="single" w:color="000000" w:sz="2" w:space="0"/>
              <w:left w:val="single" w:color="000000" w:sz="2" w:space="0"/>
              <w:bottom w:val="nil"/>
              <w:right w:val="single" w:color="000000" w:sz="2" w:space="0"/>
            </w:tcBorders>
            <w:vAlign w:val="center"/>
          </w:tcPr>
          <w:p w:rsidRPr="00F620B7" w:rsidR="00A201AE" w:rsidP="00FA61B5" w:rsidRDefault="00A201AE" w14:paraId="7710D8E1" w14:textId="77777777">
            <w:pPr>
              <w:spacing w:line="259" w:lineRule="auto"/>
              <w:jc w:val="left"/>
              <w:rPr>
                <w:color w:val="000000" w:themeColor="text1"/>
                <w:sz w:val="24"/>
              </w:rPr>
            </w:pPr>
            <w:r w:rsidRPr="00F620B7">
              <w:rPr>
                <w:i/>
                <w:color w:val="000000" w:themeColor="text1"/>
                <w:sz w:val="24"/>
              </w:rPr>
              <w:t xml:space="preserve">(CC 12212000 </w:t>
            </w:r>
          </w:p>
        </w:tc>
        <w:tc>
          <w:tcPr>
            <w:tcW w:w="5244" w:type="dxa"/>
            <w:tcBorders>
              <w:top w:val="single" w:color="000000" w:sz="2" w:space="0"/>
              <w:left w:val="single" w:color="000000" w:sz="2" w:space="0"/>
              <w:bottom w:val="nil"/>
              <w:right w:val="single" w:color="000000" w:sz="2" w:space="0"/>
            </w:tcBorders>
          </w:tcPr>
          <w:p w:rsidRPr="00F620B7" w:rsidR="00A201AE" w:rsidP="00FA61B5" w:rsidRDefault="00A201AE" w14:paraId="5C5D32A3" w14:textId="77777777">
            <w:pPr>
              <w:spacing w:line="259" w:lineRule="auto"/>
              <w:jc w:val="left"/>
              <w:rPr>
                <w:color w:val="000000" w:themeColor="text1"/>
                <w:sz w:val="24"/>
              </w:rPr>
            </w:pPr>
            <w:r w:rsidRPr="00F620B7">
              <w:rPr>
                <w:i/>
                <w:color w:val="000000" w:themeColor="text1"/>
                <w:sz w:val="24"/>
              </w:rPr>
              <w:t xml:space="preserve">Reporto y reporto tripartito posición vendedor a plazo Recursos propios </w:t>
            </w:r>
          </w:p>
        </w:tc>
        <w:tc>
          <w:tcPr>
            <w:tcW w:w="1843" w:type="dxa"/>
            <w:tcBorders>
              <w:top w:val="single" w:color="000000" w:sz="2" w:space="0"/>
              <w:left w:val="single" w:color="000000" w:sz="2" w:space="0"/>
              <w:bottom w:val="nil"/>
              <w:right w:val="single" w:color="000000" w:sz="2" w:space="0"/>
            </w:tcBorders>
          </w:tcPr>
          <w:p w:rsidRPr="00F620B7" w:rsidR="00A201AE" w:rsidP="00FA61B5" w:rsidRDefault="00A201AE" w14:paraId="7E6C7DA3" w14:textId="77777777">
            <w:pPr>
              <w:spacing w:after="160" w:line="259" w:lineRule="auto"/>
              <w:jc w:val="left"/>
              <w:rPr>
                <w:color w:val="000000" w:themeColor="text1"/>
                <w:sz w:val="24"/>
              </w:rPr>
            </w:pPr>
          </w:p>
        </w:tc>
      </w:tr>
      <w:tr w:rsidRPr="00F620B7" w:rsidR="00A201AE" w:rsidTr="00FA61B5" w14:paraId="62A2DC71" w14:textId="77777777">
        <w:tblPrEx>
          <w:tblCellMar>
            <w:bottom w:w="1" w:type="dxa"/>
            <w:right w:w="19" w:type="dxa"/>
          </w:tblCellMar>
        </w:tblPrEx>
        <w:trPr>
          <w:trHeight w:val="1057"/>
        </w:trPr>
        <w:tc>
          <w:tcPr>
            <w:tcW w:w="2338" w:type="dxa"/>
            <w:tcBorders>
              <w:top w:val="nil"/>
              <w:left w:val="single" w:color="000000" w:sz="2" w:space="0"/>
              <w:bottom w:val="nil"/>
              <w:right w:val="single" w:color="000000" w:sz="2" w:space="0"/>
            </w:tcBorders>
          </w:tcPr>
          <w:p w:rsidRPr="00F620B7" w:rsidR="00A201AE" w:rsidP="00FA61B5" w:rsidRDefault="00A201AE" w14:paraId="261824A6" w14:textId="77777777">
            <w:pPr>
              <w:spacing w:line="259" w:lineRule="auto"/>
              <w:jc w:val="left"/>
              <w:rPr>
                <w:color w:val="000000" w:themeColor="text1"/>
                <w:sz w:val="24"/>
              </w:rPr>
            </w:pPr>
            <w:r w:rsidRPr="00F620B7">
              <w:rPr>
                <w:i/>
                <w:color w:val="000000" w:themeColor="text1"/>
                <w:sz w:val="24"/>
              </w:rPr>
              <w:t xml:space="preserve">MÁS (CC 12214000 </w:t>
            </w:r>
          </w:p>
          <w:p w:rsidRPr="00F620B7" w:rsidR="00A201AE" w:rsidP="00FA61B5" w:rsidRDefault="00A201AE" w14:paraId="0742C2AF" w14:textId="77777777">
            <w:pPr>
              <w:spacing w:after="104" w:line="259" w:lineRule="auto"/>
              <w:rPr>
                <w:color w:val="000000" w:themeColor="text1"/>
                <w:sz w:val="24"/>
              </w:rPr>
            </w:pPr>
            <w:r w:rsidRPr="00F620B7">
              <w:rPr>
                <w:i/>
                <w:color w:val="000000" w:themeColor="text1"/>
                <w:sz w:val="24"/>
              </w:rPr>
              <w:t xml:space="preserve">MENOS (CC 12214101 </w:t>
            </w:r>
          </w:p>
          <w:p w:rsidRPr="00F620B7" w:rsidR="00A201AE" w:rsidP="00FA61B5" w:rsidRDefault="00A201AE" w14:paraId="273366E7" w14:textId="77777777">
            <w:pPr>
              <w:spacing w:line="259" w:lineRule="auto"/>
              <w:jc w:val="left"/>
              <w:rPr>
                <w:color w:val="000000" w:themeColor="text1"/>
                <w:sz w:val="24"/>
              </w:rPr>
            </w:pPr>
            <w:r w:rsidRPr="00F620B7">
              <w:rPr>
                <w:i/>
                <w:color w:val="000000" w:themeColor="text1"/>
                <w:sz w:val="24"/>
              </w:rPr>
              <w:t xml:space="preserve">MÁS 12314101)) </w:t>
            </w:r>
          </w:p>
        </w:tc>
        <w:tc>
          <w:tcPr>
            <w:tcW w:w="5244" w:type="dxa"/>
            <w:tcBorders>
              <w:top w:val="nil"/>
              <w:left w:val="single" w:color="000000" w:sz="2" w:space="0"/>
              <w:bottom w:val="nil"/>
              <w:right w:val="single" w:color="000000" w:sz="2" w:space="0"/>
            </w:tcBorders>
          </w:tcPr>
          <w:p w:rsidRPr="00F620B7" w:rsidR="00A201AE" w:rsidP="00FA61B5" w:rsidRDefault="00A201AE" w14:paraId="79FF6FA6" w14:textId="77777777">
            <w:pPr>
              <w:spacing w:line="237" w:lineRule="auto"/>
              <w:jc w:val="left"/>
              <w:rPr>
                <w:color w:val="000000" w:themeColor="text1"/>
                <w:sz w:val="24"/>
              </w:rPr>
            </w:pPr>
            <w:r w:rsidRPr="00F620B7">
              <w:rPr>
                <w:i/>
                <w:color w:val="000000" w:themeColor="text1"/>
                <w:sz w:val="24"/>
              </w:rPr>
              <w:t xml:space="preserve">Operaciones Diferidas de liquidez - Recursos propios Contraparte B.C.C.R. con o sin garantía </w:t>
            </w:r>
          </w:p>
          <w:p w:rsidRPr="00F620B7" w:rsidR="00A201AE" w:rsidP="00FA61B5" w:rsidRDefault="00A201AE" w14:paraId="576B3B4C" w14:textId="77777777">
            <w:pPr>
              <w:spacing w:line="259" w:lineRule="auto"/>
              <w:rPr>
                <w:color w:val="000000" w:themeColor="text1"/>
                <w:sz w:val="24"/>
              </w:rPr>
            </w:pPr>
            <w:r w:rsidRPr="00F620B7">
              <w:rPr>
                <w:i/>
                <w:color w:val="000000" w:themeColor="text1"/>
                <w:sz w:val="24"/>
              </w:rPr>
              <w:t xml:space="preserve">Inversiones en Contraparte B.C.C.R. con o sin garantía a costo amortizado (Ponderación 0%) </w:t>
            </w:r>
          </w:p>
        </w:tc>
        <w:tc>
          <w:tcPr>
            <w:tcW w:w="1843" w:type="dxa"/>
            <w:tcBorders>
              <w:top w:val="nil"/>
              <w:left w:val="single" w:color="000000" w:sz="2" w:space="0"/>
              <w:bottom w:val="nil"/>
              <w:right w:val="single" w:color="000000" w:sz="2" w:space="0"/>
            </w:tcBorders>
            <w:vAlign w:val="bottom"/>
          </w:tcPr>
          <w:p w:rsidRPr="00F620B7" w:rsidR="00A201AE" w:rsidP="00FA61B5" w:rsidRDefault="00A201AE" w14:paraId="47CEC686" w14:textId="77777777">
            <w:pPr>
              <w:spacing w:line="259" w:lineRule="auto"/>
              <w:jc w:val="left"/>
              <w:rPr>
                <w:color w:val="000000" w:themeColor="text1"/>
                <w:sz w:val="24"/>
              </w:rPr>
            </w:pPr>
            <w:r w:rsidRPr="00F620B7">
              <w:rPr>
                <w:i/>
                <w:color w:val="000000" w:themeColor="text1"/>
                <w:sz w:val="24"/>
              </w:rPr>
              <w:t xml:space="preserve">Inciso b) </w:t>
            </w:r>
          </w:p>
        </w:tc>
      </w:tr>
      <w:tr w:rsidRPr="00F620B7" w:rsidR="00A201AE" w:rsidTr="00FA61B5" w14:paraId="728302E8" w14:textId="77777777">
        <w:tblPrEx>
          <w:tblCellMar>
            <w:bottom w:w="1" w:type="dxa"/>
            <w:right w:w="19" w:type="dxa"/>
          </w:tblCellMar>
        </w:tblPrEx>
        <w:trPr>
          <w:trHeight w:val="793"/>
        </w:trPr>
        <w:tc>
          <w:tcPr>
            <w:tcW w:w="2338" w:type="dxa"/>
            <w:tcBorders>
              <w:top w:val="nil"/>
              <w:left w:val="single" w:color="000000" w:sz="2" w:space="0"/>
              <w:bottom w:val="nil"/>
              <w:right w:val="single" w:color="000000" w:sz="2" w:space="0"/>
            </w:tcBorders>
            <w:vAlign w:val="center"/>
          </w:tcPr>
          <w:p w:rsidRPr="00F620B7" w:rsidR="00A201AE" w:rsidP="00FA61B5" w:rsidRDefault="00A201AE" w14:paraId="1CEFCC1F" w14:textId="77777777">
            <w:pPr>
              <w:spacing w:line="259" w:lineRule="auto"/>
              <w:jc w:val="left"/>
              <w:rPr>
                <w:color w:val="000000" w:themeColor="text1"/>
                <w:sz w:val="24"/>
              </w:rPr>
            </w:pPr>
            <w:r w:rsidRPr="00F620B7">
              <w:rPr>
                <w:i/>
                <w:color w:val="000000" w:themeColor="text1"/>
                <w:sz w:val="24"/>
              </w:rPr>
              <w:t xml:space="preserve">MÁS 12312 </w:t>
            </w:r>
          </w:p>
        </w:tc>
        <w:tc>
          <w:tcPr>
            <w:tcW w:w="5244" w:type="dxa"/>
            <w:tcBorders>
              <w:top w:val="nil"/>
              <w:left w:val="single" w:color="000000" w:sz="2" w:space="0"/>
              <w:bottom w:val="nil"/>
              <w:right w:val="single" w:color="000000" w:sz="2" w:space="0"/>
            </w:tcBorders>
          </w:tcPr>
          <w:p w:rsidRPr="00F620B7" w:rsidR="00A201AE" w:rsidP="00FA61B5" w:rsidRDefault="00A201AE" w14:paraId="36767869" w14:textId="77777777">
            <w:pPr>
              <w:spacing w:line="237" w:lineRule="auto"/>
              <w:jc w:val="left"/>
              <w:rPr>
                <w:color w:val="000000" w:themeColor="text1"/>
                <w:sz w:val="24"/>
              </w:rPr>
            </w:pPr>
            <w:r w:rsidRPr="00F620B7">
              <w:rPr>
                <w:i/>
                <w:color w:val="000000" w:themeColor="text1"/>
                <w:sz w:val="24"/>
              </w:rPr>
              <w:t xml:space="preserve">reportos y reportos tripartitos registrados a costo amortizado (Ponderación 75%) </w:t>
            </w:r>
          </w:p>
        </w:tc>
        <w:tc>
          <w:tcPr>
            <w:tcW w:w="1843" w:type="dxa"/>
            <w:tcBorders>
              <w:top w:val="nil"/>
              <w:left w:val="single" w:color="000000" w:sz="2" w:space="0"/>
              <w:bottom w:val="nil"/>
              <w:right w:val="single" w:color="000000" w:sz="2" w:space="0"/>
            </w:tcBorders>
          </w:tcPr>
          <w:p w:rsidRPr="00F620B7" w:rsidR="00A201AE" w:rsidP="00FA61B5" w:rsidRDefault="00A201AE" w14:paraId="79F621FE" w14:textId="77777777">
            <w:pPr>
              <w:spacing w:after="160" w:line="259" w:lineRule="auto"/>
              <w:jc w:val="left"/>
              <w:rPr>
                <w:color w:val="000000" w:themeColor="text1"/>
                <w:sz w:val="24"/>
              </w:rPr>
            </w:pPr>
          </w:p>
        </w:tc>
      </w:tr>
      <w:tr w:rsidRPr="00F620B7" w:rsidR="00A201AE" w:rsidTr="00FA61B5" w14:paraId="0246D092" w14:textId="77777777">
        <w:tblPrEx>
          <w:tblCellMar>
            <w:bottom w:w="1" w:type="dxa"/>
            <w:right w:w="19" w:type="dxa"/>
          </w:tblCellMar>
        </w:tblPrEx>
        <w:trPr>
          <w:trHeight w:val="263"/>
        </w:trPr>
        <w:tc>
          <w:tcPr>
            <w:tcW w:w="2338" w:type="dxa"/>
            <w:tcBorders>
              <w:top w:val="nil"/>
              <w:left w:val="single" w:color="000000" w:sz="2" w:space="0"/>
              <w:bottom w:val="single" w:color="000000" w:sz="2" w:space="0"/>
              <w:right w:val="single" w:color="000000" w:sz="2" w:space="0"/>
            </w:tcBorders>
          </w:tcPr>
          <w:p w:rsidRPr="00F620B7" w:rsidR="00A201AE" w:rsidP="00FA61B5" w:rsidRDefault="00A201AE" w14:paraId="27138561" w14:textId="77777777">
            <w:pPr>
              <w:spacing w:line="259" w:lineRule="auto"/>
              <w:jc w:val="left"/>
              <w:rPr>
                <w:color w:val="000000" w:themeColor="text1"/>
                <w:sz w:val="24"/>
              </w:rPr>
            </w:pPr>
            <w:r w:rsidRPr="00F620B7">
              <w:rPr>
                <w:i/>
                <w:color w:val="000000" w:themeColor="text1"/>
                <w:sz w:val="24"/>
              </w:rPr>
              <w:t xml:space="preserve">MÁS CC 12504000) </w:t>
            </w:r>
          </w:p>
        </w:tc>
        <w:tc>
          <w:tcPr>
            <w:tcW w:w="5244" w:type="dxa"/>
            <w:tcBorders>
              <w:top w:val="nil"/>
              <w:left w:val="single" w:color="000000" w:sz="2" w:space="0"/>
              <w:bottom w:val="single" w:color="000000" w:sz="2" w:space="0"/>
              <w:right w:val="single" w:color="000000" w:sz="2" w:space="0"/>
            </w:tcBorders>
          </w:tcPr>
          <w:p w:rsidRPr="00F620B7" w:rsidR="00A201AE" w:rsidP="00FA61B5" w:rsidRDefault="00A201AE" w14:paraId="32F0A0E6" w14:textId="77777777">
            <w:pPr>
              <w:spacing w:line="259" w:lineRule="auto"/>
              <w:rPr>
                <w:color w:val="000000" w:themeColor="text1"/>
                <w:sz w:val="24"/>
              </w:rPr>
            </w:pPr>
            <w:r w:rsidRPr="00F620B7">
              <w:rPr>
                <w:i/>
                <w:color w:val="000000" w:themeColor="text1"/>
                <w:sz w:val="24"/>
              </w:rPr>
              <w:t xml:space="preserve">Reporto y reporto tripartito posición vendedor a plazo </w:t>
            </w:r>
          </w:p>
        </w:tc>
        <w:tc>
          <w:tcPr>
            <w:tcW w:w="1843" w:type="dxa"/>
            <w:tcBorders>
              <w:top w:val="nil"/>
              <w:left w:val="single" w:color="000000" w:sz="2" w:space="0"/>
              <w:bottom w:val="single" w:color="000000" w:sz="2" w:space="0"/>
              <w:right w:val="single" w:color="000000" w:sz="2" w:space="0"/>
            </w:tcBorders>
          </w:tcPr>
          <w:p w:rsidRPr="00F620B7" w:rsidR="00A201AE" w:rsidP="00FA61B5" w:rsidRDefault="00A201AE" w14:paraId="5459560B" w14:textId="77777777">
            <w:pPr>
              <w:spacing w:after="160" w:line="259" w:lineRule="auto"/>
              <w:jc w:val="left"/>
              <w:rPr>
                <w:color w:val="000000" w:themeColor="text1"/>
                <w:sz w:val="24"/>
              </w:rPr>
            </w:pPr>
          </w:p>
        </w:tc>
      </w:tr>
    </w:tbl>
    <w:p w:rsidRPr="00F620B7" w:rsidR="00A201AE" w:rsidP="00A201AE" w:rsidRDefault="00A201AE" w14:paraId="71BC2C14" w14:textId="77777777">
      <w:pPr>
        <w:spacing w:line="240" w:lineRule="auto"/>
        <w:ind w:left="567"/>
        <w:rPr>
          <w:color w:val="000000" w:themeColor="text1"/>
          <w:sz w:val="24"/>
        </w:rPr>
      </w:pPr>
    </w:p>
    <w:p w:rsidRPr="00F620B7" w:rsidR="00A201AE" w:rsidP="00A201AE" w:rsidRDefault="00A201AE" w14:paraId="5AF40090" w14:textId="77777777">
      <w:pPr>
        <w:spacing w:line="240" w:lineRule="auto"/>
        <w:ind w:left="134"/>
        <w:rPr>
          <w:b/>
          <w:bCs/>
          <w:color w:val="000000" w:themeColor="text1"/>
          <w:sz w:val="24"/>
        </w:rPr>
      </w:pPr>
      <w:r w:rsidRPr="00F620B7">
        <w:rPr>
          <w:b/>
          <w:bCs/>
          <w:color w:val="000000" w:themeColor="text1"/>
          <w:sz w:val="24"/>
        </w:rPr>
        <w:t>Vigencia</w:t>
      </w:r>
    </w:p>
    <w:p w:rsidRPr="00F620B7" w:rsidR="00A201AE" w:rsidP="00A201AE" w:rsidRDefault="00A201AE" w14:paraId="5DC68A79" w14:textId="77777777">
      <w:pPr>
        <w:spacing w:before="240" w:after="240"/>
        <w:ind w:left="426"/>
        <w:rPr>
          <w:color w:val="000000" w:themeColor="text1"/>
          <w:sz w:val="24"/>
        </w:rPr>
      </w:pPr>
      <w:r w:rsidRPr="00F620B7">
        <w:rPr>
          <w:color w:val="000000" w:themeColor="text1"/>
          <w:sz w:val="24"/>
        </w:rPr>
        <w:t>Rige a partir del 1° de enero del 2025.</w:t>
      </w:r>
    </w:p>
    <w:p w:rsidRPr="00F620B7" w:rsidR="007755BD" w:rsidP="007755BD" w:rsidRDefault="007755BD" w14:paraId="7D6C250E" w14:textId="77777777">
      <w:pPr>
        <w:spacing w:after="120" w:line="240" w:lineRule="auto"/>
        <w:contextualSpacing/>
        <w:rPr>
          <w:sz w:val="24"/>
        </w:rPr>
      </w:pPr>
      <w:r w:rsidRPr="00F620B7">
        <w:rPr>
          <w:sz w:val="24"/>
        </w:rPr>
        <w:t>Atentamente</w:t>
      </w:r>
    </w:p>
    <w:p w:rsidRPr="00F620B7" w:rsidR="007755BD" w:rsidP="007755BD" w:rsidRDefault="007755BD" w14:paraId="38D68618" w14:textId="77777777">
      <w:pPr>
        <w:spacing w:after="120" w:line="240" w:lineRule="auto"/>
        <w:contextualSpacing/>
        <w:rPr>
          <w:sz w:val="24"/>
        </w:rPr>
      </w:pPr>
    </w:p>
    <w:p w:rsidRPr="00F620B7" w:rsidR="007755BD" w:rsidP="007755BD" w:rsidRDefault="007755BD" w14:paraId="18E311E0" w14:textId="77777777">
      <w:pPr>
        <w:spacing w:after="120" w:line="240" w:lineRule="auto"/>
        <w:contextualSpacing/>
        <w:rPr>
          <w:sz w:val="24"/>
        </w:rPr>
      </w:pPr>
      <w:r w:rsidRPr="00F620B7">
        <w:rPr>
          <w:noProof/>
          <w:sz w:val="24"/>
          <w:lang w:val="es-CR" w:eastAsia="es-CR"/>
        </w:rPr>
        <w:drawing>
          <wp:anchor distT="0" distB="0" distL="114300" distR="114300" simplePos="0" relativeHeight="251659264" behindDoc="1" locked="0" layoutInCell="1" allowOverlap="1" wp14:editId="321DAC36" wp14:anchorId="46DD47F0">
            <wp:simplePos x="0" y="0"/>
            <wp:positionH relativeFrom="column">
              <wp:posOffset>0</wp:posOffset>
            </wp:positionH>
            <wp:positionV relativeFrom="paragraph">
              <wp:posOffset>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620B7" w:rsidR="007755BD" w:rsidP="007755BD" w:rsidRDefault="007755BD" w14:paraId="5A3178F8" w14:textId="77777777">
      <w:pPr>
        <w:spacing w:after="120" w:line="240" w:lineRule="auto"/>
        <w:contextualSpacing/>
        <w:rPr>
          <w:sz w:val="24"/>
        </w:rPr>
      </w:pPr>
    </w:p>
    <w:p w:rsidRPr="00F620B7" w:rsidR="007755BD" w:rsidP="007755BD" w:rsidRDefault="007755BD" w14:paraId="36FA9D95" w14:textId="77777777">
      <w:pPr>
        <w:spacing w:after="120" w:line="240" w:lineRule="auto"/>
        <w:contextualSpacing/>
        <w:rPr>
          <w:sz w:val="24"/>
        </w:rPr>
      </w:pPr>
      <w:r w:rsidRPr="00F620B7">
        <w:rPr>
          <w:sz w:val="24"/>
        </w:rPr>
        <w:t>Rocío Aguilar Montoya</w:t>
      </w:r>
    </w:p>
    <w:p w:rsidRPr="00F620B7" w:rsidR="007755BD" w:rsidP="007755BD" w:rsidRDefault="007755BD" w14:paraId="477C2EA7" w14:textId="77777777">
      <w:pPr>
        <w:spacing w:after="120" w:line="240" w:lineRule="auto"/>
        <w:contextualSpacing/>
        <w:rPr>
          <w:b/>
          <w:bCs/>
          <w:sz w:val="24"/>
        </w:rPr>
      </w:pPr>
      <w:r w:rsidRPr="00F620B7">
        <w:rPr>
          <w:b/>
          <w:bCs/>
          <w:sz w:val="24"/>
        </w:rPr>
        <w:t>Superintendente General</w:t>
      </w:r>
    </w:p>
    <w:p w:rsidRPr="00F620B7" w:rsidR="007755BD" w:rsidP="007755BD" w:rsidRDefault="007755BD" w14:paraId="02168820" w14:textId="77777777">
      <w:pPr>
        <w:spacing w:after="120" w:line="240" w:lineRule="auto"/>
        <w:contextualSpacing/>
        <w:rPr>
          <w:b/>
          <w:bCs/>
          <w:sz w:val="24"/>
        </w:rPr>
      </w:pPr>
    </w:p>
    <w:p w:rsidRPr="00F620B7" w:rsidR="007755BD" w:rsidP="007755BD" w:rsidRDefault="007755BD" w14:paraId="3570E3BB" w14:textId="77777777">
      <w:pPr>
        <w:spacing w:after="120" w:line="240" w:lineRule="auto"/>
        <w:contextualSpacing/>
        <w:rPr>
          <w:b/>
          <w:bCs/>
          <w:sz w:val="24"/>
          <w:lang w:val="en-US"/>
        </w:rPr>
      </w:pPr>
      <w:r w:rsidRPr="00F620B7">
        <w:rPr>
          <w:b/>
          <w:bCs/>
          <w:sz w:val="24"/>
          <w:lang w:val="en-US"/>
        </w:rPr>
        <w:t>JSC/GAA/JCCM/ILL/gvl*</w:t>
      </w:r>
    </w:p>
    <w:p w:rsidRPr="007755BD" w:rsidR="00E42AAC" w:rsidP="007755BD" w:rsidRDefault="00E42AAC" w14:paraId="1C893D52" w14:textId="77777777">
      <w:pPr>
        <w:rPr>
          <w:lang w:val="en-US"/>
        </w:rPr>
      </w:pPr>
    </w:p>
    <w:sectPr w:rsidRPr="007755BD" w:rsidR="00E42AAC">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B24B" w14:textId="77777777" w:rsidR="007755BD" w:rsidRDefault="007755BD" w:rsidP="00181ABF">
      <w:pPr>
        <w:spacing w:line="240" w:lineRule="auto"/>
      </w:pPr>
      <w:r>
        <w:separator/>
      </w:r>
    </w:p>
  </w:endnote>
  <w:endnote w:type="continuationSeparator" w:id="0">
    <w:p w14:paraId="1C021DE7" w14:textId="77777777" w:rsidR="007755BD" w:rsidRDefault="007755BD"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0B7" w:rsidRDefault="00F620B7" w14:paraId="4DFAB450"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05E69E6A" w14:textId="77777777">
      <w:tc>
        <w:tcPr>
          <w:tcW w:w="2942" w:type="dxa"/>
        </w:tcPr>
        <w:p w:rsidR="00181ABF" w:rsidP="00181ABF" w:rsidRDefault="008C7F0D" w14:paraId="46393977"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3F787024" wp14:anchorId="0A38C8B5">
                    <wp:simplePos x="0" y="0"/>
                    <wp:positionH relativeFrom="page">
                      <wp:posOffset>0</wp:posOffset>
                    </wp:positionH>
                    <wp:positionV relativeFrom="page">
                      <wp:posOffset>9594215</wp:posOffset>
                    </wp:positionV>
                    <wp:extent cx="7772400" cy="273050"/>
                    <wp:effectExtent l="0" t="0" r="0" b="12700"/>
                    <wp:wrapNone/>
                    <wp:docPr id="2" name="MSIPCM11804a829cdabce04e6d2c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C7F0D" w:rsidR="008C7F0D" w:rsidP="008C7F0D" w:rsidRDefault="008C7F0D" w14:paraId="0A72EB40" w14:textId="77777777">
                                <w:pPr>
                                  <w:jc w:val="center"/>
                                  <w:rPr>
                                    <w:rFonts w:ascii="Calibri" w:hAnsi="Calibri" w:cs="Calibri"/>
                                    <w:color w:val="000000"/>
                                    <w:sz w:val="20"/>
                                  </w:rPr>
                                </w:pPr>
                                <w:r w:rsidRPr="008C7F0D">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A38C8B5">
                    <v:stroke joinstyle="miter"/>
                    <v:path gradientshapeok="t" o:connecttype="rect"/>
                  </v:shapetype>
                  <v:shape id="MSIPCM11804a829cdabce04e6d2c8b"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C7F0D" w:rsidR="008C7F0D" w:rsidP="008C7F0D" w:rsidRDefault="008C7F0D" w14:paraId="0A72EB40" w14:textId="77777777">
                          <w:pPr>
                            <w:jc w:val="center"/>
                            <w:rPr>
                              <w:rFonts w:ascii="Calibri" w:hAnsi="Calibri" w:cs="Calibri"/>
                              <w:color w:val="000000"/>
                              <w:sz w:val="20"/>
                            </w:rPr>
                          </w:pPr>
                          <w:r w:rsidRPr="008C7F0D">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1C5E69EB"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6D120E1F" w14:textId="77777777">
          <w:pPr>
            <w:pStyle w:val="Piedepgina"/>
            <w:rPr>
              <w:b/>
              <w:color w:val="7F7F7F" w:themeColor="text1" w:themeTint="80"/>
              <w:sz w:val="16"/>
              <w:szCs w:val="16"/>
            </w:rPr>
          </w:pPr>
        </w:p>
      </w:tc>
      <w:tc>
        <w:tcPr>
          <w:tcW w:w="2943" w:type="dxa"/>
        </w:tcPr>
        <w:p w:rsidRPr="009349F3" w:rsidR="00181ABF" w:rsidP="00181ABF" w:rsidRDefault="00181ABF" w14:paraId="68B4AC7A"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7649AFD7"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03EBBE0D"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7B5809FE"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0B7" w:rsidRDefault="00F620B7" w14:paraId="30C2D88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681F" w14:textId="77777777" w:rsidR="007755BD" w:rsidRDefault="007755BD" w:rsidP="00181ABF">
      <w:pPr>
        <w:spacing w:line="240" w:lineRule="auto"/>
      </w:pPr>
      <w:r>
        <w:separator/>
      </w:r>
    </w:p>
  </w:footnote>
  <w:footnote w:type="continuationSeparator" w:id="0">
    <w:p w14:paraId="3EB23EB3" w14:textId="77777777" w:rsidR="007755BD" w:rsidRDefault="007755BD"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0B7" w:rsidRDefault="00F620B7" w14:paraId="165F6DCF"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7EFDF63E" w14:textId="77777777">
    <w:pPr>
      <w:pStyle w:val="Encabezado"/>
    </w:pPr>
  </w:p>
  <w:p w:rsidR="00181ABF" w:rsidP="00181ABF" w:rsidRDefault="00181ABF" w14:paraId="6FDCA953" w14:textId="77777777">
    <w:pPr>
      <w:pStyle w:val="Encabezado"/>
      <w:jc w:val="center"/>
    </w:pPr>
    <w:r>
      <w:rPr>
        <w:noProof/>
        <w:lang w:val="es-CR" w:eastAsia="es-CR"/>
      </w:rPr>
      <w:drawing>
        <wp:inline distT="0" distB="0" distL="0" distR="0" wp14:anchorId="1C6507FA" wp14:editId="6AEFBD2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0B7" w:rsidRDefault="00F620B7" w14:paraId="4163AE3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83F75DA"/>
    <w:multiLevelType w:val="hybridMultilevel"/>
    <w:tmpl w:val="CE4E2CA0"/>
    <w:lvl w:ilvl="0" w:tplc="67DCD0EA">
      <w:start w:val="1"/>
      <w:numFmt w:val="decimal"/>
      <w:lvlText w:val="%1."/>
      <w:lvlJc w:val="left"/>
      <w:pPr>
        <w:ind w:left="494" w:hanging="360"/>
      </w:pPr>
      <w:rPr>
        <w:rFonts w:hint="default"/>
        <w:b/>
        <w:bCs/>
      </w:rPr>
    </w:lvl>
    <w:lvl w:ilvl="1" w:tplc="140A0019" w:tentative="1">
      <w:start w:val="1"/>
      <w:numFmt w:val="lowerLetter"/>
      <w:lvlText w:val="%2."/>
      <w:lvlJc w:val="left"/>
      <w:pPr>
        <w:ind w:left="1214" w:hanging="360"/>
      </w:pPr>
    </w:lvl>
    <w:lvl w:ilvl="2" w:tplc="140A001B" w:tentative="1">
      <w:start w:val="1"/>
      <w:numFmt w:val="lowerRoman"/>
      <w:lvlText w:val="%3."/>
      <w:lvlJc w:val="right"/>
      <w:pPr>
        <w:ind w:left="1934" w:hanging="180"/>
      </w:pPr>
    </w:lvl>
    <w:lvl w:ilvl="3" w:tplc="140A000F" w:tentative="1">
      <w:start w:val="1"/>
      <w:numFmt w:val="decimal"/>
      <w:lvlText w:val="%4."/>
      <w:lvlJc w:val="left"/>
      <w:pPr>
        <w:ind w:left="2654" w:hanging="360"/>
      </w:pPr>
    </w:lvl>
    <w:lvl w:ilvl="4" w:tplc="140A0019" w:tentative="1">
      <w:start w:val="1"/>
      <w:numFmt w:val="lowerLetter"/>
      <w:lvlText w:val="%5."/>
      <w:lvlJc w:val="left"/>
      <w:pPr>
        <w:ind w:left="3374" w:hanging="360"/>
      </w:pPr>
    </w:lvl>
    <w:lvl w:ilvl="5" w:tplc="140A001B" w:tentative="1">
      <w:start w:val="1"/>
      <w:numFmt w:val="lowerRoman"/>
      <w:lvlText w:val="%6."/>
      <w:lvlJc w:val="right"/>
      <w:pPr>
        <w:ind w:left="4094" w:hanging="180"/>
      </w:pPr>
    </w:lvl>
    <w:lvl w:ilvl="6" w:tplc="140A000F" w:tentative="1">
      <w:start w:val="1"/>
      <w:numFmt w:val="decimal"/>
      <w:lvlText w:val="%7."/>
      <w:lvlJc w:val="left"/>
      <w:pPr>
        <w:ind w:left="4814" w:hanging="360"/>
      </w:pPr>
    </w:lvl>
    <w:lvl w:ilvl="7" w:tplc="140A0019" w:tentative="1">
      <w:start w:val="1"/>
      <w:numFmt w:val="lowerLetter"/>
      <w:lvlText w:val="%8."/>
      <w:lvlJc w:val="left"/>
      <w:pPr>
        <w:ind w:left="5534" w:hanging="360"/>
      </w:pPr>
    </w:lvl>
    <w:lvl w:ilvl="8" w:tplc="140A001B" w:tentative="1">
      <w:start w:val="1"/>
      <w:numFmt w:val="lowerRoman"/>
      <w:lvlText w:val="%9."/>
      <w:lvlJc w:val="right"/>
      <w:pPr>
        <w:ind w:left="6254"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BD"/>
    <w:rsid w:val="000202E3"/>
    <w:rsid w:val="00181ABF"/>
    <w:rsid w:val="00226DDC"/>
    <w:rsid w:val="002C7DE4"/>
    <w:rsid w:val="003172BE"/>
    <w:rsid w:val="0046105A"/>
    <w:rsid w:val="004D2364"/>
    <w:rsid w:val="006B643C"/>
    <w:rsid w:val="007755BD"/>
    <w:rsid w:val="00833114"/>
    <w:rsid w:val="008C7F0D"/>
    <w:rsid w:val="00937EF0"/>
    <w:rsid w:val="00A201AE"/>
    <w:rsid w:val="00CC5484"/>
    <w:rsid w:val="00D2422E"/>
    <w:rsid w:val="00D60455"/>
    <w:rsid w:val="00D67CC3"/>
    <w:rsid w:val="00D90222"/>
    <w:rsid w:val="00DF2ACF"/>
    <w:rsid w:val="00E42AAC"/>
    <w:rsid w:val="00EB2D54"/>
    <w:rsid w:val="00EC284D"/>
    <w:rsid w:val="00F620B7"/>
    <w:rsid w:val="00F76D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0B078"/>
  <w15:chartTrackingRefBased/>
  <w15:docId w15:val="{93079B0E-DC20-48FE-A37B-7232AB18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7755BD"/>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7755BD"/>
    <w:pPr>
      <w:spacing w:after="11" w:line="231" w:lineRule="auto"/>
      <w:ind w:left="720" w:right="6" w:firstLine="7"/>
      <w:contextualSpacing/>
    </w:pPr>
    <w:rPr>
      <w:rFonts w:ascii="Times New Roman" w:hAnsi="Times New Roman"/>
      <w:color w:val="000000"/>
      <w:sz w:val="24"/>
      <w:szCs w:val="22"/>
      <w:lang w:eastAsia="es-ES"/>
    </w:rPr>
  </w:style>
  <w:style w:type="table" w:customStyle="1" w:styleId="TableGrid">
    <w:name w:val="TableGrid"/>
    <w:rsid w:val="007755BD"/>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7755BD"/>
    <w:rPr>
      <w:rFonts w:ascii="Times New Roman" w:eastAsia="Times New Roman" w:hAnsi="Times New Roman" w:cs="Times New Roman"/>
      <w:color w:val="000000"/>
      <w:sz w:val="24"/>
      <w:lang w:val="es-ES" w:eastAsia="es-ES"/>
    </w:rPr>
  </w:style>
  <w:style w:type="table" w:customStyle="1" w:styleId="TableGrid1">
    <w:name w:val="TableGrid1"/>
    <w:rsid w:val="007755BD"/>
    <w:pPr>
      <w:spacing w:after="0" w:line="240" w:lineRule="auto"/>
    </w:pPr>
    <w:rPr>
      <w:rFonts w:eastAsiaTheme="minorEastAsia"/>
      <w:lang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5AF1B8EA84F59BF1F66DAEAFC3A08"/>
        <w:category>
          <w:name w:val="General"/>
          <w:gallery w:val="placeholder"/>
        </w:category>
        <w:types>
          <w:type w:val="bbPlcHdr"/>
        </w:types>
        <w:behaviors>
          <w:behavior w:val="content"/>
        </w:behaviors>
        <w:guid w:val="{DF012560-0E02-4B09-91B4-BC943B1054AE}"/>
      </w:docPartPr>
      <w:docPartBody>
        <w:p w:rsidR="004602D0" w:rsidRDefault="00A1113D" w:rsidP="00A1113D">
          <w:pPr>
            <w:pStyle w:val="E6B5AF1B8EA84F59BF1F66DAEAFC3A08"/>
          </w:pPr>
          <w:r w:rsidRPr="001E0779">
            <w:rPr>
              <w:rStyle w:val="Textodelmarcadordeposicin"/>
            </w:rPr>
            <w:t>Haga clic aquí para escribir texto.</w:t>
          </w:r>
        </w:p>
      </w:docPartBody>
    </w:docPart>
    <w:docPart>
      <w:docPartPr>
        <w:name w:val="67951B8F8BB44C6BABA6194E498315C0"/>
        <w:category>
          <w:name w:val="General"/>
          <w:gallery w:val="placeholder"/>
        </w:category>
        <w:types>
          <w:type w:val="bbPlcHdr"/>
        </w:types>
        <w:behaviors>
          <w:behavior w:val="content"/>
        </w:behaviors>
        <w:guid w:val="{7E71B21B-1B8B-4A7F-8F07-128DA163D62C}"/>
      </w:docPartPr>
      <w:docPartBody>
        <w:p w:rsidR="004602D0" w:rsidRDefault="00A1113D" w:rsidP="00A1113D">
          <w:pPr>
            <w:pStyle w:val="67951B8F8BB44C6BABA6194E498315C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3D"/>
    <w:rsid w:val="004602D0"/>
    <w:rsid w:val="00A111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113D"/>
  </w:style>
  <w:style w:type="paragraph" w:customStyle="1" w:styleId="E6B5AF1B8EA84F59BF1F66DAEAFC3A08">
    <w:name w:val="E6B5AF1B8EA84F59BF1F66DAEAFC3A08"/>
    <w:rsid w:val="00A1113D"/>
  </w:style>
  <w:style w:type="paragraph" w:customStyle="1" w:styleId="67951B8F8BB44C6BABA6194E498315C0">
    <w:name w:val="67951B8F8BB44C6BABA6194E498315C0"/>
    <w:rsid w:val="00A11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WN56owedoIv5PxdP+kyfxhAscrotB5eythj6MyssTow=</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m0WpYjTRvmRhuzE7s9iMgl1lr+oX9H8rJw85HX7r4O0=</DigestValue>
    </Reference>
  </SignedInfo>
  <SignatureValue>QWSlNjbkp1HZuawDlmBY4PGB5Z+2dQ+/EJWKI2BtpWE1kK11Vhm5zxj1RIWT0S27T7o+058Gn1qV
0PxvHohpwNN8g/OaOJilIKSni9Pr1xNBRxP2CAFdRkukyaqOT4OpRlZZh0LW+SgrSy9fo1wGJjYc
DKbC0GiM4NUtTrku1mcyauWMx5/UyacZiy0SLdlYMy8nyAKC8mg9AVjAdBn3/BH/kCrQTGOFD7m6
PBBite1TgcFueuKtlUgBKbtsq4y11WAsBGCUpRUE+8dyug22WEwWfcxFgxLNY9leofNSIdbPD/9R
L9U1yZTbTw3S5cyWS1dFAD6HalzzdEVeUe5Kug==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WDKKx+KHYWAHgYaV+gzQVaXBM7omHgiN2sT+KSmxC2U=</DigestValue>
      </Reference>
      <Reference URI="/word/endnotes.xml?ContentType=application/vnd.openxmlformats-officedocument.wordprocessingml.endnotes+xml">
        <DigestMethod Algorithm="http://www.w3.org/2001/04/xmlenc#sha256"/>
        <DigestValue>whKUkd8NcWzdJyimCTHmhKiVB/v+Vcp/ETvIumV5H90=</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geQMzhqtEl7RNRsPPbNiTjBG3NkTMIeMVTmMMc5J4pY=</DigestValue>
      </Reference>
      <Reference URI="/word/footer2.xml?ContentType=application/vnd.openxmlformats-officedocument.wordprocessingml.footer+xml">
        <DigestMethod Algorithm="http://www.w3.org/2001/04/xmlenc#sha256"/>
        <DigestValue>nc8Bq128JWSoVDzm5LLcJqw0dqGQgmQ55TjW6pLoXyM=</DigestValue>
      </Reference>
      <Reference URI="/word/footer3.xml?ContentType=application/vnd.openxmlformats-officedocument.wordprocessingml.footer+xml">
        <DigestMethod Algorithm="http://www.w3.org/2001/04/xmlenc#sha256"/>
        <DigestValue>DJyaZOvMh/a7+eXw4xTWom1Y5aPZGMzJL2kHmHWNznY=</DigestValue>
      </Reference>
      <Reference URI="/word/footnotes.xml?ContentType=application/vnd.openxmlformats-officedocument.wordprocessingml.footnotes+xml">
        <DigestMethod Algorithm="http://www.w3.org/2001/04/xmlenc#sha256"/>
        <DigestValue>XvalzpRClJTU5iZhNDPq/jMU5kNO/GNq2neex78qflk=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nwADbK9rTqHoHiXRjmX2f8VOTUrxs4a55iGg/iOpyBY=</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CR1XB1ou9ZYrjeduHW00npOZia5YGYnugZsbm+qzI5A=</DigestValue>
      </Reference>
      <Reference URI="/word/glossary/styles.xml?ContentType=application/vnd.openxmlformats-officedocument.wordprocessingml.styles+xml">
        <DigestMethod Algorithm="http://www.w3.org/2001/04/xmlenc#sha256"/>
        <DigestValue>gBXSvKgBN1R7V2Y9lUQNbbcm5TI5id0IW84lerrFCNE=</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v/lgKQkbM9weMbjGdCrOQqEMFipgTLYlBTwaTek+pG4=</DigestValue>
      </Reference>
      <Reference URI="/word/header2.xml?ContentType=application/vnd.openxmlformats-officedocument.wordprocessingml.header+xml">
        <DigestMethod Algorithm="http://www.w3.org/2001/04/xmlenc#sha256"/>
        <DigestValue>QxnFiNC+cJVJmm3KJBh6UyuxO1/bGWzQh8p8cHRhne8=</DigestValue>
      </Reference>
      <Reference URI="/word/header3.xml?ContentType=application/vnd.openxmlformats-officedocument.wordprocessingml.header+xml">
        <DigestMethod Algorithm="http://www.w3.org/2001/04/xmlenc#sha256"/>
        <DigestValue>91QGL8WT1zLRLo7iIUmdNfV7X+qlRdJd+9pDkyYZ4jA=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4TE2okbjduWyWhEl4BuXd2ATq+eJ77RTs8n1DLjKJQU=</DigestValue>
      </Reference>
      <Reference URI="/word/settings.xml?ContentType=application/vnd.openxmlformats-officedocument.wordprocessingml.settings+xml">
        <DigestMethod Algorithm="http://www.w3.org/2001/04/xmlenc#sha256"/>
        <DigestValue>wfkW+9HkuBzNhYBK50xMiqSVZIxvmBy67b50/NTuXF8=</DigestValue>
      </Reference>
      <Reference URI="/word/styles.xml?ContentType=application/vnd.openxmlformats-officedocument.wordprocessingml.styles+xml">
        <DigestMethod Algorithm="http://www.w3.org/2001/04/xmlenc#sha256"/>
        <DigestValue>VxmHu02zsuG4p6xajkuxF90E78bKotf6rX3Q5Y/sWCQ=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2023-05-23T19:57:45Z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2023-05-23T19:57:45Z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0u8tjOyjrh5golqkLqJgD251vHMQ/J97tPoY0js91kwCBBRGKsEYDzIwMjMwNTIzMTk1Nz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l6mS1kU9NvoIb8z9GEaTLbBYJYo=</xd:ByKey>
                  </xd:ResponderID>
                  <xd:ProducedAt>2023-05-22T20:04:32Z</xd:ProducedAt>
                </xd:OCSPIdentifier>
                <xd:DigestAlgAndValue>
                  <DigestMethod Algorithm="http://www.w3.org/2001/04/xmlenc#sha256"/>
                  <DigestValue>yW2hA4MKY9iaccwyA4hObz+WeQBjuF0nb4b+D4yY3HU=</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</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Lm8lICp2RArAqAZOtomwFsi5vQYHSedftPH2L+e6HUCBBRGKsUYDzIwMjMwNTIzMTk1Nz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8" ma:contentTypeDescription="Crear nuevo documento." ma:contentTypeScope="" ma:versionID="969f0e28a062ab9c674f37f628cb7bf4">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a1c747d56d2a4bfd109e2e3d1522763b"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la Entrante de Coordinación Administrativo para su respectiva publicación en La Gaceta.
Informar a SALIENTE NORMAS,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2023-05-04T06:00:00+00:00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Ajuste en referencias de cuentas Acuerdo SUGEF 3-06 </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C2EB10C-6452-4751-84A2-D1B7F8121C3F}"/>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180D0526-DC6C-4DF5-AF39-08E85132CDFE}"/>
</file>

<file path=customXml/itemProps5.xml><?xml version="1.0" encoding="utf-8"?>
<ds:datastoreItem xmlns:ds="http://schemas.openxmlformats.org/officeDocument/2006/customXml" ds:itemID="{C803B110-734E-431B-BBC0-9E73AB7CAB5E}"/>
</file>

<file path=customXml/itemProps6.xml><?xml version="1.0" encoding="utf-8"?>
<ds:datastoreItem xmlns:ds="http://schemas.openxmlformats.org/officeDocument/2006/customXml" ds:itemID="{B9BBFC67-18AD-47A9-8C42-FD6E66705B8D}"/>
</file>

<file path=docProps/app.xml><?xml version="1.0" encoding="utf-8"?>
<Properties xmlns="http://schemas.openxmlformats.org/officeDocument/2006/extended-properties" xmlns:vt="http://schemas.openxmlformats.org/officeDocument/2006/docPropsVTypes">
  <Template>plantilla-SGF-DST-DNO-22</Template>
  <TotalTime>29</TotalTime>
  <Pages>4</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MARIA GABRIELA</cp:lastModifiedBy>
  <cp:revision>52</cp:revision>
  <dcterms:created xsi:type="dcterms:W3CDTF">2023-05-04T15:28:00Z</dcterms:created>
  <dcterms:modified xsi:type="dcterms:W3CDTF">2023-05-23T17:41:00Z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183;#Resolución|8250c29f-4595-4728-bcc1-a5fc6a20ed53</vt:lpwstr>
  </property>
  <property fmtid="{D5CDD505-2E9C-101B-9397-08002B2CF9AE}" pid="6" name="Unidad de Destino">
    <vt:lpwstr>109;#Área Coordinación Administrativa|39ce7748-92aa-4572-8334-49785789cb1c</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2023-05-08T15:34:02Z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b3fe4db0-01b7-41df-bb2a-03d1f81bdb2b</vt:lpwstr>
  </property>
  <property fmtid="{D5CDD505-2E9C-101B-9397-08002B2CF9AE}" pid="17" name="MSIP_Label_b8b4be34-365a-4a68-b9fb-75c1b6874315_ContentBits">
    <vt:lpwstr>2</vt:lpwstr>
  </property>
  <property fmtid="{D5CDD505-2E9C-101B-9397-08002B2CF9AE}" pid="18" name="Order">
    <vt:r8>118900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f1fd9d7f-da86-405a-9476-87cbb240632e,5;769919c7-9da3-41ff-b395-8ac0bca7c92c,7;</vt:lpwstr>
  </property>
</Properties>
</file>