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B2CE7" w:rsidR="00E86EFE" w:rsidP="00BB2CE7" w:rsidRDefault="00E86EFE" w14:paraId="7AB01864" w14:textId="77777777">
      <w:pPr>
        <w:pStyle w:val="Texto"/>
        <w:tabs>
          <w:tab w:val="left" w:pos="3960"/>
        </w:tabs>
        <w:spacing w:before="0" w:after="0" w:line="240" w:lineRule="auto"/>
        <w:contextualSpacing/>
        <w:jc w:val="center"/>
        <w:rPr>
          <w:b/>
          <w:bCs/>
          <w:sz w:val="24"/>
        </w:rPr>
      </w:pPr>
      <w:r w:rsidRPr="00BB2CE7">
        <w:rPr>
          <w:b/>
          <w:bCs/>
          <w:sz w:val="24"/>
        </w:rPr>
        <w:t>Resolución</w:t>
      </w:r>
    </w:p>
    <w:p w:rsidRPr="00BB2CE7" w:rsidR="00E86EFE" w:rsidP="00BB2CE7" w:rsidRDefault="009949B3" w14:paraId="50A4BAAD" w14:textId="2EAE27AB">
      <w:pPr>
        <w:pStyle w:val="Texto"/>
        <w:spacing w:before="0" w:after="0" w:line="240" w:lineRule="auto"/>
        <w:contextualSpacing/>
        <w:jc w:val="center"/>
        <w:rPr>
          <w:sz w:val="24"/>
        </w:rPr>
      </w:pPr>
      <w:r w:rsidRPr="00BB2CE7">
        <w:rPr>
          <w:sz w:val="24"/>
        </w:rPr>
        <w:t>1</w:t>
      </w:r>
      <w:r w:rsidR="004512CD">
        <w:rPr>
          <w:sz w:val="24"/>
        </w:rPr>
        <w:t>6</w:t>
      </w:r>
      <w:r w:rsidRPr="00BB2CE7" w:rsidR="00E86EFE">
        <w:rPr>
          <w:sz w:val="24"/>
        </w:rPr>
        <w:t xml:space="preserve"> de mayo del 2022</w:t>
      </w:r>
    </w:p>
    <w:sdt>
      <w:sdtPr>
        <w:rPr>
          <w:sz w:val="24"/>
        </w:rPr>
        <w:alias w:val="Consecutivo"/>
        <w:tag w:val="Consecutivo"/>
        <w:id w:val="2052717023"/>
        <w:placeholder>
          <w:docPart w:val="F734D2F521E44E9CACF6087DDCBBC2AB"/>
        </w:placeholder>
        <w:text/>
      </w:sdtPr>
      <w:sdtEndPr/>
      <w:sdtContent>
        <w:p w:rsidRPr="00BB2CE7" w:rsidR="00E86EFE" w:rsidP="00BB2CE7" w:rsidRDefault="00E86EFE" w14:paraId="5A9A4C8C" w14:textId="77777777">
          <w:pPr>
            <w:tabs>
              <w:tab w:val="left" w:pos="2843"/>
            </w:tabs>
            <w:spacing w:line="240" w:lineRule="auto"/>
            <w:contextualSpacing/>
            <w:jc w:val="center"/>
            <w:rPr>
              <w:sz w:val="24"/>
            </w:rPr>
          </w:pPr>
          <w:r>
            <w:t>SGF-1055-2022</w:t>
          </w:r>
        </w:p>
      </w:sdtContent>
    </w:sdt>
    <w:p w:rsidRPr="00BB2CE7" w:rsidR="00E86EFE" w:rsidP="00BB2CE7" w:rsidRDefault="004512CD" w14:paraId="6C777E8F"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CE57274060C648C8BC486F34C5FB253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B2CE7" w:rsidR="00E86EFE">
            <w:rPr>
              <w:sz w:val="24"/>
            </w:rPr>
            <w:t>SGF-PUBLICO</w:t>
          </w:r>
        </w:sdtContent>
      </w:sdt>
    </w:p>
    <w:p w:rsidRPr="00BB2CE7" w:rsidR="00E86EFE" w:rsidP="00BB2CE7" w:rsidRDefault="00E86EFE" w14:paraId="3F3F1CC6" w14:textId="77777777">
      <w:pPr>
        <w:tabs>
          <w:tab w:val="left" w:pos="2843"/>
        </w:tabs>
        <w:spacing w:line="240" w:lineRule="auto"/>
        <w:contextualSpacing/>
        <w:rPr>
          <w:sz w:val="24"/>
        </w:rPr>
      </w:pPr>
      <w:r w:rsidRPr="00BB2CE7">
        <w:rPr>
          <w:sz w:val="24"/>
        </w:rPr>
        <w:tab/>
      </w:r>
    </w:p>
    <w:p w:rsidR="008E5E2F" w:rsidP="00BB2CE7" w:rsidRDefault="008E5E2F" w14:paraId="14E03294" w14:textId="77777777">
      <w:pPr>
        <w:spacing w:line="240" w:lineRule="auto"/>
        <w:contextualSpacing/>
        <w:rPr>
          <w:b/>
          <w:bCs/>
          <w:sz w:val="24"/>
          <w:lang w:val="es-CR" w:eastAsia="es-ES"/>
        </w:rPr>
      </w:pPr>
    </w:p>
    <w:p w:rsidR="008E5E2F" w:rsidP="00BB2CE7" w:rsidRDefault="008E5E2F" w14:paraId="5A7B024F" w14:textId="77777777">
      <w:pPr>
        <w:spacing w:line="240" w:lineRule="auto"/>
        <w:contextualSpacing/>
        <w:rPr>
          <w:b/>
          <w:bCs/>
          <w:sz w:val="24"/>
          <w:lang w:val="es-CR" w:eastAsia="es-ES"/>
        </w:rPr>
      </w:pPr>
    </w:p>
    <w:p w:rsidRPr="00BB2CE7" w:rsidR="00E86EFE" w:rsidP="00BB2CE7" w:rsidRDefault="00E86EFE" w14:paraId="733FB643" w14:textId="7801071E">
      <w:pPr>
        <w:spacing w:line="240" w:lineRule="auto"/>
        <w:contextualSpacing/>
        <w:rPr>
          <w:b/>
          <w:bCs/>
          <w:sz w:val="24"/>
          <w:lang w:val="es-CR" w:eastAsia="es-ES"/>
        </w:rPr>
      </w:pPr>
      <w:r w:rsidRPr="00BB2CE7">
        <w:rPr>
          <w:b/>
          <w:bCs/>
          <w:sz w:val="24"/>
          <w:lang w:val="es-CR" w:eastAsia="es-ES"/>
        </w:rPr>
        <w:t xml:space="preserve">Dirigida a: </w:t>
      </w:r>
    </w:p>
    <w:p w:rsidRPr="00BB2CE7" w:rsidR="00E86EFE" w:rsidP="00BB2CE7" w:rsidRDefault="00E86EFE" w14:paraId="6E401C7A" w14:textId="77777777">
      <w:pPr>
        <w:widowControl w:val="0"/>
        <w:spacing w:line="240" w:lineRule="auto"/>
        <w:ind w:left="34" w:right="86"/>
        <w:contextualSpacing/>
        <w:outlineLvl w:val="0"/>
        <w:rPr>
          <w:b/>
          <w:sz w:val="24"/>
          <w:lang w:val="es-CR" w:eastAsia="es-ES"/>
        </w:rPr>
      </w:pPr>
    </w:p>
    <w:p w:rsidRPr="00BB2CE7" w:rsidR="00E86EFE" w:rsidP="00BB2CE7" w:rsidRDefault="00E86EFE" w14:paraId="2C916324" w14:textId="77777777">
      <w:pPr>
        <w:widowControl w:val="0"/>
        <w:numPr>
          <w:ilvl w:val="0"/>
          <w:numId w:val="3"/>
        </w:numPr>
        <w:spacing w:after="200" w:line="240" w:lineRule="auto"/>
        <w:ind w:left="567" w:right="86" w:hanging="567"/>
        <w:contextualSpacing/>
        <w:rPr>
          <w:b/>
          <w:sz w:val="24"/>
          <w:lang w:val="es-CR" w:eastAsia="es-ES"/>
        </w:rPr>
      </w:pPr>
      <w:r w:rsidRPr="00BB2CE7">
        <w:rPr>
          <w:b/>
          <w:sz w:val="24"/>
          <w:lang w:val="es-CR" w:eastAsia="es-ES"/>
        </w:rPr>
        <w:t>Bancos Comerciales del Estado</w:t>
      </w:r>
    </w:p>
    <w:p w:rsidRPr="00BB2CE7" w:rsidR="00E86EFE" w:rsidP="00BB2CE7" w:rsidRDefault="00E86EFE" w14:paraId="6095286E" w14:textId="77777777">
      <w:pPr>
        <w:widowControl w:val="0"/>
        <w:numPr>
          <w:ilvl w:val="0"/>
          <w:numId w:val="3"/>
        </w:numPr>
        <w:spacing w:after="200" w:line="240" w:lineRule="auto"/>
        <w:ind w:left="567" w:right="86" w:hanging="567"/>
        <w:contextualSpacing/>
        <w:rPr>
          <w:b/>
          <w:sz w:val="24"/>
          <w:lang w:val="es-CR" w:eastAsia="es-ES"/>
        </w:rPr>
      </w:pPr>
      <w:r w:rsidRPr="00BB2CE7">
        <w:rPr>
          <w:b/>
          <w:sz w:val="24"/>
          <w:lang w:val="es-CR" w:eastAsia="es-ES"/>
        </w:rPr>
        <w:t>Bancos Creados por Leyes Especiales</w:t>
      </w:r>
    </w:p>
    <w:p w:rsidRPr="00BB2CE7" w:rsidR="00E86EFE" w:rsidP="00BB2CE7" w:rsidRDefault="00E86EFE" w14:paraId="553CE152" w14:textId="77777777">
      <w:pPr>
        <w:widowControl w:val="0"/>
        <w:numPr>
          <w:ilvl w:val="0"/>
          <w:numId w:val="3"/>
        </w:numPr>
        <w:spacing w:after="200" w:line="240" w:lineRule="auto"/>
        <w:ind w:left="567" w:right="86" w:hanging="567"/>
        <w:contextualSpacing/>
        <w:rPr>
          <w:b/>
          <w:sz w:val="24"/>
          <w:lang w:val="es-CR" w:eastAsia="es-ES"/>
        </w:rPr>
      </w:pPr>
      <w:r w:rsidRPr="00BB2CE7">
        <w:rPr>
          <w:b/>
          <w:sz w:val="24"/>
          <w:lang w:val="es-CR" w:eastAsia="es-ES"/>
        </w:rPr>
        <w:t>Bancos Privados</w:t>
      </w:r>
    </w:p>
    <w:p w:rsidRPr="00BB2CE7" w:rsidR="00E86EFE" w:rsidP="00BB2CE7" w:rsidRDefault="00E86EFE" w14:paraId="1B9CED12" w14:textId="77777777">
      <w:pPr>
        <w:widowControl w:val="0"/>
        <w:numPr>
          <w:ilvl w:val="0"/>
          <w:numId w:val="3"/>
        </w:numPr>
        <w:spacing w:after="200" w:line="240" w:lineRule="auto"/>
        <w:ind w:left="567" w:right="86" w:hanging="567"/>
        <w:contextualSpacing/>
        <w:rPr>
          <w:b/>
          <w:sz w:val="24"/>
          <w:lang w:val="es-CR" w:eastAsia="es-ES"/>
        </w:rPr>
      </w:pPr>
      <w:r w:rsidRPr="00BB2CE7">
        <w:rPr>
          <w:b/>
          <w:sz w:val="24"/>
          <w:lang w:val="es-CR" w:eastAsia="es-ES"/>
        </w:rPr>
        <w:t>Empresas Financieras no Bancarias</w:t>
      </w:r>
    </w:p>
    <w:p w:rsidRPr="00BB2CE7" w:rsidR="00E86EFE" w:rsidP="00BB2CE7" w:rsidRDefault="00E86EFE" w14:paraId="6E3F7CB1" w14:textId="77777777">
      <w:pPr>
        <w:widowControl w:val="0"/>
        <w:numPr>
          <w:ilvl w:val="0"/>
          <w:numId w:val="3"/>
        </w:numPr>
        <w:spacing w:after="200" w:line="240" w:lineRule="auto"/>
        <w:ind w:left="567" w:right="86" w:hanging="567"/>
        <w:contextualSpacing/>
        <w:rPr>
          <w:b/>
          <w:sz w:val="24"/>
          <w:lang w:val="es-CR" w:eastAsia="es-ES"/>
        </w:rPr>
      </w:pPr>
      <w:r w:rsidRPr="00BB2CE7">
        <w:rPr>
          <w:b/>
          <w:sz w:val="24"/>
          <w:lang w:val="es-CR" w:eastAsia="es-ES"/>
        </w:rPr>
        <w:t>Otras Entidades Financieras</w:t>
      </w:r>
    </w:p>
    <w:p w:rsidRPr="00BB2CE7" w:rsidR="00E86EFE" w:rsidP="00BB2CE7" w:rsidRDefault="00E86EFE" w14:paraId="149F7223" w14:textId="77777777">
      <w:pPr>
        <w:widowControl w:val="0"/>
        <w:numPr>
          <w:ilvl w:val="0"/>
          <w:numId w:val="3"/>
        </w:numPr>
        <w:spacing w:after="200" w:line="240" w:lineRule="auto"/>
        <w:ind w:left="567" w:right="86" w:hanging="567"/>
        <w:contextualSpacing/>
        <w:rPr>
          <w:b/>
          <w:sz w:val="24"/>
          <w:lang w:val="es-CR" w:eastAsia="es-ES"/>
        </w:rPr>
      </w:pPr>
      <w:r w:rsidRPr="00BB2CE7">
        <w:rPr>
          <w:b/>
          <w:sz w:val="24"/>
          <w:lang w:val="es-CR" w:eastAsia="es-ES"/>
        </w:rPr>
        <w:t>Organizaciones Cooperativas de Ahorro y Crédito</w:t>
      </w:r>
    </w:p>
    <w:p w:rsidRPr="00BB2CE7" w:rsidR="00E86EFE" w:rsidP="00BB2CE7" w:rsidRDefault="00E86EFE" w14:paraId="43EA687B" w14:textId="77777777">
      <w:pPr>
        <w:widowControl w:val="0"/>
        <w:numPr>
          <w:ilvl w:val="0"/>
          <w:numId w:val="3"/>
        </w:numPr>
        <w:spacing w:after="200" w:line="240" w:lineRule="auto"/>
        <w:ind w:left="567" w:right="86" w:hanging="567"/>
        <w:contextualSpacing/>
        <w:rPr>
          <w:b/>
          <w:sz w:val="24"/>
          <w:lang w:val="es-CR" w:eastAsia="es-ES"/>
        </w:rPr>
      </w:pPr>
      <w:r w:rsidRPr="00BB2CE7">
        <w:rPr>
          <w:b/>
          <w:sz w:val="24"/>
          <w:lang w:val="es-CR" w:eastAsia="es-ES"/>
        </w:rPr>
        <w:t>Entidades Autorizadas del Sistema Financiera Nacional para la Vivienda</w:t>
      </w:r>
    </w:p>
    <w:p w:rsidRPr="00BB2CE7" w:rsidR="00E86EFE" w:rsidP="00BB2CE7" w:rsidRDefault="00E86EFE" w14:paraId="12B70044" w14:textId="77777777">
      <w:pPr>
        <w:spacing w:line="240" w:lineRule="auto"/>
        <w:contextualSpacing/>
        <w:outlineLvl w:val="0"/>
        <w:rPr>
          <w:b/>
          <w:sz w:val="24"/>
          <w:lang w:val="es-CR" w:eastAsia="es-CR"/>
        </w:rPr>
      </w:pPr>
    </w:p>
    <w:p w:rsidR="008E5E2F" w:rsidP="00BB2CE7" w:rsidRDefault="008E5E2F" w14:paraId="0647CAB6" w14:textId="77777777">
      <w:pPr>
        <w:spacing w:before="120" w:after="120" w:line="240" w:lineRule="auto"/>
        <w:ind w:left="10" w:hanging="10"/>
        <w:contextualSpacing/>
        <w:rPr>
          <w:b/>
          <w:color w:val="000000"/>
          <w:sz w:val="24"/>
          <w:lang w:val="es-CR" w:eastAsia="es-CR"/>
        </w:rPr>
      </w:pPr>
    </w:p>
    <w:p w:rsidRPr="00BB2CE7" w:rsidR="00DB670B" w:rsidP="00DB670B" w:rsidRDefault="00DB670B" w14:paraId="6A1B4F0D" w14:textId="77777777">
      <w:pPr>
        <w:spacing w:before="120" w:after="120" w:line="240" w:lineRule="auto"/>
        <w:ind w:left="10" w:hanging="10"/>
        <w:contextualSpacing/>
        <w:rPr>
          <w:iCs/>
          <w:color w:val="000000"/>
          <w:sz w:val="24"/>
          <w:lang w:val="es-CR" w:eastAsia="es-CR"/>
        </w:rPr>
      </w:pPr>
      <w:r w:rsidRPr="00BB2CE7">
        <w:rPr>
          <w:b/>
          <w:color w:val="000000"/>
          <w:sz w:val="24"/>
          <w:lang w:val="es-CR" w:eastAsia="es-CR"/>
        </w:rPr>
        <w:t xml:space="preserve">Asunto: </w:t>
      </w:r>
      <w:r w:rsidRPr="00BB2CE7">
        <w:rPr>
          <w:color w:val="000000"/>
          <w:sz w:val="24"/>
          <w:lang w:val="es-CR" w:eastAsia="es-CR"/>
        </w:rPr>
        <w:t>Lineamientos Generales</w:t>
      </w:r>
      <w:r>
        <w:rPr>
          <w:color w:val="000000"/>
          <w:sz w:val="24"/>
          <w:lang w:val="es-CR" w:eastAsia="es-CR"/>
        </w:rPr>
        <w:t xml:space="preserve"> </w:t>
      </w:r>
      <w:r w:rsidRPr="00BB2CE7">
        <w:rPr>
          <w:iCs/>
          <w:color w:val="000000"/>
          <w:sz w:val="24"/>
          <w:lang w:val="es-CR" w:eastAsia="es-CR"/>
        </w:rPr>
        <w:t>Acuerdo SUGEF 24-22</w:t>
      </w:r>
      <w:r>
        <w:rPr>
          <w:iCs/>
          <w:color w:val="000000"/>
          <w:sz w:val="24"/>
          <w:lang w:val="es-CR" w:eastAsia="es-CR"/>
        </w:rPr>
        <w:t xml:space="preserve">, </w:t>
      </w:r>
      <w:r w:rsidRPr="00BB2CE7">
        <w:rPr>
          <w:i/>
          <w:iCs/>
          <w:color w:val="000000"/>
          <w:sz w:val="24"/>
          <w:lang w:val="es-CR" w:eastAsia="es-CR"/>
        </w:rPr>
        <w:t>Reglamento para calificar a las entidades supervisadas</w:t>
      </w:r>
      <w:r>
        <w:rPr>
          <w:i/>
          <w:iCs/>
          <w:color w:val="000000"/>
          <w:sz w:val="24"/>
          <w:lang w:val="es-CR" w:eastAsia="es-CR"/>
        </w:rPr>
        <w:t>.</w:t>
      </w:r>
    </w:p>
    <w:p w:rsidRPr="00BB2CE7" w:rsidR="00DB670B" w:rsidP="00DB670B" w:rsidRDefault="00DB670B" w14:paraId="34B4876E" w14:textId="77777777">
      <w:pPr>
        <w:spacing w:line="240" w:lineRule="auto"/>
        <w:contextualSpacing/>
        <w:rPr>
          <w:b/>
          <w:sz w:val="24"/>
          <w:lang w:val="es-CR" w:eastAsia="es-ES"/>
        </w:rPr>
      </w:pPr>
    </w:p>
    <w:p w:rsidR="00DB670B" w:rsidP="00DB670B" w:rsidRDefault="00DB670B" w14:paraId="0CBC5B69" w14:textId="77777777">
      <w:pPr>
        <w:widowControl w:val="0"/>
        <w:autoSpaceDE w:val="0"/>
        <w:autoSpaceDN w:val="0"/>
        <w:adjustRightInd w:val="0"/>
        <w:spacing w:after="240" w:line="240" w:lineRule="auto"/>
        <w:contextualSpacing/>
        <w:rPr>
          <w:rFonts w:cs="TimesNewRoman,Bold"/>
          <w:b/>
          <w:bCs/>
          <w:color w:val="000000"/>
          <w:sz w:val="24"/>
          <w:lang w:val="es-CR" w:eastAsia="es-ES"/>
        </w:rPr>
      </w:pPr>
    </w:p>
    <w:p w:rsidR="00DB670B" w:rsidP="00DB670B" w:rsidRDefault="00DB670B" w14:paraId="75086A64" w14:textId="77777777">
      <w:pPr>
        <w:widowControl w:val="0"/>
        <w:autoSpaceDE w:val="0"/>
        <w:autoSpaceDN w:val="0"/>
        <w:adjustRightInd w:val="0"/>
        <w:spacing w:after="240" w:line="240" w:lineRule="auto"/>
        <w:contextualSpacing/>
        <w:rPr>
          <w:rFonts w:cs="TimesNewRoman,Bold"/>
          <w:b/>
          <w:bCs/>
          <w:color w:val="000000"/>
          <w:sz w:val="24"/>
          <w:lang w:val="es-CR" w:eastAsia="es-ES"/>
        </w:rPr>
      </w:pPr>
      <w:r w:rsidRPr="00BB2CE7">
        <w:rPr>
          <w:rFonts w:cs="TimesNewRoman,Bold"/>
          <w:b/>
          <w:bCs/>
          <w:color w:val="000000"/>
          <w:sz w:val="24"/>
          <w:lang w:val="es-CR" w:eastAsia="es-ES"/>
        </w:rPr>
        <w:t>La Superintende</w:t>
      </w:r>
      <w:r>
        <w:rPr>
          <w:rFonts w:cs="TimesNewRoman,Bold"/>
          <w:b/>
          <w:bCs/>
          <w:color w:val="000000"/>
          <w:sz w:val="24"/>
          <w:lang w:val="es-CR" w:eastAsia="es-ES"/>
        </w:rPr>
        <w:t>ncia</w:t>
      </w:r>
      <w:r w:rsidRPr="00BB2CE7">
        <w:rPr>
          <w:rFonts w:cs="TimesNewRoman,Bold"/>
          <w:b/>
          <w:bCs/>
          <w:color w:val="000000"/>
          <w:sz w:val="24"/>
          <w:lang w:val="es-CR" w:eastAsia="es-ES"/>
        </w:rPr>
        <w:t xml:space="preserve"> General de Entidades Financieras</w:t>
      </w:r>
    </w:p>
    <w:p w:rsidRPr="00BB2CE7" w:rsidR="00DB670B" w:rsidP="00DB670B" w:rsidRDefault="00DB670B" w14:paraId="5EE68413" w14:textId="77777777">
      <w:pPr>
        <w:widowControl w:val="0"/>
        <w:autoSpaceDE w:val="0"/>
        <w:autoSpaceDN w:val="0"/>
        <w:adjustRightInd w:val="0"/>
        <w:spacing w:after="240" w:line="240" w:lineRule="auto"/>
        <w:contextualSpacing/>
        <w:rPr>
          <w:rFonts w:cs="TimesNewRoman,Bold"/>
          <w:b/>
          <w:bCs/>
          <w:color w:val="000000"/>
          <w:sz w:val="24"/>
          <w:lang w:val="es-CR" w:eastAsia="es-ES"/>
        </w:rPr>
      </w:pPr>
    </w:p>
    <w:p w:rsidRPr="00BB2CE7" w:rsidR="00DB670B" w:rsidP="00DB670B" w:rsidRDefault="00DB670B" w14:paraId="4C65C683" w14:textId="77777777">
      <w:pPr>
        <w:spacing w:after="240" w:line="240" w:lineRule="auto"/>
        <w:ind w:hanging="10"/>
        <w:contextualSpacing/>
        <w:rPr>
          <w:rFonts w:cs="Calibri"/>
          <w:b/>
          <w:sz w:val="24"/>
          <w:lang w:val="es-CR" w:eastAsia="es-ES"/>
        </w:rPr>
      </w:pPr>
      <w:r w:rsidRPr="00BB2CE7">
        <w:rPr>
          <w:rFonts w:cs="Calibri"/>
          <w:b/>
          <w:sz w:val="24"/>
          <w:lang w:val="es-CR" w:eastAsia="es-ES"/>
        </w:rPr>
        <w:t xml:space="preserve">Considerando que: </w:t>
      </w:r>
    </w:p>
    <w:p w:rsidRPr="00BB2CE7" w:rsidR="00DB670B" w:rsidP="00DB670B" w:rsidRDefault="00DB670B" w14:paraId="777D61DC" w14:textId="77777777">
      <w:pPr>
        <w:spacing w:line="240" w:lineRule="auto"/>
        <w:contextualSpacing/>
        <w:rPr>
          <w:rFonts w:eastAsia="Calibri"/>
          <w:bCs/>
          <w:sz w:val="24"/>
          <w:lang w:val="es-CR"/>
        </w:rPr>
      </w:pPr>
    </w:p>
    <w:p w:rsidRPr="00BB2CE7" w:rsidR="00DB670B" w:rsidP="00DB670B" w:rsidRDefault="00DB670B" w14:paraId="20201FB2" w14:textId="77777777">
      <w:pPr>
        <w:numPr>
          <w:ilvl w:val="0"/>
          <w:numId w:val="7"/>
        </w:numPr>
        <w:spacing w:after="120" w:line="240" w:lineRule="auto"/>
        <w:ind w:left="665" w:hanging="425"/>
        <w:contextualSpacing/>
        <w:rPr>
          <w:rFonts w:eastAsia="Calibri"/>
          <w:bCs/>
          <w:sz w:val="24"/>
          <w:lang w:val="es-CR"/>
        </w:rPr>
      </w:pPr>
      <w:r w:rsidRPr="00BB2CE7">
        <w:rPr>
          <w:sz w:val="24"/>
          <w:lang w:val="es-CR" w:eastAsia="es-ES"/>
        </w:rPr>
        <w:t xml:space="preserve">De conformidad con el Artículo 131, inciso b) de </w:t>
      </w:r>
      <w:r w:rsidRPr="00BB2CE7">
        <w:rPr>
          <w:i/>
          <w:sz w:val="24"/>
          <w:lang w:val="es-CR" w:eastAsia="es-ES"/>
        </w:rPr>
        <w:t>la Ley Orgánica del Banco Central de Costa Rica</w:t>
      </w:r>
      <w:r w:rsidRPr="00BB2CE7">
        <w:rPr>
          <w:sz w:val="24"/>
          <w:lang w:val="es-CR" w:eastAsia="es-ES"/>
        </w:rPr>
        <w:t>, Ley N° 7558, corresponde al Superintendente tomar las medidas necesarias para ejecutar los acuerdos del Consejo Nacional de Supervisión.</w:t>
      </w:r>
    </w:p>
    <w:p w:rsidRPr="00BB2CE7" w:rsidR="00DB670B" w:rsidP="00DB670B" w:rsidRDefault="00DB670B" w14:paraId="0B6CC35D" w14:textId="77777777">
      <w:pPr>
        <w:numPr>
          <w:ilvl w:val="0"/>
          <w:numId w:val="7"/>
        </w:numPr>
        <w:spacing w:after="120" w:line="240" w:lineRule="auto"/>
        <w:ind w:left="665" w:hanging="425"/>
        <w:contextualSpacing/>
        <w:rPr>
          <w:rFonts w:eastAsia="Calibri"/>
          <w:bCs/>
          <w:sz w:val="24"/>
          <w:lang w:val="es-CR"/>
        </w:rPr>
      </w:pPr>
      <w:r w:rsidRPr="00BB2CE7">
        <w:rPr>
          <w:sz w:val="24"/>
          <w:lang w:val="es-CR" w:eastAsia="es-ES"/>
        </w:rPr>
        <w:t>E</w:t>
      </w:r>
      <w:r w:rsidRPr="00BB2CE7">
        <w:rPr>
          <w:rFonts w:cs="Calibri"/>
          <w:sz w:val="24"/>
          <w:lang w:val="es-CR" w:eastAsia="es-ES"/>
        </w:rPr>
        <w:t>l Consejo Nacional de Supervisión del Sistema Financiero, mediante el artículo 6 de</w:t>
      </w:r>
      <w:r w:rsidRPr="00BB2CE7">
        <w:rPr>
          <w:sz w:val="24"/>
          <w:lang w:val="es-CR" w:eastAsia="es-ES"/>
        </w:rPr>
        <w:t xml:space="preserve"> la sesión </w:t>
      </w:r>
      <w:r w:rsidRPr="00BB2CE7">
        <w:rPr>
          <w:sz w:val="24"/>
          <w:lang w:eastAsia="es-ES"/>
        </w:rPr>
        <w:t>1727-2022</w:t>
      </w:r>
      <w:r w:rsidRPr="00BB2CE7">
        <w:rPr>
          <w:sz w:val="24"/>
          <w:lang w:val="es-CR" w:eastAsia="es-ES"/>
        </w:rPr>
        <w:t xml:space="preserve"> del 25 de abril del 2022 aprobó</w:t>
      </w:r>
      <w:r w:rsidRPr="00BB2CE7">
        <w:rPr>
          <w:rFonts w:cs="Calibri"/>
          <w:sz w:val="24"/>
          <w:lang w:val="es-CR" w:eastAsia="es-ES"/>
        </w:rPr>
        <w:t xml:space="preserve"> el </w:t>
      </w:r>
      <w:r w:rsidRPr="00BB2CE7">
        <w:rPr>
          <w:i/>
          <w:iCs/>
          <w:sz w:val="24"/>
          <w:lang w:val="es-CR" w:eastAsia="es-ES"/>
        </w:rPr>
        <w:t>Reglamento para calificar a las entidades supervisadas</w:t>
      </w:r>
      <w:r w:rsidRPr="00BB2CE7">
        <w:rPr>
          <w:rFonts w:cs="Calibri"/>
          <w:sz w:val="24"/>
          <w:lang w:val="es-CR" w:eastAsia="es-ES"/>
        </w:rPr>
        <w:t>, Acuerdo SUGEF 24-22. El reglamento fue publicado en el Alcance N. 88 del Diario Oficial La Gaceta N. 83 del viernes 6 de mayo del 2022.</w:t>
      </w:r>
    </w:p>
    <w:p w:rsidRPr="00BB2CE7" w:rsidR="00DB670B" w:rsidP="00DB670B" w:rsidRDefault="00DB670B" w14:paraId="668F7623" w14:textId="77777777">
      <w:pPr>
        <w:numPr>
          <w:ilvl w:val="0"/>
          <w:numId w:val="7"/>
        </w:numPr>
        <w:spacing w:after="120" w:line="240" w:lineRule="auto"/>
        <w:ind w:left="665" w:hanging="425"/>
        <w:contextualSpacing/>
        <w:rPr>
          <w:rFonts w:eastAsia="Calibri"/>
          <w:bCs/>
          <w:sz w:val="24"/>
        </w:rPr>
      </w:pPr>
      <w:r w:rsidRPr="00BB2CE7">
        <w:rPr>
          <w:sz w:val="24"/>
          <w:lang w:eastAsia="es-ES"/>
        </w:rPr>
        <w:t xml:space="preserve">En la Disposición adicional primera del </w:t>
      </w:r>
      <w:r w:rsidRPr="00BB2CE7">
        <w:rPr>
          <w:i/>
          <w:iCs/>
          <w:sz w:val="24"/>
          <w:lang w:eastAsia="es-ES"/>
        </w:rPr>
        <w:t>Reglamento para calificar a las entidades supervisadas</w:t>
      </w:r>
      <w:r w:rsidRPr="00BB2CE7">
        <w:rPr>
          <w:sz w:val="24"/>
          <w:lang w:eastAsia="es-ES"/>
        </w:rPr>
        <w:t xml:space="preserve">, habilita al Superintendente para emitir los Lineamientos Generales necesarios para su aplicación. </w:t>
      </w:r>
    </w:p>
    <w:p w:rsidR="00DB670B" w:rsidP="00DB670B" w:rsidRDefault="00DB670B" w14:paraId="28B41520" w14:textId="77777777">
      <w:pPr>
        <w:numPr>
          <w:ilvl w:val="0"/>
          <w:numId w:val="7"/>
        </w:numPr>
        <w:spacing w:after="120" w:line="240" w:lineRule="auto"/>
        <w:ind w:left="665" w:hanging="425"/>
        <w:contextualSpacing/>
        <w:rPr>
          <w:sz w:val="24"/>
          <w:lang w:eastAsia="es-ES"/>
        </w:rPr>
      </w:pPr>
      <w:r w:rsidRPr="00BB2CE7">
        <w:rPr>
          <w:sz w:val="24"/>
          <w:lang w:eastAsia="es-ES"/>
        </w:rPr>
        <w:t xml:space="preserve">La SUGEF utiliza para sustentar calificación de la entidad, la valoración de aspectos como: la </w:t>
      </w:r>
      <w:r w:rsidRPr="00BB2CE7">
        <w:rPr>
          <w:b/>
          <w:bCs/>
          <w:sz w:val="24"/>
          <w:lang w:eastAsia="es-ES"/>
        </w:rPr>
        <w:t>calidad</w:t>
      </w:r>
      <w:r w:rsidRPr="00BB2CE7">
        <w:rPr>
          <w:sz w:val="24"/>
          <w:lang w:eastAsia="es-ES"/>
        </w:rPr>
        <w:t xml:space="preserve"> del gobierno corporativo, la </w:t>
      </w:r>
      <w:r w:rsidRPr="00BB2CE7">
        <w:rPr>
          <w:b/>
          <w:bCs/>
          <w:sz w:val="24"/>
          <w:lang w:eastAsia="es-ES"/>
        </w:rPr>
        <w:t>calidad</w:t>
      </w:r>
      <w:r w:rsidRPr="00BB2CE7">
        <w:rPr>
          <w:sz w:val="24"/>
          <w:lang w:eastAsia="es-ES"/>
        </w:rPr>
        <w:t xml:space="preserve"> de la gestión de riesgos, la </w:t>
      </w:r>
      <w:r w:rsidRPr="00BB2CE7">
        <w:rPr>
          <w:b/>
          <w:bCs/>
          <w:sz w:val="24"/>
          <w:lang w:eastAsia="es-ES"/>
        </w:rPr>
        <w:t>evaluación</w:t>
      </w:r>
      <w:r w:rsidRPr="00BB2CE7">
        <w:rPr>
          <w:sz w:val="24"/>
          <w:lang w:eastAsia="es-ES"/>
        </w:rPr>
        <w:t xml:space="preserve"> de la situación económica financiera, y la </w:t>
      </w:r>
      <w:r w:rsidRPr="00BB2CE7">
        <w:rPr>
          <w:b/>
          <w:bCs/>
          <w:sz w:val="24"/>
          <w:lang w:eastAsia="es-ES"/>
        </w:rPr>
        <w:t>calidad</w:t>
      </w:r>
      <w:r w:rsidRPr="00BB2CE7">
        <w:rPr>
          <w:sz w:val="24"/>
          <w:lang w:eastAsia="es-ES"/>
        </w:rPr>
        <w:t xml:space="preserve"> del ambiente de cumplimiento legal y regulatorio. Entre otros aspectos, esta valoración se sustenta en los resultados que le provee la aplicación del Enfoque de Supervisión basado en Riesgos, el cual se fundamenta en los siguientes </w:t>
      </w:r>
      <w:r w:rsidRPr="00BB2CE7">
        <w:rPr>
          <w:sz w:val="24"/>
          <w:lang w:eastAsia="es-ES"/>
        </w:rPr>
        <w:lastRenderedPageBreak/>
        <w:t>principios rectores, contenidos en el “Marco Conceptual de Supervisión Prudencial”, M-SU-005:</w:t>
      </w:r>
    </w:p>
    <w:p w:rsidRPr="00BB2CE7" w:rsidR="00DB670B" w:rsidP="00DB670B" w:rsidRDefault="00DB670B" w14:paraId="1F9B427F" w14:textId="77777777">
      <w:pPr>
        <w:spacing w:after="120" w:line="240" w:lineRule="auto"/>
        <w:ind w:left="665"/>
        <w:contextualSpacing/>
        <w:rPr>
          <w:sz w:val="24"/>
          <w:lang w:eastAsia="es-ES"/>
        </w:rPr>
      </w:pPr>
    </w:p>
    <w:p w:rsidRPr="00BB2CE7" w:rsidR="00DB670B" w:rsidP="00DB670B" w:rsidRDefault="00DB670B" w14:paraId="2252BBC2" w14:textId="77777777">
      <w:pPr>
        <w:numPr>
          <w:ilvl w:val="0"/>
          <w:numId w:val="9"/>
        </w:numPr>
        <w:spacing w:after="120" w:line="240" w:lineRule="auto"/>
        <w:ind w:left="1025"/>
        <w:contextualSpacing/>
        <w:rPr>
          <w:rFonts w:eastAsia="Calibri"/>
          <w:bCs/>
          <w:sz w:val="24"/>
        </w:rPr>
      </w:pPr>
      <w:r w:rsidRPr="00BB2CE7">
        <w:rPr>
          <w:sz w:val="24"/>
          <w:lang w:eastAsia="es-ES"/>
        </w:rPr>
        <w:t>Orientado al riesgo material: La evaluación de riesgos se enfoca en la identificación y análisis de riesgos materiales en las entidades, entendidos como aquellos que pueden ocasionar potenciales pérdidas en la entidad e impactar a los depositantes.</w:t>
      </w:r>
    </w:p>
    <w:p w:rsidRPr="00BB2CE7" w:rsidR="00DB670B" w:rsidP="00DB670B" w:rsidRDefault="00DB670B" w14:paraId="5AF9CF1A" w14:textId="77777777">
      <w:pPr>
        <w:numPr>
          <w:ilvl w:val="0"/>
          <w:numId w:val="10"/>
        </w:numPr>
        <w:spacing w:after="120" w:line="240" w:lineRule="auto"/>
        <w:ind w:left="1025"/>
        <w:contextualSpacing/>
        <w:rPr>
          <w:rFonts w:eastAsia="Calibri"/>
          <w:bCs/>
          <w:sz w:val="24"/>
        </w:rPr>
      </w:pPr>
      <w:r w:rsidRPr="00BB2CE7">
        <w:rPr>
          <w:sz w:val="24"/>
          <w:lang w:eastAsia="es-ES"/>
        </w:rPr>
        <w:t>Supervisión oportuna, dinámica y prospectiva: La evaluación de riesgos es un proceso continuo y dinámico que pretende mantener actualizado el perfil de riesgo de la entidad y procura anticipar los problemas que pueden afectar la estabilidad, solvencia y liquidez de la entidad, a fin de promover la adopción de acciones correctivas y precautorias oportunas.</w:t>
      </w:r>
    </w:p>
    <w:p w:rsidRPr="00BB2CE7" w:rsidR="00DB670B" w:rsidP="00DB670B" w:rsidRDefault="00DB670B" w14:paraId="3C8AF92E" w14:textId="77777777">
      <w:pPr>
        <w:numPr>
          <w:ilvl w:val="0"/>
          <w:numId w:val="11"/>
        </w:numPr>
        <w:spacing w:after="120" w:line="240" w:lineRule="auto"/>
        <w:ind w:left="1025"/>
        <w:contextualSpacing/>
        <w:rPr>
          <w:rFonts w:eastAsia="Calibri"/>
          <w:bCs/>
          <w:sz w:val="24"/>
        </w:rPr>
      </w:pPr>
      <w:r w:rsidRPr="00BB2CE7">
        <w:rPr>
          <w:sz w:val="24"/>
          <w:lang w:eastAsia="es-ES"/>
        </w:rPr>
        <w:t>Criterio informado: La evaluación de riesgos y de la efectividad de la gestión y los controles requiere estar sustentada en el conocimiento y análisis de la entidad, su modelo de negocio y su entorno. Es esencial una comunicación abierta y transparente entre los supervisores y las entidades financieras supervisadas.</w:t>
      </w:r>
    </w:p>
    <w:p w:rsidRPr="00BB2CE7" w:rsidR="00DB670B" w:rsidP="00DB670B" w:rsidRDefault="00DB670B" w14:paraId="3A86204B" w14:textId="77777777">
      <w:pPr>
        <w:numPr>
          <w:ilvl w:val="0"/>
          <w:numId w:val="11"/>
        </w:numPr>
        <w:spacing w:after="120" w:line="240" w:lineRule="auto"/>
        <w:ind w:left="1025"/>
        <w:contextualSpacing/>
        <w:rPr>
          <w:rFonts w:eastAsia="Calibri"/>
          <w:bCs/>
          <w:sz w:val="24"/>
        </w:rPr>
      </w:pPr>
      <w:r w:rsidRPr="00BB2CE7">
        <w:rPr>
          <w:sz w:val="24"/>
          <w:lang w:eastAsia="es-ES"/>
        </w:rPr>
        <w:t>Entendimiento de los factores de riesgo: La evaluación de riesgos requiere un amplio entendimiento y análisis de los factores generadores de riesgo asociados a las actividades de la entidad.</w:t>
      </w:r>
    </w:p>
    <w:p w:rsidR="00DB670B" w:rsidP="00DB670B" w:rsidRDefault="00DB670B" w14:paraId="4691BB22" w14:textId="77777777">
      <w:pPr>
        <w:spacing w:after="120" w:line="240" w:lineRule="auto"/>
        <w:ind w:left="1014"/>
        <w:contextualSpacing/>
        <w:rPr>
          <w:color w:val="4F81BD"/>
          <w:sz w:val="24"/>
          <w:u w:val="single"/>
          <w:lang w:val="es-CR" w:eastAsia="es-ES"/>
        </w:rPr>
      </w:pPr>
      <w:r w:rsidRPr="00BB2CE7">
        <w:rPr>
          <w:sz w:val="24"/>
          <w:lang w:val="es-CR" w:eastAsia="es-ES"/>
        </w:rPr>
        <w:t xml:space="preserve">Este Marco Conceptual, está publicado en la página Web de SUGEF en la dirección </w:t>
      </w:r>
      <w:hyperlink w:history="1" r:id="rId13">
        <w:r w:rsidRPr="00BB2CE7">
          <w:rPr>
            <w:color w:val="4F81BD"/>
            <w:sz w:val="24"/>
            <w:u w:val="single"/>
            <w:lang w:val="es-CR" w:eastAsia="es-ES"/>
          </w:rPr>
          <w:t>https://www.sugef.fi.cr/informacion_relevante/supervision_basada_en_riesgo.aspx</w:t>
        </w:r>
      </w:hyperlink>
      <w:r w:rsidRPr="00BB2CE7">
        <w:rPr>
          <w:color w:val="4F81BD"/>
          <w:sz w:val="24"/>
          <w:u w:val="single"/>
          <w:lang w:val="es-CR" w:eastAsia="es-ES"/>
        </w:rPr>
        <w:t>.</w:t>
      </w:r>
    </w:p>
    <w:p w:rsidRPr="00BB2CE7" w:rsidR="00DB670B" w:rsidP="00DB670B" w:rsidRDefault="00DB670B" w14:paraId="5FC4D1AE" w14:textId="77777777">
      <w:pPr>
        <w:spacing w:after="120" w:line="240" w:lineRule="auto"/>
        <w:ind w:left="1014"/>
        <w:contextualSpacing/>
        <w:rPr>
          <w:bCs/>
          <w:sz w:val="24"/>
          <w:lang w:val="es-CR" w:eastAsia="es-ES"/>
        </w:rPr>
      </w:pPr>
    </w:p>
    <w:p w:rsidRPr="00BB2CE7" w:rsidR="00DB670B" w:rsidP="00DB670B" w:rsidRDefault="00DB670B" w14:paraId="1CACE13F" w14:textId="77777777">
      <w:pPr>
        <w:numPr>
          <w:ilvl w:val="0"/>
          <w:numId w:val="7"/>
        </w:numPr>
        <w:spacing w:after="120" w:line="240" w:lineRule="auto"/>
        <w:ind w:left="665" w:hanging="425"/>
        <w:contextualSpacing/>
        <w:rPr>
          <w:sz w:val="24"/>
          <w:lang w:eastAsia="es-ES"/>
        </w:rPr>
      </w:pPr>
      <w:r w:rsidRPr="00BB2CE7">
        <w:rPr>
          <w:sz w:val="24"/>
          <w:lang w:eastAsia="es-ES"/>
        </w:rPr>
        <w:t>Para un mejor entendimiento de la calificación establecida en el “Reglamento para Calificar Entidades Supervisadas”, Acuerdo SUGEF 24-22, se emiten Lineamientos Generales que incluyen los elementos y criterios mínimos que guían a la SUGEF para la valoración de los aspectos sobre calidad del gobierno corporativo, calidad de la gestión de riesgos, evaluación de la situación económica financiera, y calidad del ambiente de cumplimiento legal y regulatorio.</w:t>
      </w:r>
    </w:p>
    <w:p w:rsidRPr="00BB2CE7" w:rsidR="00DB670B" w:rsidP="00DB670B" w:rsidRDefault="00DB670B" w14:paraId="2F49E9FB" w14:textId="77777777">
      <w:pPr>
        <w:numPr>
          <w:ilvl w:val="0"/>
          <w:numId w:val="7"/>
        </w:numPr>
        <w:spacing w:after="120" w:line="240" w:lineRule="auto"/>
        <w:ind w:left="665" w:hanging="425"/>
        <w:contextualSpacing/>
        <w:rPr>
          <w:sz w:val="24"/>
          <w:lang w:eastAsia="es-ES"/>
        </w:rPr>
      </w:pPr>
      <w:r w:rsidRPr="00BB2CE7">
        <w:rPr>
          <w:sz w:val="24"/>
          <w:lang w:eastAsia="es-ES"/>
        </w:rPr>
        <w:t>Para esta valoración la SUGEF se apoya también en el marco legal y de regulación vigente, así como en sanas prácticas de gobernanza y de gestión de riesgos, por lo que los Lineamientos son una guía que resume el proceso de calificación, pero reserva un margen para el criterio técnico de los supervisores.</w:t>
      </w:r>
    </w:p>
    <w:p w:rsidR="00DB670B" w:rsidP="00DB670B" w:rsidRDefault="00DB670B" w14:paraId="41A20F96" w14:textId="77777777">
      <w:pPr>
        <w:spacing w:after="120" w:line="240" w:lineRule="auto"/>
        <w:ind w:hanging="10"/>
        <w:contextualSpacing/>
        <w:rPr>
          <w:rFonts w:cs="Calibri"/>
          <w:b/>
          <w:sz w:val="24"/>
          <w:lang w:val="es-CR" w:eastAsia="es-ES"/>
        </w:rPr>
      </w:pPr>
    </w:p>
    <w:p w:rsidR="00DB670B" w:rsidP="00DB670B" w:rsidRDefault="00DB670B" w14:paraId="013CB953" w14:textId="77777777">
      <w:pPr>
        <w:spacing w:after="120" w:line="240" w:lineRule="auto"/>
        <w:ind w:hanging="10"/>
        <w:contextualSpacing/>
        <w:rPr>
          <w:rFonts w:cs="Calibri"/>
          <w:b/>
          <w:sz w:val="24"/>
          <w:lang w:val="es-CR" w:eastAsia="es-ES"/>
        </w:rPr>
      </w:pPr>
    </w:p>
    <w:p w:rsidR="00DB670B" w:rsidP="00DB670B" w:rsidRDefault="00DB670B" w14:paraId="119E51BD" w14:textId="77777777">
      <w:pPr>
        <w:spacing w:after="120" w:line="240" w:lineRule="auto"/>
        <w:ind w:hanging="10"/>
        <w:contextualSpacing/>
        <w:rPr>
          <w:rFonts w:cs="Calibri"/>
          <w:b/>
          <w:sz w:val="24"/>
          <w:lang w:val="es-CR" w:eastAsia="es-ES"/>
        </w:rPr>
      </w:pPr>
    </w:p>
    <w:p w:rsidR="00DB670B" w:rsidP="00DB670B" w:rsidRDefault="00DB670B" w14:paraId="01B27610" w14:textId="77777777">
      <w:pPr>
        <w:spacing w:after="120" w:line="240" w:lineRule="auto"/>
        <w:ind w:hanging="10"/>
        <w:contextualSpacing/>
        <w:rPr>
          <w:rFonts w:cs="Calibri"/>
          <w:b/>
          <w:sz w:val="24"/>
          <w:lang w:val="es-CR" w:eastAsia="es-ES"/>
        </w:rPr>
      </w:pPr>
    </w:p>
    <w:p w:rsidR="00DB670B" w:rsidP="00DB670B" w:rsidRDefault="00DB670B" w14:paraId="3667FDD8" w14:textId="77777777">
      <w:pPr>
        <w:spacing w:after="120" w:line="240" w:lineRule="auto"/>
        <w:ind w:hanging="10"/>
        <w:contextualSpacing/>
        <w:rPr>
          <w:rFonts w:cs="Calibri"/>
          <w:b/>
          <w:sz w:val="24"/>
          <w:lang w:val="es-CR" w:eastAsia="es-ES"/>
        </w:rPr>
      </w:pPr>
    </w:p>
    <w:p w:rsidR="00DB670B" w:rsidP="00DB670B" w:rsidRDefault="00DB670B" w14:paraId="4E82283E" w14:textId="77777777">
      <w:pPr>
        <w:spacing w:after="120" w:line="240" w:lineRule="auto"/>
        <w:ind w:hanging="10"/>
        <w:contextualSpacing/>
        <w:rPr>
          <w:rFonts w:cs="Calibri"/>
          <w:b/>
          <w:sz w:val="24"/>
          <w:lang w:val="es-CR" w:eastAsia="es-ES"/>
        </w:rPr>
      </w:pPr>
    </w:p>
    <w:p w:rsidRPr="00BB2CE7" w:rsidR="00DB670B" w:rsidP="00DB670B" w:rsidRDefault="00DB670B" w14:paraId="724EA05F" w14:textId="77777777">
      <w:pPr>
        <w:spacing w:after="120" w:line="240" w:lineRule="auto"/>
        <w:ind w:hanging="10"/>
        <w:contextualSpacing/>
        <w:rPr>
          <w:rFonts w:cs="Calibri"/>
          <w:b/>
          <w:sz w:val="24"/>
          <w:lang w:val="es-CR" w:eastAsia="es-ES"/>
        </w:rPr>
      </w:pPr>
    </w:p>
    <w:p w:rsidRPr="00BB2CE7" w:rsidR="00DB670B" w:rsidP="00DB670B" w:rsidRDefault="00DB670B" w14:paraId="4D6B5226" w14:textId="77777777">
      <w:pPr>
        <w:spacing w:after="120" w:line="240" w:lineRule="auto"/>
        <w:ind w:hanging="10"/>
        <w:contextualSpacing/>
        <w:rPr>
          <w:rFonts w:cs="Calibri"/>
          <w:b/>
          <w:sz w:val="24"/>
          <w:lang w:val="es-CR" w:eastAsia="es-ES"/>
        </w:rPr>
      </w:pPr>
    </w:p>
    <w:p w:rsidRPr="00BB2CE7" w:rsidR="00DB670B" w:rsidP="00DB670B" w:rsidRDefault="00DB670B" w14:paraId="293B5C8A" w14:textId="77777777">
      <w:pPr>
        <w:spacing w:after="120" w:line="240" w:lineRule="auto"/>
        <w:ind w:hanging="10"/>
        <w:contextualSpacing/>
        <w:rPr>
          <w:rFonts w:cs="Calibri"/>
          <w:sz w:val="24"/>
          <w:lang w:val="es-CR" w:eastAsia="es-ES"/>
        </w:rPr>
      </w:pPr>
      <w:r w:rsidRPr="00BB2CE7">
        <w:rPr>
          <w:rFonts w:cs="Calibri"/>
          <w:b/>
          <w:sz w:val="24"/>
          <w:lang w:val="es-CR" w:eastAsia="es-ES"/>
        </w:rPr>
        <w:lastRenderedPageBreak/>
        <w:t xml:space="preserve">Dispone: </w:t>
      </w:r>
    </w:p>
    <w:p w:rsidR="00DB670B" w:rsidP="00DB670B" w:rsidRDefault="00DB670B" w14:paraId="6559E0B7" w14:textId="77777777">
      <w:pPr>
        <w:spacing w:after="240" w:line="240" w:lineRule="auto"/>
        <w:contextualSpacing/>
        <w:rPr>
          <w:b/>
          <w:sz w:val="24"/>
          <w:lang w:val="es-CR" w:eastAsia="es-ES"/>
        </w:rPr>
      </w:pPr>
    </w:p>
    <w:p w:rsidRPr="00BB2CE7" w:rsidR="00DB670B" w:rsidP="00DB670B" w:rsidRDefault="00DB670B" w14:paraId="440EAA5E" w14:textId="77777777">
      <w:pPr>
        <w:spacing w:after="240" w:line="240" w:lineRule="auto"/>
        <w:contextualSpacing/>
        <w:rPr>
          <w:b/>
          <w:sz w:val="24"/>
          <w:lang w:val="es-CR" w:eastAsia="es-ES"/>
        </w:rPr>
      </w:pPr>
      <w:r w:rsidRPr="00BB2CE7">
        <w:rPr>
          <w:b/>
          <w:sz w:val="24"/>
          <w:lang w:val="es-CR" w:eastAsia="es-ES"/>
        </w:rPr>
        <w:t>Emitir los Lineamientos Generales al</w:t>
      </w:r>
      <w:r>
        <w:rPr>
          <w:b/>
          <w:sz w:val="24"/>
          <w:lang w:val="es-CR" w:eastAsia="es-ES"/>
        </w:rPr>
        <w:t xml:space="preserve"> </w:t>
      </w:r>
      <w:r w:rsidRPr="00BB2CE7">
        <w:rPr>
          <w:b/>
          <w:i/>
          <w:iCs/>
          <w:sz w:val="24"/>
          <w:lang w:val="es-CR" w:eastAsia="es-ES"/>
        </w:rPr>
        <w:t>Acuerdo SUGEF 24-22</w:t>
      </w:r>
      <w:r>
        <w:rPr>
          <w:b/>
          <w:sz w:val="24"/>
          <w:lang w:val="es-CR" w:eastAsia="es-ES"/>
        </w:rPr>
        <w:t xml:space="preserve">, </w:t>
      </w:r>
      <w:r w:rsidRPr="00BB2CE7">
        <w:rPr>
          <w:b/>
          <w:i/>
          <w:iCs/>
          <w:sz w:val="24"/>
          <w:lang w:val="es-CR" w:eastAsia="es-ES"/>
        </w:rPr>
        <w:t>Reglamento para calificar a las entidades supervisadas</w:t>
      </w:r>
      <w:r>
        <w:rPr>
          <w:b/>
          <w:i/>
          <w:iCs/>
          <w:sz w:val="24"/>
          <w:lang w:val="es-CR" w:eastAsia="es-ES"/>
        </w:rPr>
        <w:t>.</w:t>
      </w:r>
    </w:p>
    <w:p w:rsidRPr="00BB2CE7" w:rsidR="00DB670B" w:rsidP="00DB670B" w:rsidRDefault="00DB670B" w14:paraId="01AAA27B" w14:textId="77777777">
      <w:pPr>
        <w:spacing w:after="160" w:line="240" w:lineRule="auto"/>
        <w:contextualSpacing/>
        <w:rPr>
          <w:rFonts w:eastAsia="Calibri"/>
          <w:bCs/>
          <w:sz w:val="24"/>
          <w:lang w:val="es-CR"/>
        </w:rPr>
      </w:pPr>
    </w:p>
    <w:p w:rsidRPr="00BB2CE7" w:rsidR="00DB670B" w:rsidP="00DB670B" w:rsidRDefault="00DB670B" w14:paraId="0A28035B" w14:textId="77777777">
      <w:pPr>
        <w:spacing w:line="240" w:lineRule="auto"/>
        <w:contextualSpacing/>
        <w:rPr>
          <w:b/>
          <w:bCs/>
          <w:sz w:val="24"/>
          <w:lang w:val="es-CR" w:eastAsia="es-ES"/>
        </w:rPr>
      </w:pPr>
      <w:r w:rsidRPr="00BB2CE7">
        <w:rPr>
          <w:b/>
          <w:bCs/>
          <w:sz w:val="24"/>
          <w:lang w:val="es-CR" w:eastAsia="es-ES"/>
        </w:rPr>
        <w:t>Lineamientos Generales al Acuerdo SUGEF 24-22</w:t>
      </w:r>
      <w:r>
        <w:rPr>
          <w:b/>
          <w:bCs/>
          <w:sz w:val="24"/>
          <w:lang w:val="es-CR" w:eastAsia="es-ES"/>
        </w:rPr>
        <w:t xml:space="preserve">, </w:t>
      </w:r>
      <w:r w:rsidRPr="00BB2CE7">
        <w:rPr>
          <w:b/>
          <w:bCs/>
          <w:sz w:val="24"/>
          <w:lang w:val="es-CR" w:eastAsia="es-ES"/>
        </w:rPr>
        <w:t>Reglamento para calificar a las entidades supervisadas</w:t>
      </w:r>
    </w:p>
    <w:p w:rsidRPr="00BB2CE7" w:rsidR="00DB670B" w:rsidP="00DB670B" w:rsidRDefault="00DB670B" w14:paraId="3C157627" w14:textId="77777777">
      <w:pPr>
        <w:spacing w:after="160" w:line="240" w:lineRule="auto"/>
        <w:contextualSpacing/>
        <w:rPr>
          <w:rFonts w:eastAsiaTheme="minorHAnsi" w:cstheme="minorBidi"/>
          <w:sz w:val="24"/>
          <w:lang w:val="es-CR"/>
        </w:rPr>
      </w:pPr>
    </w:p>
    <w:sdt>
      <w:sdtPr>
        <w:rPr>
          <w:rFonts w:eastAsiaTheme="minorHAnsi" w:cstheme="minorBidi"/>
          <w:sz w:val="24"/>
        </w:rPr>
        <w:id w:val="1687562143"/>
        <w:docPartObj>
          <w:docPartGallery w:val="Table of Contents"/>
          <w:docPartUnique/>
        </w:docPartObj>
      </w:sdtPr>
      <w:sdtEndPr>
        <w:rPr>
          <w:b/>
          <w:bCs/>
        </w:rPr>
      </w:sdtEndPr>
      <w:sdtContent>
        <w:p w:rsidRPr="00BB2CE7" w:rsidR="00DB670B" w:rsidP="00DB670B" w:rsidRDefault="00DB670B" w14:paraId="1E629A91" w14:textId="77777777">
          <w:pPr>
            <w:keepNext/>
            <w:keepLines/>
            <w:spacing w:before="240" w:line="240" w:lineRule="auto"/>
            <w:contextualSpacing/>
            <w:rPr>
              <w:rFonts w:eastAsiaTheme="majorEastAsia" w:cstheme="majorBidi"/>
              <w:color w:val="2E74B5" w:themeColor="accent1" w:themeShade="BF"/>
              <w:sz w:val="24"/>
              <w:lang w:val="es-CR" w:eastAsia="es-CR"/>
            </w:rPr>
          </w:pPr>
          <w:r w:rsidRPr="00BB2CE7">
            <w:rPr>
              <w:rFonts w:eastAsiaTheme="majorEastAsia" w:cstheme="majorBidi"/>
              <w:color w:val="2E74B5" w:themeColor="accent1" w:themeShade="BF"/>
              <w:sz w:val="24"/>
              <w:lang w:eastAsia="es-CR"/>
            </w:rPr>
            <w:t>Contenido</w:t>
          </w:r>
        </w:p>
        <w:p w:rsidR="00DB670B" w:rsidP="00DB670B" w:rsidRDefault="00DB670B" w14:paraId="47D06027" w14:textId="77777777">
          <w:pPr>
            <w:pStyle w:val="TDC1"/>
            <w:tabs>
              <w:tab w:val="left" w:pos="440"/>
              <w:tab w:val="right" w:leader="dot" w:pos="8828"/>
            </w:tabs>
            <w:rPr>
              <w:rFonts w:asciiTheme="minorHAnsi" w:hAnsiTheme="minorHAnsi" w:eastAsiaTheme="minorEastAsia" w:cstheme="minorBidi"/>
              <w:noProof/>
              <w:szCs w:val="22"/>
              <w:lang w:val="es-CR" w:eastAsia="es-CR"/>
            </w:rPr>
          </w:pPr>
          <w:r w:rsidRPr="00BB2CE7">
            <w:rPr>
              <w:rFonts w:eastAsiaTheme="minorHAnsi" w:cstheme="minorBidi"/>
              <w:b/>
              <w:sz w:val="24"/>
              <w:lang w:val="es-CR"/>
            </w:rPr>
            <w:fldChar w:fldCharType="begin"/>
          </w:r>
          <w:r w:rsidRPr="00BB2CE7">
            <w:rPr>
              <w:rFonts w:eastAsiaTheme="minorHAnsi" w:cstheme="minorBidi"/>
              <w:b/>
              <w:sz w:val="24"/>
              <w:lang w:val="es-CR"/>
            </w:rPr>
            <w:instrText xml:space="preserve"> TOC \o "1-3" \h \z \u </w:instrText>
          </w:r>
          <w:r w:rsidRPr="00BB2CE7">
            <w:rPr>
              <w:rFonts w:eastAsiaTheme="minorHAnsi" w:cstheme="minorBidi"/>
              <w:b/>
              <w:sz w:val="24"/>
              <w:lang w:val="es-CR"/>
            </w:rPr>
            <w:fldChar w:fldCharType="separate"/>
          </w:r>
          <w:hyperlink w:history="1" w:anchor="_Toc103279725">
            <w:r w:rsidRPr="00072972">
              <w:rPr>
                <w:rStyle w:val="Hipervnculo"/>
                <w:rFonts w:ascii="Times New Roman" w:hAnsi="Times New Roman"/>
                <w:b/>
                <w:bCs/>
                <w:noProof/>
                <w:lang w:val="es-CR" w:eastAsia="es-CR"/>
              </w:rPr>
              <w:t>A.</w:t>
            </w:r>
            <w:r>
              <w:rPr>
                <w:rFonts w:asciiTheme="minorHAnsi" w:hAnsiTheme="minorHAnsi" w:eastAsiaTheme="minorEastAsia" w:cstheme="minorBidi"/>
                <w:noProof/>
                <w:szCs w:val="22"/>
                <w:lang w:val="es-CR" w:eastAsia="es-CR"/>
              </w:rPr>
              <w:tab/>
            </w:r>
            <w:r w:rsidRPr="00072972">
              <w:rPr>
                <w:rStyle w:val="Hipervnculo"/>
                <w:b/>
                <w:noProof/>
                <w:lang w:val="es-CR" w:eastAsia="es-CR"/>
              </w:rPr>
              <w:t>Calidad del Gobierno Corporativo</w:t>
            </w:r>
            <w:r>
              <w:rPr>
                <w:noProof/>
                <w:webHidden/>
              </w:rPr>
              <w:tab/>
            </w:r>
            <w:r>
              <w:rPr>
                <w:noProof/>
                <w:webHidden/>
              </w:rPr>
              <w:fldChar w:fldCharType="begin"/>
            </w:r>
            <w:r>
              <w:rPr>
                <w:noProof/>
                <w:webHidden/>
              </w:rPr>
              <w:instrText xml:space="preserve"> PAGEREF _Toc103279725 \h </w:instrText>
            </w:r>
            <w:r>
              <w:rPr>
                <w:noProof/>
                <w:webHidden/>
              </w:rPr>
            </w:r>
            <w:r>
              <w:rPr>
                <w:noProof/>
                <w:webHidden/>
              </w:rPr>
              <w:fldChar w:fldCharType="separate"/>
            </w:r>
            <w:r>
              <w:rPr>
                <w:noProof/>
                <w:webHidden/>
              </w:rPr>
              <w:t>4</w:t>
            </w:r>
            <w:r>
              <w:rPr>
                <w:noProof/>
                <w:webHidden/>
              </w:rPr>
              <w:fldChar w:fldCharType="end"/>
            </w:r>
          </w:hyperlink>
        </w:p>
        <w:p w:rsidR="00DB670B" w:rsidP="00DB670B" w:rsidRDefault="004512CD" w14:paraId="200589D8"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26">
            <w:r w:rsidRPr="00072972" w:rsidR="00DB670B">
              <w:rPr>
                <w:rStyle w:val="Hipervnculo"/>
                <w:rFonts w:eastAsia="Calibri"/>
                <w:b/>
                <w:noProof/>
                <w:lang w:val="es-CR"/>
              </w:rPr>
              <w:t>1)</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Consideraciones</w:t>
            </w:r>
            <w:r w:rsidRPr="00072972" w:rsidR="00DB670B">
              <w:rPr>
                <w:rStyle w:val="Hipervnculo"/>
                <w:b/>
                <w:noProof/>
                <w:lang w:val="es-CR" w:eastAsia="es-CR"/>
              </w:rPr>
              <w:t xml:space="preserve"> Generales</w:t>
            </w:r>
            <w:r w:rsidR="00DB670B">
              <w:rPr>
                <w:noProof/>
                <w:webHidden/>
              </w:rPr>
              <w:tab/>
            </w:r>
            <w:r w:rsidR="00DB670B">
              <w:rPr>
                <w:noProof/>
                <w:webHidden/>
              </w:rPr>
              <w:fldChar w:fldCharType="begin"/>
            </w:r>
            <w:r w:rsidR="00DB670B">
              <w:rPr>
                <w:noProof/>
                <w:webHidden/>
              </w:rPr>
              <w:instrText xml:space="preserve"> PAGEREF _Toc103279726 \h </w:instrText>
            </w:r>
            <w:r w:rsidR="00DB670B">
              <w:rPr>
                <w:noProof/>
                <w:webHidden/>
              </w:rPr>
            </w:r>
            <w:r w:rsidR="00DB670B">
              <w:rPr>
                <w:noProof/>
                <w:webHidden/>
              </w:rPr>
              <w:fldChar w:fldCharType="separate"/>
            </w:r>
            <w:r w:rsidR="00DB670B">
              <w:rPr>
                <w:noProof/>
                <w:webHidden/>
              </w:rPr>
              <w:t>4</w:t>
            </w:r>
            <w:r w:rsidR="00DB670B">
              <w:rPr>
                <w:noProof/>
                <w:webHidden/>
              </w:rPr>
              <w:fldChar w:fldCharType="end"/>
            </w:r>
          </w:hyperlink>
        </w:p>
        <w:p w:rsidR="00DB670B" w:rsidP="00DB670B" w:rsidRDefault="004512CD" w14:paraId="0F85D680"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27">
            <w:r w:rsidRPr="00072972" w:rsidR="00DB670B">
              <w:rPr>
                <w:rStyle w:val="Hipervnculo"/>
                <w:rFonts w:eastAsia="Calibri"/>
                <w:b/>
                <w:noProof/>
                <w:lang w:val="es-CR"/>
              </w:rPr>
              <w:t>2)</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Elementos y criterios de evaluación</w:t>
            </w:r>
            <w:r w:rsidR="00DB670B">
              <w:rPr>
                <w:noProof/>
                <w:webHidden/>
              </w:rPr>
              <w:tab/>
            </w:r>
            <w:r w:rsidR="00DB670B">
              <w:rPr>
                <w:noProof/>
                <w:webHidden/>
              </w:rPr>
              <w:fldChar w:fldCharType="begin"/>
            </w:r>
            <w:r w:rsidR="00DB670B">
              <w:rPr>
                <w:noProof/>
                <w:webHidden/>
              </w:rPr>
              <w:instrText xml:space="preserve"> PAGEREF _Toc103279727 \h </w:instrText>
            </w:r>
            <w:r w:rsidR="00DB670B">
              <w:rPr>
                <w:noProof/>
                <w:webHidden/>
              </w:rPr>
            </w:r>
            <w:r w:rsidR="00DB670B">
              <w:rPr>
                <w:noProof/>
                <w:webHidden/>
              </w:rPr>
              <w:fldChar w:fldCharType="separate"/>
            </w:r>
            <w:r w:rsidR="00DB670B">
              <w:rPr>
                <w:noProof/>
                <w:webHidden/>
              </w:rPr>
              <w:t>5</w:t>
            </w:r>
            <w:r w:rsidR="00DB670B">
              <w:rPr>
                <w:noProof/>
                <w:webHidden/>
              </w:rPr>
              <w:fldChar w:fldCharType="end"/>
            </w:r>
          </w:hyperlink>
        </w:p>
        <w:p w:rsidR="00DB670B" w:rsidP="00DB670B" w:rsidRDefault="004512CD" w14:paraId="1C82945D"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28">
            <w:r w:rsidRPr="00072972" w:rsidR="00DB670B">
              <w:rPr>
                <w:rStyle w:val="Hipervnculo"/>
                <w:b/>
                <w:noProof/>
                <w:lang w:val="es-CR" w:eastAsia="es-CR"/>
              </w:rPr>
              <w:t>3)</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El desempeño del gobierno corporativo</w:t>
            </w:r>
            <w:r w:rsidR="00DB670B">
              <w:rPr>
                <w:noProof/>
                <w:webHidden/>
              </w:rPr>
              <w:tab/>
            </w:r>
            <w:r w:rsidR="00DB670B">
              <w:rPr>
                <w:noProof/>
                <w:webHidden/>
              </w:rPr>
              <w:fldChar w:fldCharType="begin"/>
            </w:r>
            <w:r w:rsidR="00DB670B">
              <w:rPr>
                <w:noProof/>
                <w:webHidden/>
              </w:rPr>
              <w:instrText xml:space="preserve"> PAGEREF _Toc103279728 \h </w:instrText>
            </w:r>
            <w:r w:rsidR="00DB670B">
              <w:rPr>
                <w:noProof/>
                <w:webHidden/>
              </w:rPr>
            </w:r>
            <w:r w:rsidR="00DB670B">
              <w:rPr>
                <w:noProof/>
                <w:webHidden/>
              </w:rPr>
              <w:fldChar w:fldCharType="separate"/>
            </w:r>
            <w:r w:rsidR="00DB670B">
              <w:rPr>
                <w:noProof/>
                <w:webHidden/>
              </w:rPr>
              <w:t>7</w:t>
            </w:r>
            <w:r w:rsidR="00DB670B">
              <w:rPr>
                <w:noProof/>
                <w:webHidden/>
              </w:rPr>
              <w:fldChar w:fldCharType="end"/>
            </w:r>
          </w:hyperlink>
        </w:p>
        <w:p w:rsidR="00DB670B" w:rsidP="00DB670B" w:rsidRDefault="004512CD" w14:paraId="58827F89" w14:textId="77777777">
          <w:pPr>
            <w:pStyle w:val="TDC1"/>
            <w:tabs>
              <w:tab w:val="left" w:pos="440"/>
              <w:tab w:val="right" w:leader="dot" w:pos="8828"/>
            </w:tabs>
            <w:rPr>
              <w:rFonts w:asciiTheme="minorHAnsi" w:hAnsiTheme="minorHAnsi" w:eastAsiaTheme="minorEastAsia" w:cstheme="minorBidi"/>
              <w:noProof/>
              <w:szCs w:val="22"/>
              <w:lang w:val="es-CR" w:eastAsia="es-CR"/>
            </w:rPr>
          </w:pPr>
          <w:hyperlink w:history="1" w:anchor="_Toc103279729">
            <w:r w:rsidRPr="00072972" w:rsidR="00DB670B">
              <w:rPr>
                <w:rStyle w:val="Hipervnculo"/>
                <w:rFonts w:ascii="Times New Roman" w:hAnsi="Times New Roman"/>
                <w:b/>
                <w:noProof/>
                <w:lang w:val="es-CR" w:eastAsia="es-CR"/>
              </w:rPr>
              <w:t>B.</w:t>
            </w:r>
            <w:r w:rsidR="00DB670B">
              <w:rPr>
                <w:rFonts w:asciiTheme="minorHAnsi" w:hAnsiTheme="minorHAnsi" w:eastAsiaTheme="minorEastAsia" w:cstheme="minorBidi"/>
                <w:noProof/>
                <w:szCs w:val="22"/>
                <w:lang w:val="es-CR" w:eastAsia="es-CR"/>
              </w:rPr>
              <w:tab/>
            </w:r>
            <w:r w:rsidRPr="00072972" w:rsidR="00DB670B">
              <w:rPr>
                <w:rStyle w:val="Hipervnculo"/>
                <w:b/>
                <w:noProof/>
                <w:lang w:val="es-CR" w:eastAsia="es-CR"/>
              </w:rPr>
              <w:t>Calidad de la Gestión de Riesgos</w:t>
            </w:r>
            <w:r w:rsidR="00DB670B">
              <w:rPr>
                <w:noProof/>
                <w:webHidden/>
              </w:rPr>
              <w:tab/>
            </w:r>
            <w:r w:rsidR="00DB670B">
              <w:rPr>
                <w:noProof/>
                <w:webHidden/>
              </w:rPr>
              <w:fldChar w:fldCharType="begin"/>
            </w:r>
            <w:r w:rsidR="00DB670B">
              <w:rPr>
                <w:noProof/>
                <w:webHidden/>
              </w:rPr>
              <w:instrText xml:space="preserve"> PAGEREF _Toc103279729 \h </w:instrText>
            </w:r>
            <w:r w:rsidR="00DB670B">
              <w:rPr>
                <w:noProof/>
                <w:webHidden/>
              </w:rPr>
            </w:r>
            <w:r w:rsidR="00DB670B">
              <w:rPr>
                <w:noProof/>
                <w:webHidden/>
              </w:rPr>
              <w:fldChar w:fldCharType="separate"/>
            </w:r>
            <w:r w:rsidR="00DB670B">
              <w:rPr>
                <w:noProof/>
                <w:webHidden/>
              </w:rPr>
              <w:t>7</w:t>
            </w:r>
            <w:r w:rsidR="00DB670B">
              <w:rPr>
                <w:noProof/>
                <w:webHidden/>
              </w:rPr>
              <w:fldChar w:fldCharType="end"/>
            </w:r>
          </w:hyperlink>
        </w:p>
        <w:p w:rsidR="00DB670B" w:rsidP="00DB670B" w:rsidRDefault="004512CD" w14:paraId="21639D1D"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30">
            <w:r w:rsidRPr="00072972" w:rsidR="00DB670B">
              <w:rPr>
                <w:rStyle w:val="Hipervnculo"/>
                <w:b/>
                <w:noProof/>
                <w:lang w:val="es-CR" w:eastAsia="es-CR"/>
              </w:rPr>
              <w:t>1)</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Consideraciones Generales.</w:t>
            </w:r>
            <w:r w:rsidR="00DB670B">
              <w:rPr>
                <w:noProof/>
                <w:webHidden/>
              </w:rPr>
              <w:tab/>
            </w:r>
            <w:r w:rsidR="00DB670B">
              <w:rPr>
                <w:noProof/>
                <w:webHidden/>
              </w:rPr>
              <w:fldChar w:fldCharType="begin"/>
            </w:r>
            <w:r w:rsidR="00DB670B">
              <w:rPr>
                <w:noProof/>
                <w:webHidden/>
              </w:rPr>
              <w:instrText xml:space="preserve"> PAGEREF _Toc103279730 \h </w:instrText>
            </w:r>
            <w:r w:rsidR="00DB670B">
              <w:rPr>
                <w:noProof/>
                <w:webHidden/>
              </w:rPr>
            </w:r>
            <w:r w:rsidR="00DB670B">
              <w:rPr>
                <w:noProof/>
                <w:webHidden/>
              </w:rPr>
              <w:fldChar w:fldCharType="separate"/>
            </w:r>
            <w:r w:rsidR="00DB670B">
              <w:rPr>
                <w:noProof/>
                <w:webHidden/>
              </w:rPr>
              <w:t>7</w:t>
            </w:r>
            <w:r w:rsidR="00DB670B">
              <w:rPr>
                <w:noProof/>
                <w:webHidden/>
              </w:rPr>
              <w:fldChar w:fldCharType="end"/>
            </w:r>
          </w:hyperlink>
        </w:p>
        <w:p w:rsidR="00DB670B" w:rsidP="00DB670B" w:rsidRDefault="004512CD" w14:paraId="058F1C0F"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31">
            <w:r w:rsidRPr="00072972" w:rsidR="00DB670B">
              <w:rPr>
                <w:rStyle w:val="Hipervnculo"/>
                <w:b/>
                <w:noProof/>
                <w:lang w:val="es-CR" w:eastAsia="es-CR"/>
              </w:rPr>
              <w:t>2)</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Elementos y criterios de evaluación</w:t>
            </w:r>
            <w:r w:rsidR="00DB670B">
              <w:rPr>
                <w:noProof/>
                <w:webHidden/>
              </w:rPr>
              <w:tab/>
            </w:r>
            <w:r w:rsidR="00DB670B">
              <w:rPr>
                <w:noProof/>
                <w:webHidden/>
              </w:rPr>
              <w:fldChar w:fldCharType="begin"/>
            </w:r>
            <w:r w:rsidR="00DB670B">
              <w:rPr>
                <w:noProof/>
                <w:webHidden/>
              </w:rPr>
              <w:instrText xml:space="preserve"> PAGEREF _Toc103279731 \h </w:instrText>
            </w:r>
            <w:r w:rsidR="00DB670B">
              <w:rPr>
                <w:noProof/>
                <w:webHidden/>
              </w:rPr>
            </w:r>
            <w:r w:rsidR="00DB670B">
              <w:rPr>
                <w:noProof/>
                <w:webHidden/>
              </w:rPr>
              <w:fldChar w:fldCharType="separate"/>
            </w:r>
            <w:r w:rsidR="00DB670B">
              <w:rPr>
                <w:noProof/>
                <w:webHidden/>
              </w:rPr>
              <w:t>9</w:t>
            </w:r>
            <w:r w:rsidR="00DB670B">
              <w:rPr>
                <w:noProof/>
                <w:webHidden/>
              </w:rPr>
              <w:fldChar w:fldCharType="end"/>
            </w:r>
          </w:hyperlink>
        </w:p>
        <w:p w:rsidR="00DB670B" w:rsidP="00DB670B" w:rsidRDefault="004512CD" w14:paraId="5E34199B"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32">
            <w:r w:rsidRPr="00072972" w:rsidR="00DB670B">
              <w:rPr>
                <w:rStyle w:val="Hipervnculo"/>
                <w:b/>
                <w:noProof/>
                <w:lang w:val="es-CR" w:eastAsia="es-CR"/>
              </w:rPr>
              <w:t>3)</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El desempeño de la gestión de riesgos</w:t>
            </w:r>
            <w:r w:rsidR="00DB670B">
              <w:rPr>
                <w:noProof/>
                <w:webHidden/>
              </w:rPr>
              <w:tab/>
            </w:r>
            <w:r w:rsidR="00DB670B">
              <w:rPr>
                <w:noProof/>
                <w:webHidden/>
              </w:rPr>
              <w:fldChar w:fldCharType="begin"/>
            </w:r>
            <w:r w:rsidR="00DB670B">
              <w:rPr>
                <w:noProof/>
                <w:webHidden/>
              </w:rPr>
              <w:instrText xml:space="preserve"> PAGEREF _Toc103279732 \h </w:instrText>
            </w:r>
            <w:r w:rsidR="00DB670B">
              <w:rPr>
                <w:noProof/>
                <w:webHidden/>
              </w:rPr>
            </w:r>
            <w:r w:rsidR="00DB670B">
              <w:rPr>
                <w:noProof/>
                <w:webHidden/>
              </w:rPr>
              <w:fldChar w:fldCharType="separate"/>
            </w:r>
            <w:r w:rsidR="00DB670B">
              <w:rPr>
                <w:noProof/>
                <w:webHidden/>
              </w:rPr>
              <w:t>11</w:t>
            </w:r>
            <w:r w:rsidR="00DB670B">
              <w:rPr>
                <w:noProof/>
                <w:webHidden/>
              </w:rPr>
              <w:fldChar w:fldCharType="end"/>
            </w:r>
          </w:hyperlink>
        </w:p>
        <w:p w:rsidR="00DB670B" w:rsidP="00DB670B" w:rsidRDefault="004512CD" w14:paraId="0FC724F4" w14:textId="77777777">
          <w:pPr>
            <w:pStyle w:val="TDC1"/>
            <w:tabs>
              <w:tab w:val="left" w:pos="440"/>
              <w:tab w:val="right" w:leader="dot" w:pos="8828"/>
            </w:tabs>
            <w:rPr>
              <w:rFonts w:asciiTheme="minorHAnsi" w:hAnsiTheme="minorHAnsi" w:eastAsiaTheme="minorEastAsia" w:cstheme="minorBidi"/>
              <w:noProof/>
              <w:szCs w:val="22"/>
              <w:lang w:val="es-CR" w:eastAsia="es-CR"/>
            </w:rPr>
          </w:pPr>
          <w:hyperlink w:history="1" w:anchor="_Toc103279733">
            <w:r w:rsidRPr="00072972" w:rsidR="00DB670B">
              <w:rPr>
                <w:rStyle w:val="Hipervnculo"/>
                <w:rFonts w:ascii="Times New Roman" w:hAnsi="Times New Roman"/>
                <w:b/>
                <w:noProof/>
                <w:lang w:val="es-CR" w:eastAsia="es-CR"/>
              </w:rPr>
              <w:t>C.</w:t>
            </w:r>
            <w:r w:rsidR="00DB670B">
              <w:rPr>
                <w:rFonts w:asciiTheme="minorHAnsi" w:hAnsiTheme="minorHAnsi" w:eastAsiaTheme="minorEastAsia" w:cstheme="minorBidi"/>
                <w:noProof/>
                <w:szCs w:val="22"/>
                <w:lang w:val="es-CR" w:eastAsia="es-CR"/>
              </w:rPr>
              <w:tab/>
            </w:r>
            <w:r w:rsidRPr="00072972" w:rsidR="00DB670B">
              <w:rPr>
                <w:rStyle w:val="Hipervnculo"/>
                <w:b/>
                <w:noProof/>
                <w:lang w:val="es-CR" w:eastAsia="es-CR"/>
              </w:rPr>
              <w:t>Evaluación de la Situación Económica Financiera</w:t>
            </w:r>
            <w:r w:rsidR="00DB670B">
              <w:rPr>
                <w:noProof/>
                <w:webHidden/>
              </w:rPr>
              <w:tab/>
            </w:r>
            <w:r w:rsidR="00DB670B">
              <w:rPr>
                <w:noProof/>
                <w:webHidden/>
              </w:rPr>
              <w:fldChar w:fldCharType="begin"/>
            </w:r>
            <w:r w:rsidR="00DB670B">
              <w:rPr>
                <w:noProof/>
                <w:webHidden/>
              </w:rPr>
              <w:instrText xml:space="preserve"> PAGEREF _Toc103279733 \h </w:instrText>
            </w:r>
            <w:r w:rsidR="00DB670B">
              <w:rPr>
                <w:noProof/>
                <w:webHidden/>
              </w:rPr>
            </w:r>
            <w:r w:rsidR="00DB670B">
              <w:rPr>
                <w:noProof/>
                <w:webHidden/>
              </w:rPr>
              <w:fldChar w:fldCharType="separate"/>
            </w:r>
            <w:r w:rsidR="00DB670B">
              <w:rPr>
                <w:noProof/>
                <w:webHidden/>
              </w:rPr>
              <w:t>11</w:t>
            </w:r>
            <w:r w:rsidR="00DB670B">
              <w:rPr>
                <w:noProof/>
                <w:webHidden/>
              </w:rPr>
              <w:fldChar w:fldCharType="end"/>
            </w:r>
          </w:hyperlink>
        </w:p>
        <w:p w:rsidR="00DB670B" w:rsidP="00DB670B" w:rsidRDefault="004512CD" w14:paraId="65E16FB7"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34">
            <w:r w:rsidRPr="00072972" w:rsidR="00DB670B">
              <w:rPr>
                <w:rStyle w:val="Hipervnculo"/>
                <w:b/>
                <w:noProof/>
                <w:lang w:val="es-CR" w:eastAsia="es-CR"/>
              </w:rPr>
              <w:t>1)</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Consideraciones Generales.</w:t>
            </w:r>
            <w:r w:rsidR="00DB670B">
              <w:rPr>
                <w:noProof/>
                <w:webHidden/>
              </w:rPr>
              <w:tab/>
            </w:r>
            <w:r w:rsidR="00DB670B">
              <w:rPr>
                <w:noProof/>
                <w:webHidden/>
              </w:rPr>
              <w:fldChar w:fldCharType="begin"/>
            </w:r>
            <w:r w:rsidR="00DB670B">
              <w:rPr>
                <w:noProof/>
                <w:webHidden/>
              </w:rPr>
              <w:instrText xml:space="preserve"> PAGEREF _Toc103279734 \h </w:instrText>
            </w:r>
            <w:r w:rsidR="00DB670B">
              <w:rPr>
                <w:noProof/>
                <w:webHidden/>
              </w:rPr>
            </w:r>
            <w:r w:rsidR="00DB670B">
              <w:rPr>
                <w:noProof/>
                <w:webHidden/>
              </w:rPr>
              <w:fldChar w:fldCharType="separate"/>
            </w:r>
            <w:r w:rsidR="00DB670B">
              <w:rPr>
                <w:noProof/>
                <w:webHidden/>
              </w:rPr>
              <w:t>12</w:t>
            </w:r>
            <w:r w:rsidR="00DB670B">
              <w:rPr>
                <w:noProof/>
                <w:webHidden/>
              </w:rPr>
              <w:fldChar w:fldCharType="end"/>
            </w:r>
          </w:hyperlink>
        </w:p>
        <w:p w:rsidR="00DB670B" w:rsidP="00DB670B" w:rsidRDefault="004512CD" w14:paraId="1487BFD6"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35">
            <w:r w:rsidRPr="00072972" w:rsidR="00DB670B">
              <w:rPr>
                <w:rStyle w:val="Hipervnculo"/>
                <w:b/>
                <w:noProof/>
                <w:lang w:val="es-CR" w:eastAsia="es-CR"/>
              </w:rPr>
              <w:t>2)</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Elementos y criterios de evaluación</w:t>
            </w:r>
            <w:r w:rsidR="00DB670B">
              <w:rPr>
                <w:noProof/>
                <w:webHidden/>
              </w:rPr>
              <w:tab/>
            </w:r>
            <w:r w:rsidR="00DB670B">
              <w:rPr>
                <w:noProof/>
                <w:webHidden/>
              </w:rPr>
              <w:fldChar w:fldCharType="begin"/>
            </w:r>
            <w:r w:rsidR="00DB670B">
              <w:rPr>
                <w:noProof/>
                <w:webHidden/>
              </w:rPr>
              <w:instrText xml:space="preserve"> PAGEREF _Toc103279735 \h </w:instrText>
            </w:r>
            <w:r w:rsidR="00DB670B">
              <w:rPr>
                <w:noProof/>
                <w:webHidden/>
              </w:rPr>
            </w:r>
            <w:r w:rsidR="00DB670B">
              <w:rPr>
                <w:noProof/>
                <w:webHidden/>
              </w:rPr>
              <w:fldChar w:fldCharType="separate"/>
            </w:r>
            <w:r w:rsidR="00DB670B">
              <w:rPr>
                <w:noProof/>
                <w:webHidden/>
              </w:rPr>
              <w:t>15</w:t>
            </w:r>
            <w:r w:rsidR="00DB670B">
              <w:rPr>
                <w:noProof/>
                <w:webHidden/>
              </w:rPr>
              <w:fldChar w:fldCharType="end"/>
            </w:r>
          </w:hyperlink>
        </w:p>
        <w:p w:rsidR="00DB670B" w:rsidP="00DB670B" w:rsidRDefault="004512CD" w14:paraId="36D72DFD" w14:textId="77777777">
          <w:pPr>
            <w:pStyle w:val="TDC1"/>
            <w:tabs>
              <w:tab w:val="left" w:pos="440"/>
              <w:tab w:val="right" w:leader="dot" w:pos="8828"/>
            </w:tabs>
            <w:rPr>
              <w:rFonts w:asciiTheme="minorHAnsi" w:hAnsiTheme="minorHAnsi" w:eastAsiaTheme="minorEastAsia" w:cstheme="minorBidi"/>
              <w:noProof/>
              <w:szCs w:val="22"/>
              <w:lang w:val="es-CR" w:eastAsia="es-CR"/>
            </w:rPr>
          </w:pPr>
          <w:hyperlink w:history="1" w:anchor="_Toc103279736">
            <w:r w:rsidRPr="00072972" w:rsidR="00DB670B">
              <w:rPr>
                <w:rStyle w:val="Hipervnculo"/>
                <w:rFonts w:ascii="Times New Roman" w:hAnsi="Times New Roman"/>
                <w:b/>
                <w:noProof/>
                <w:lang w:val="es-CR" w:eastAsia="es-CR"/>
              </w:rPr>
              <w:t>D.</w:t>
            </w:r>
            <w:r w:rsidR="00DB670B">
              <w:rPr>
                <w:rFonts w:asciiTheme="minorHAnsi" w:hAnsiTheme="minorHAnsi" w:eastAsiaTheme="minorEastAsia" w:cstheme="minorBidi"/>
                <w:noProof/>
                <w:szCs w:val="22"/>
                <w:lang w:val="es-CR" w:eastAsia="es-CR"/>
              </w:rPr>
              <w:tab/>
            </w:r>
            <w:r w:rsidRPr="00072972" w:rsidR="00DB670B">
              <w:rPr>
                <w:rStyle w:val="Hipervnculo"/>
                <w:b/>
                <w:noProof/>
                <w:lang w:val="es-CR" w:eastAsia="es-CR"/>
              </w:rPr>
              <w:t>Calidad del Ambiente de Cumplimiento Legal y Regulatorio</w:t>
            </w:r>
            <w:r w:rsidR="00DB670B">
              <w:rPr>
                <w:noProof/>
                <w:webHidden/>
              </w:rPr>
              <w:tab/>
            </w:r>
            <w:r w:rsidR="00DB670B">
              <w:rPr>
                <w:noProof/>
                <w:webHidden/>
              </w:rPr>
              <w:fldChar w:fldCharType="begin"/>
            </w:r>
            <w:r w:rsidR="00DB670B">
              <w:rPr>
                <w:noProof/>
                <w:webHidden/>
              </w:rPr>
              <w:instrText xml:space="preserve"> PAGEREF _Toc103279736 \h </w:instrText>
            </w:r>
            <w:r w:rsidR="00DB670B">
              <w:rPr>
                <w:noProof/>
                <w:webHidden/>
              </w:rPr>
            </w:r>
            <w:r w:rsidR="00DB670B">
              <w:rPr>
                <w:noProof/>
                <w:webHidden/>
              </w:rPr>
              <w:fldChar w:fldCharType="separate"/>
            </w:r>
            <w:r w:rsidR="00DB670B">
              <w:rPr>
                <w:noProof/>
                <w:webHidden/>
              </w:rPr>
              <w:t>16</w:t>
            </w:r>
            <w:r w:rsidR="00DB670B">
              <w:rPr>
                <w:noProof/>
                <w:webHidden/>
              </w:rPr>
              <w:fldChar w:fldCharType="end"/>
            </w:r>
          </w:hyperlink>
        </w:p>
        <w:p w:rsidR="00DB670B" w:rsidP="00DB670B" w:rsidRDefault="004512CD" w14:paraId="780C140E"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37">
            <w:r w:rsidRPr="00072972" w:rsidR="00DB670B">
              <w:rPr>
                <w:rStyle w:val="Hipervnculo"/>
                <w:b/>
                <w:noProof/>
                <w:lang w:val="es-CR" w:eastAsia="es-CR"/>
              </w:rPr>
              <w:t>1)</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Consideraciones Generales.</w:t>
            </w:r>
            <w:r w:rsidR="00DB670B">
              <w:rPr>
                <w:noProof/>
                <w:webHidden/>
              </w:rPr>
              <w:tab/>
            </w:r>
            <w:r w:rsidR="00DB670B">
              <w:rPr>
                <w:noProof/>
                <w:webHidden/>
              </w:rPr>
              <w:fldChar w:fldCharType="begin"/>
            </w:r>
            <w:r w:rsidR="00DB670B">
              <w:rPr>
                <w:noProof/>
                <w:webHidden/>
              </w:rPr>
              <w:instrText xml:space="preserve"> PAGEREF _Toc103279737 \h </w:instrText>
            </w:r>
            <w:r w:rsidR="00DB670B">
              <w:rPr>
                <w:noProof/>
                <w:webHidden/>
              </w:rPr>
            </w:r>
            <w:r w:rsidR="00DB670B">
              <w:rPr>
                <w:noProof/>
                <w:webHidden/>
              </w:rPr>
              <w:fldChar w:fldCharType="separate"/>
            </w:r>
            <w:r w:rsidR="00DB670B">
              <w:rPr>
                <w:noProof/>
                <w:webHidden/>
              </w:rPr>
              <w:t>16</w:t>
            </w:r>
            <w:r w:rsidR="00DB670B">
              <w:rPr>
                <w:noProof/>
                <w:webHidden/>
              </w:rPr>
              <w:fldChar w:fldCharType="end"/>
            </w:r>
          </w:hyperlink>
        </w:p>
        <w:p w:rsidR="00DB670B" w:rsidP="00DB670B" w:rsidRDefault="004512CD" w14:paraId="026A526E"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38">
            <w:r w:rsidRPr="00072972" w:rsidR="00DB670B">
              <w:rPr>
                <w:rStyle w:val="Hipervnculo"/>
                <w:b/>
                <w:noProof/>
                <w:lang w:val="es-CR" w:eastAsia="es-CR"/>
              </w:rPr>
              <w:t>2)</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Elementos y criterios de evaluación</w:t>
            </w:r>
            <w:r w:rsidR="00DB670B">
              <w:rPr>
                <w:noProof/>
                <w:webHidden/>
              </w:rPr>
              <w:tab/>
            </w:r>
            <w:r w:rsidR="00DB670B">
              <w:rPr>
                <w:noProof/>
                <w:webHidden/>
              </w:rPr>
              <w:fldChar w:fldCharType="begin"/>
            </w:r>
            <w:r w:rsidR="00DB670B">
              <w:rPr>
                <w:noProof/>
                <w:webHidden/>
              </w:rPr>
              <w:instrText xml:space="preserve"> PAGEREF _Toc103279738 \h </w:instrText>
            </w:r>
            <w:r w:rsidR="00DB670B">
              <w:rPr>
                <w:noProof/>
                <w:webHidden/>
              </w:rPr>
            </w:r>
            <w:r w:rsidR="00DB670B">
              <w:rPr>
                <w:noProof/>
                <w:webHidden/>
              </w:rPr>
              <w:fldChar w:fldCharType="separate"/>
            </w:r>
            <w:r w:rsidR="00DB670B">
              <w:rPr>
                <w:noProof/>
                <w:webHidden/>
              </w:rPr>
              <w:t>16</w:t>
            </w:r>
            <w:r w:rsidR="00DB670B">
              <w:rPr>
                <w:noProof/>
                <w:webHidden/>
              </w:rPr>
              <w:fldChar w:fldCharType="end"/>
            </w:r>
          </w:hyperlink>
        </w:p>
        <w:p w:rsidR="00DB670B" w:rsidP="00DB670B" w:rsidRDefault="004512CD" w14:paraId="43E8E475" w14:textId="77777777">
          <w:pPr>
            <w:pStyle w:val="TDC2"/>
            <w:tabs>
              <w:tab w:val="left" w:pos="880"/>
              <w:tab w:val="right" w:leader="dot" w:pos="8828"/>
            </w:tabs>
            <w:rPr>
              <w:rFonts w:asciiTheme="minorHAnsi" w:hAnsiTheme="minorHAnsi" w:eastAsiaTheme="minorEastAsia" w:cstheme="minorBidi"/>
              <w:noProof/>
              <w:szCs w:val="22"/>
              <w:lang w:val="es-CR" w:eastAsia="es-CR"/>
            </w:rPr>
          </w:pPr>
          <w:hyperlink w:history="1" w:anchor="_Toc103279739">
            <w:r w:rsidRPr="00072972" w:rsidR="00DB670B">
              <w:rPr>
                <w:rStyle w:val="Hipervnculo"/>
                <w:b/>
                <w:noProof/>
                <w:lang w:val="es-CR" w:eastAsia="es-CR"/>
              </w:rPr>
              <w:t>3)</w:t>
            </w:r>
            <w:r w:rsidR="00DB670B">
              <w:rPr>
                <w:rFonts w:asciiTheme="minorHAnsi" w:hAnsiTheme="minorHAnsi" w:eastAsiaTheme="minorEastAsia" w:cstheme="minorBidi"/>
                <w:noProof/>
                <w:szCs w:val="22"/>
                <w:lang w:val="es-CR" w:eastAsia="es-CR"/>
              </w:rPr>
              <w:tab/>
            </w:r>
            <w:r w:rsidRPr="00072972" w:rsidR="00DB670B">
              <w:rPr>
                <w:rStyle w:val="Hipervnculo"/>
                <w:b/>
                <w:bCs/>
                <w:noProof/>
                <w:lang w:val="es-CR" w:eastAsia="es-CR"/>
              </w:rPr>
              <w:t>El desempeño de la función de cumplimiento legal y regulatorio</w:t>
            </w:r>
            <w:r w:rsidR="00DB670B">
              <w:rPr>
                <w:noProof/>
                <w:webHidden/>
              </w:rPr>
              <w:tab/>
            </w:r>
            <w:r w:rsidR="00DB670B">
              <w:rPr>
                <w:noProof/>
                <w:webHidden/>
              </w:rPr>
              <w:fldChar w:fldCharType="begin"/>
            </w:r>
            <w:r w:rsidR="00DB670B">
              <w:rPr>
                <w:noProof/>
                <w:webHidden/>
              </w:rPr>
              <w:instrText xml:space="preserve"> PAGEREF _Toc103279739 \h </w:instrText>
            </w:r>
            <w:r w:rsidR="00DB670B">
              <w:rPr>
                <w:noProof/>
                <w:webHidden/>
              </w:rPr>
            </w:r>
            <w:r w:rsidR="00DB670B">
              <w:rPr>
                <w:noProof/>
                <w:webHidden/>
              </w:rPr>
              <w:fldChar w:fldCharType="separate"/>
            </w:r>
            <w:r w:rsidR="00DB670B">
              <w:rPr>
                <w:noProof/>
                <w:webHidden/>
              </w:rPr>
              <w:t>18</w:t>
            </w:r>
            <w:r w:rsidR="00DB670B">
              <w:rPr>
                <w:noProof/>
                <w:webHidden/>
              </w:rPr>
              <w:fldChar w:fldCharType="end"/>
            </w:r>
          </w:hyperlink>
        </w:p>
        <w:p w:rsidR="00DB670B" w:rsidP="00DB670B" w:rsidRDefault="004512CD" w14:paraId="58913392" w14:textId="77777777">
          <w:pPr>
            <w:pStyle w:val="TDC1"/>
            <w:tabs>
              <w:tab w:val="left" w:pos="440"/>
              <w:tab w:val="right" w:leader="dot" w:pos="8828"/>
            </w:tabs>
            <w:rPr>
              <w:rFonts w:asciiTheme="minorHAnsi" w:hAnsiTheme="minorHAnsi" w:eastAsiaTheme="minorEastAsia" w:cstheme="minorBidi"/>
              <w:noProof/>
              <w:szCs w:val="22"/>
              <w:lang w:val="es-CR" w:eastAsia="es-CR"/>
            </w:rPr>
          </w:pPr>
          <w:hyperlink w:history="1" w:anchor="_Toc103279740">
            <w:r w:rsidRPr="00072972" w:rsidR="00DB670B">
              <w:rPr>
                <w:rStyle w:val="Hipervnculo"/>
                <w:rFonts w:ascii="Times New Roman" w:hAnsi="Times New Roman"/>
                <w:b/>
                <w:noProof/>
                <w:lang w:val="es-CR" w:eastAsia="es-CR"/>
              </w:rPr>
              <w:t>E.</w:t>
            </w:r>
            <w:r w:rsidR="00DB670B">
              <w:rPr>
                <w:rFonts w:asciiTheme="minorHAnsi" w:hAnsiTheme="minorHAnsi" w:eastAsiaTheme="minorEastAsia" w:cstheme="minorBidi"/>
                <w:noProof/>
                <w:szCs w:val="22"/>
                <w:lang w:val="es-CR" w:eastAsia="es-CR"/>
              </w:rPr>
              <w:tab/>
            </w:r>
            <w:r w:rsidRPr="00072972" w:rsidR="00DB670B">
              <w:rPr>
                <w:rStyle w:val="Hipervnculo"/>
                <w:b/>
                <w:noProof/>
                <w:lang w:val="es-CR" w:eastAsia="es-CR"/>
              </w:rPr>
              <w:t>Esquema de la metodología de calificación de una entidad</w:t>
            </w:r>
            <w:r w:rsidR="00DB670B">
              <w:rPr>
                <w:noProof/>
                <w:webHidden/>
              </w:rPr>
              <w:tab/>
            </w:r>
            <w:r w:rsidR="00DB670B">
              <w:rPr>
                <w:noProof/>
                <w:webHidden/>
              </w:rPr>
              <w:fldChar w:fldCharType="begin"/>
            </w:r>
            <w:r w:rsidR="00DB670B">
              <w:rPr>
                <w:noProof/>
                <w:webHidden/>
              </w:rPr>
              <w:instrText xml:space="preserve"> PAGEREF _Toc103279740 \h </w:instrText>
            </w:r>
            <w:r w:rsidR="00DB670B">
              <w:rPr>
                <w:noProof/>
                <w:webHidden/>
              </w:rPr>
            </w:r>
            <w:r w:rsidR="00DB670B">
              <w:rPr>
                <w:noProof/>
                <w:webHidden/>
              </w:rPr>
              <w:fldChar w:fldCharType="separate"/>
            </w:r>
            <w:r w:rsidR="00DB670B">
              <w:rPr>
                <w:noProof/>
                <w:webHidden/>
              </w:rPr>
              <w:t>19</w:t>
            </w:r>
            <w:r w:rsidR="00DB670B">
              <w:rPr>
                <w:noProof/>
                <w:webHidden/>
              </w:rPr>
              <w:fldChar w:fldCharType="end"/>
            </w:r>
          </w:hyperlink>
        </w:p>
        <w:p w:rsidRPr="00BB2CE7" w:rsidR="00DB670B" w:rsidP="00DB670B" w:rsidRDefault="00DB670B" w14:paraId="55745B6D" w14:textId="77777777">
          <w:pPr>
            <w:spacing w:after="160" w:line="240" w:lineRule="auto"/>
            <w:contextualSpacing/>
            <w:rPr>
              <w:rFonts w:eastAsiaTheme="minorHAnsi" w:cstheme="minorBidi"/>
              <w:sz w:val="24"/>
              <w:lang w:val="es-CR"/>
            </w:rPr>
          </w:pPr>
          <w:r w:rsidRPr="00BB2CE7">
            <w:rPr>
              <w:rFonts w:eastAsiaTheme="minorHAnsi" w:cstheme="minorBidi"/>
              <w:b/>
              <w:bCs/>
              <w:sz w:val="24"/>
            </w:rPr>
            <w:fldChar w:fldCharType="end"/>
          </w:r>
        </w:p>
      </w:sdtContent>
    </w:sdt>
    <w:p w:rsidRPr="00BB2CE7" w:rsidR="00DB670B" w:rsidP="00DB670B" w:rsidRDefault="00DB670B" w14:paraId="6BE45A4F" w14:textId="77777777">
      <w:pPr>
        <w:spacing w:after="160" w:line="240" w:lineRule="auto"/>
        <w:contextualSpacing/>
        <w:rPr>
          <w:rFonts w:eastAsiaTheme="minorHAnsi" w:cstheme="minorBidi"/>
          <w:sz w:val="24"/>
          <w:lang w:val="es-CR"/>
        </w:rPr>
      </w:pPr>
    </w:p>
    <w:p w:rsidRPr="00BB2CE7" w:rsidR="00DB670B" w:rsidP="00DB670B" w:rsidRDefault="00DB670B" w14:paraId="32697040" w14:textId="77777777">
      <w:pPr>
        <w:spacing w:after="160" w:line="240" w:lineRule="auto"/>
        <w:contextualSpacing/>
        <w:rPr>
          <w:rFonts w:eastAsia="Calibri"/>
          <w:bCs/>
          <w:sz w:val="24"/>
          <w:lang w:val="es-CR"/>
        </w:rPr>
      </w:pPr>
    </w:p>
    <w:p w:rsidRPr="00BB2CE7" w:rsidR="00DB670B" w:rsidP="00DB670B" w:rsidRDefault="00DB670B" w14:paraId="1204224A" w14:textId="77777777">
      <w:pPr>
        <w:spacing w:after="160" w:line="240" w:lineRule="auto"/>
        <w:contextualSpacing/>
        <w:rPr>
          <w:rFonts w:eastAsia="Calibri"/>
          <w:bCs/>
          <w:sz w:val="24"/>
          <w:lang w:val="es-CR"/>
        </w:rPr>
      </w:pPr>
      <w:r w:rsidRPr="00BB2CE7">
        <w:rPr>
          <w:rFonts w:eastAsia="Calibri"/>
          <w:bCs/>
          <w:sz w:val="24"/>
          <w:lang w:val="es-CR"/>
        </w:rPr>
        <w:br w:type="page"/>
      </w:r>
    </w:p>
    <w:p w:rsidR="00DB670B" w:rsidP="00DB670B" w:rsidRDefault="00DB670B" w14:paraId="43A43EF5" w14:textId="77777777">
      <w:pPr>
        <w:spacing w:after="120" w:line="240" w:lineRule="auto"/>
        <w:ind w:hanging="15"/>
        <w:contextualSpacing/>
        <w:rPr>
          <w:sz w:val="24"/>
          <w:lang w:val="es-CR" w:eastAsia="es-ES"/>
        </w:rPr>
      </w:pPr>
      <w:r w:rsidRPr="00BB2CE7">
        <w:rPr>
          <w:b/>
          <w:sz w:val="24"/>
          <w:lang w:val="es-CR" w:eastAsia="es-ES"/>
        </w:rPr>
        <w:lastRenderedPageBreak/>
        <w:t>Objetivo General</w:t>
      </w:r>
      <w:r w:rsidRPr="00BB2CE7">
        <w:rPr>
          <w:sz w:val="24"/>
          <w:lang w:val="es-CR" w:eastAsia="es-ES"/>
        </w:rPr>
        <w:t xml:space="preserve">: </w:t>
      </w:r>
      <w:r w:rsidRPr="00BB2CE7">
        <w:rPr>
          <w:sz w:val="24"/>
          <w:lang w:val="es-CR" w:eastAsia="es-ES"/>
        </w:rPr>
        <w:tab/>
        <w:t xml:space="preserve">Presentar los elementos y criterios mínimos que guían a la SUGEF </w:t>
      </w:r>
      <w:bookmarkStart w:name="_Hlk98966126" w:id="0"/>
      <w:r w:rsidRPr="00BB2CE7">
        <w:rPr>
          <w:sz w:val="24"/>
          <w:lang w:val="es-CR" w:eastAsia="es-ES"/>
        </w:rPr>
        <w:t xml:space="preserve">para calificar a una entidad en los aspectos de </w:t>
      </w:r>
      <w:r w:rsidRPr="00BB2CE7">
        <w:rPr>
          <w:bCs/>
          <w:sz w:val="24"/>
          <w:lang w:val="es-CR" w:eastAsia="es-ES"/>
        </w:rPr>
        <w:t>Calidad del Gobierno Corporativo, Calidad de la Gestión de Riesgos, Evaluación de la Situación Económica y Financiera y Calidad del Ambiente de Cumplimiento Legal y Regulatorio</w:t>
      </w:r>
      <w:bookmarkEnd w:id="0"/>
      <w:r w:rsidRPr="00BB2CE7">
        <w:rPr>
          <w:sz w:val="24"/>
          <w:lang w:val="es-CR" w:eastAsia="es-ES"/>
        </w:rPr>
        <w:t xml:space="preserve">, según el Reglamento para Calificar Entidades Supervisadas, Acuerdo SUGEF 24-22. </w:t>
      </w:r>
    </w:p>
    <w:p w:rsidRPr="00BB2CE7" w:rsidR="00DB670B" w:rsidP="00DB670B" w:rsidRDefault="00DB670B" w14:paraId="0F102130" w14:textId="77777777">
      <w:pPr>
        <w:spacing w:after="120" w:line="240" w:lineRule="auto"/>
        <w:ind w:hanging="15"/>
        <w:contextualSpacing/>
        <w:rPr>
          <w:sz w:val="24"/>
          <w:lang w:val="es-CR" w:eastAsia="es-ES"/>
        </w:rPr>
      </w:pPr>
    </w:p>
    <w:p w:rsidR="00DB670B" w:rsidP="00DB670B" w:rsidRDefault="00DB670B" w14:paraId="78D5DC4A" w14:textId="77777777">
      <w:pPr>
        <w:spacing w:after="120" w:line="240" w:lineRule="auto"/>
        <w:ind w:hanging="15"/>
        <w:contextualSpacing/>
        <w:rPr>
          <w:sz w:val="24"/>
          <w:lang w:val="es-CR" w:eastAsia="es-ES"/>
        </w:rPr>
      </w:pPr>
      <w:r w:rsidRPr="00BB2CE7">
        <w:rPr>
          <w:sz w:val="24"/>
          <w:lang w:val="es-CR" w:eastAsia="es-ES"/>
        </w:rPr>
        <w:t xml:space="preserve">Estos lineamientos generales establecen los principios que proveen una orientación respecto de las expectativas que tiene SUGEF en relación con la </w:t>
      </w:r>
      <w:r w:rsidRPr="00BB2CE7">
        <w:rPr>
          <w:bCs/>
          <w:sz w:val="24"/>
          <w:lang w:val="es-CR" w:eastAsia="es-ES"/>
        </w:rPr>
        <w:t>Calidad del Gobierno Corporativo, Calidad de la Gestión de Riesgos, Calidad de la Situación Económica y Financiera y Calidad del Ambiente de Cumplimiento Legal y Regulatorio</w:t>
      </w:r>
      <w:r w:rsidRPr="00BB2CE7">
        <w:rPr>
          <w:sz w:val="24"/>
          <w:lang w:val="es-CR" w:eastAsia="es-ES"/>
        </w:rPr>
        <w:t>.</w:t>
      </w:r>
    </w:p>
    <w:p w:rsidRPr="00BB2CE7" w:rsidR="00DB670B" w:rsidP="00DB670B" w:rsidRDefault="00DB670B" w14:paraId="3F710961" w14:textId="77777777">
      <w:pPr>
        <w:spacing w:after="120" w:line="240" w:lineRule="auto"/>
        <w:ind w:hanging="15"/>
        <w:contextualSpacing/>
        <w:rPr>
          <w:sz w:val="24"/>
          <w:lang w:val="es-CR" w:eastAsia="es-ES"/>
        </w:rPr>
      </w:pPr>
    </w:p>
    <w:p w:rsidRPr="00BB2CE7" w:rsidR="00DB670B" w:rsidP="00DB670B" w:rsidRDefault="00DB670B" w14:paraId="6E81A9E0" w14:textId="77777777">
      <w:pPr>
        <w:keepNext/>
        <w:keepLines/>
        <w:numPr>
          <w:ilvl w:val="0"/>
          <w:numId w:val="4"/>
        </w:numPr>
        <w:spacing w:after="240" w:line="240" w:lineRule="auto"/>
        <w:ind w:right="4"/>
        <w:contextualSpacing/>
        <w:outlineLvl w:val="0"/>
        <w:rPr>
          <w:b/>
          <w:bCs/>
          <w:color w:val="000066"/>
          <w:sz w:val="24"/>
          <w:lang w:val="es-CR" w:eastAsia="es-CR"/>
        </w:rPr>
      </w:pPr>
      <w:bookmarkStart w:name="_Toc99545458" w:id="1"/>
      <w:bookmarkStart w:name="_Toc103279725" w:id="2"/>
      <w:r w:rsidRPr="00BB2CE7">
        <w:rPr>
          <w:b/>
          <w:sz w:val="24"/>
          <w:lang w:val="es-CR" w:eastAsia="es-CR"/>
        </w:rPr>
        <w:t>Calidad del Gobierno Corporativo</w:t>
      </w:r>
      <w:bookmarkEnd w:id="1"/>
      <w:bookmarkEnd w:id="2"/>
    </w:p>
    <w:p w:rsidRPr="00BB2CE7" w:rsidR="00DB670B" w:rsidP="00DB670B" w:rsidRDefault="00DB670B" w14:paraId="7F5ED5D5" w14:textId="77777777">
      <w:pPr>
        <w:keepNext/>
        <w:keepLines/>
        <w:spacing w:after="240" w:line="240" w:lineRule="auto"/>
        <w:ind w:left="726" w:right="4"/>
        <w:contextualSpacing/>
        <w:outlineLvl w:val="0"/>
        <w:rPr>
          <w:b/>
          <w:bCs/>
          <w:color w:val="000066"/>
          <w:sz w:val="24"/>
          <w:lang w:val="es-CR" w:eastAsia="es-CR"/>
        </w:rPr>
      </w:pPr>
    </w:p>
    <w:p w:rsidRPr="00BB2CE7" w:rsidR="00DB670B" w:rsidP="00DB670B" w:rsidRDefault="00DB670B" w14:paraId="743E361A" w14:textId="77777777">
      <w:pPr>
        <w:spacing w:line="240" w:lineRule="auto"/>
        <w:ind w:left="98"/>
        <w:contextualSpacing/>
        <w:rPr>
          <w:sz w:val="24"/>
          <w:lang w:val="es-CR" w:eastAsia="es-ES"/>
        </w:rPr>
      </w:pPr>
      <w:r w:rsidRPr="00BB2CE7">
        <w:rPr>
          <w:b/>
          <w:sz w:val="24"/>
          <w:lang w:val="es-CR" w:eastAsia="es-ES"/>
        </w:rPr>
        <w:t>Objetivo</w:t>
      </w:r>
      <w:r w:rsidRPr="00BB2CE7">
        <w:rPr>
          <w:sz w:val="24"/>
          <w:lang w:val="es-CR" w:eastAsia="es-ES"/>
        </w:rPr>
        <w:t xml:space="preserve">: Exponer la expectativa de SUGEF sobre la valoración de la calidad del gobierno corporativo de una entidad. </w:t>
      </w:r>
    </w:p>
    <w:p w:rsidRPr="00BB2CE7" w:rsidR="00DB670B" w:rsidP="00DB670B" w:rsidRDefault="00DB670B" w14:paraId="11AE68AD" w14:textId="77777777">
      <w:pPr>
        <w:spacing w:line="240" w:lineRule="auto"/>
        <w:ind w:left="98"/>
        <w:contextualSpacing/>
        <w:rPr>
          <w:rFonts w:eastAsia="Calibri"/>
          <w:bCs/>
          <w:sz w:val="24"/>
          <w:lang w:val="es-CR"/>
        </w:rPr>
      </w:pPr>
    </w:p>
    <w:p w:rsidRPr="00BB2CE7" w:rsidR="00DB670B" w:rsidP="00DB670B" w:rsidRDefault="00DB670B" w14:paraId="6AF2779B" w14:textId="77777777">
      <w:pPr>
        <w:keepNext/>
        <w:keepLines/>
        <w:numPr>
          <w:ilvl w:val="0"/>
          <w:numId w:val="5"/>
        </w:numPr>
        <w:spacing w:after="240" w:line="240" w:lineRule="auto"/>
        <w:contextualSpacing/>
        <w:outlineLvl w:val="1"/>
        <w:rPr>
          <w:rFonts w:eastAsia="Calibri"/>
          <w:b/>
          <w:bCs/>
          <w:color w:val="000000"/>
          <w:sz w:val="24"/>
          <w:lang w:val="es-CR"/>
        </w:rPr>
      </w:pPr>
      <w:bookmarkStart w:name="_Toc99545459" w:id="3"/>
      <w:bookmarkStart w:name="_Toc103279726" w:id="4"/>
      <w:r w:rsidRPr="00BB2CE7">
        <w:rPr>
          <w:b/>
          <w:bCs/>
          <w:sz w:val="24"/>
          <w:lang w:val="es-CR" w:eastAsia="es-CR"/>
        </w:rPr>
        <w:t>Consideraciones</w:t>
      </w:r>
      <w:r w:rsidRPr="00BB2CE7">
        <w:rPr>
          <w:b/>
          <w:sz w:val="24"/>
          <w:lang w:val="es-CR" w:eastAsia="es-CR"/>
        </w:rPr>
        <w:t xml:space="preserve"> Generales</w:t>
      </w:r>
      <w:bookmarkEnd w:id="3"/>
      <w:bookmarkEnd w:id="4"/>
    </w:p>
    <w:p w:rsidR="00DB670B" w:rsidP="00DB670B" w:rsidRDefault="00DB670B" w14:paraId="72E36F70" w14:textId="77777777">
      <w:pPr>
        <w:spacing w:after="120" w:line="240" w:lineRule="auto"/>
        <w:contextualSpacing/>
        <w:rPr>
          <w:sz w:val="24"/>
          <w:lang w:val="es-CR" w:eastAsia="es-ES"/>
        </w:rPr>
      </w:pPr>
      <w:r w:rsidRPr="00BB2CE7">
        <w:rPr>
          <w:sz w:val="24"/>
          <w:lang w:val="es-CR" w:eastAsia="es-ES"/>
        </w:rPr>
        <w:t xml:space="preserve">El gobierno corporativo es el conjunto de relaciones entre la administración de la entidad, su Órgano de Dirección, sus propietarios y otras partes interesadas, las cuales proveen la estructura para establecer los objetivos de la entidad, la forma y los medios para alcanzarlos y monitorear su cumplimiento. </w:t>
      </w:r>
    </w:p>
    <w:p w:rsidRPr="00BB2CE7" w:rsidR="00DB670B" w:rsidP="00DB670B" w:rsidRDefault="00DB670B" w14:paraId="1A371EE4" w14:textId="77777777">
      <w:pPr>
        <w:spacing w:after="120" w:line="240" w:lineRule="auto"/>
        <w:contextualSpacing/>
        <w:rPr>
          <w:sz w:val="24"/>
          <w:lang w:val="es-CR" w:eastAsia="es-ES"/>
        </w:rPr>
      </w:pPr>
    </w:p>
    <w:p w:rsidR="00DB670B" w:rsidP="00DB670B" w:rsidRDefault="00DB670B" w14:paraId="4FA8C667" w14:textId="77777777">
      <w:pPr>
        <w:spacing w:after="120" w:line="240" w:lineRule="auto"/>
        <w:contextualSpacing/>
        <w:rPr>
          <w:sz w:val="24"/>
          <w:lang w:val="es-CR" w:eastAsia="es-ES"/>
        </w:rPr>
      </w:pPr>
      <w:r w:rsidRPr="00BB2CE7">
        <w:rPr>
          <w:sz w:val="24"/>
          <w:lang w:val="es-CR" w:eastAsia="es-ES"/>
        </w:rPr>
        <w:t xml:space="preserve">El Gobierno Corporativo define la manera en que se asigna la autoridad y se toman las decisiones corporativas. Está constituido por las estructuras de dirección de la entidad (Órgano de Dirección), las de gestión (Alta Gerencia), las de control (Comité de Riesgos, Unidad de Riesgos, Comité de Auditoría, Auditoría Interna y Auditoría Externa, Función de Cumplimiento Legal y Regulatorio, entre otros) y accionistas o asociados. Abarca también las prácticas utilizadas para llevar adelante la dirección, monitoreo y control diario del negocio, en el marco de las leyes y regulaciones aplicables. Toma en consideración las políticas establecidas para alcanzar los objetivos institucionales y supervisar el cumplimiento de la regulación aplicable. </w:t>
      </w:r>
    </w:p>
    <w:p w:rsidRPr="00BB2CE7" w:rsidR="00DB670B" w:rsidP="00DB670B" w:rsidRDefault="00DB670B" w14:paraId="18D03264" w14:textId="77777777">
      <w:pPr>
        <w:spacing w:after="120" w:line="240" w:lineRule="auto"/>
        <w:contextualSpacing/>
        <w:rPr>
          <w:sz w:val="24"/>
          <w:lang w:val="es-CR" w:eastAsia="es-ES"/>
        </w:rPr>
      </w:pPr>
    </w:p>
    <w:p w:rsidR="00DB670B" w:rsidP="00DB670B" w:rsidRDefault="00DB670B" w14:paraId="0629D90F" w14:textId="77777777">
      <w:pPr>
        <w:spacing w:after="120" w:line="240" w:lineRule="auto"/>
        <w:contextualSpacing/>
        <w:rPr>
          <w:sz w:val="24"/>
          <w:lang w:val="es-CR" w:eastAsia="es-ES"/>
        </w:rPr>
      </w:pPr>
      <w:r w:rsidRPr="00BB2CE7">
        <w:rPr>
          <w:sz w:val="24"/>
          <w:lang w:val="es-CR" w:eastAsia="es-ES"/>
        </w:rPr>
        <w:t>Un buen gobierno corporativo busca asegurar que se actúe en el mejor interés de la entidad, sus accionistas o asociados, y acreedores; respetando los derechos de los consumidores.</w:t>
      </w:r>
    </w:p>
    <w:p w:rsidRPr="00BB2CE7" w:rsidR="00DB670B" w:rsidP="00DB670B" w:rsidRDefault="00DB670B" w14:paraId="0E78C6CE" w14:textId="77777777">
      <w:pPr>
        <w:spacing w:after="120" w:line="240" w:lineRule="auto"/>
        <w:contextualSpacing/>
        <w:rPr>
          <w:sz w:val="24"/>
          <w:lang w:val="es-CR" w:eastAsia="es-ES"/>
        </w:rPr>
      </w:pPr>
    </w:p>
    <w:p w:rsidR="00DB670B" w:rsidP="00DB670B" w:rsidRDefault="00DB670B" w14:paraId="4A6F82B6" w14:textId="77777777">
      <w:pPr>
        <w:spacing w:after="120" w:line="240" w:lineRule="auto"/>
        <w:contextualSpacing/>
        <w:rPr>
          <w:sz w:val="24"/>
          <w:lang w:val="es-CR" w:eastAsia="es-ES"/>
        </w:rPr>
      </w:pPr>
      <w:r w:rsidRPr="00BB2CE7">
        <w:rPr>
          <w:sz w:val="24"/>
          <w:lang w:val="es-CR" w:eastAsia="es-ES"/>
        </w:rPr>
        <w:t xml:space="preserve">El Órgano de Dirección de una entidad cumple un rol fundamental en la vigilancia de las actividades de la entidad, para lo que debe conocer en todo momento el perfil de riesgos de la entidad. El cumplimiento de su rol repercute en forma crítica sobre la viabilidad y solvencia de la entidad. La SUGEF debe evaluar el gobierno corporativo, dado que las deficiencias en este aspecto pueden ocasionar pérdidas importantes a la entidad, llegando incluso a ocasionar su quiebra. El establecimiento y aplicación de políticas por la entidad para guiar sus actividades y la comprobación de su </w:t>
      </w:r>
      <w:r w:rsidRPr="00BB2CE7">
        <w:rPr>
          <w:sz w:val="24"/>
          <w:lang w:val="es-CR" w:eastAsia="es-ES"/>
        </w:rPr>
        <w:lastRenderedPageBreak/>
        <w:t>cumplimiento por parte Órgano de Dirección y la Alta Gerencia son esenciales para la función de supervisión y fiscalización que desempeña el supervisor.</w:t>
      </w:r>
    </w:p>
    <w:p w:rsidRPr="00BB2CE7" w:rsidR="00DB670B" w:rsidP="00DB670B" w:rsidRDefault="00DB670B" w14:paraId="32F64A99" w14:textId="77777777">
      <w:pPr>
        <w:spacing w:after="120" w:line="240" w:lineRule="auto"/>
        <w:contextualSpacing/>
        <w:rPr>
          <w:b/>
          <w:bCs/>
          <w:sz w:val="24"/>
          <w:lang w:val="es-CR" w:eastAsia="es-ES"/>
        </w:rPr>
      </w:pPr>
    </w:p>
    <w:p w:rsidRPr="00BB2CE7" w:rsidR="00DB670B" w:rsidP="00DB670B" w:rsidRDefault="00DB670B" w14:paraId="2D989830" w14:textId="77777777">
      <w:pPr>
        <w:spacing w:after="120" w:line="240" w:lineRule="auto"/>
        <w:contextualSpacing/>
        <w:rPr>
          <w:rFonts w:eastAsia="Calibri"/>
          <w:bCs/>
          <w:sz w:val="24"/>
          <w:lang w:val="es-CR"/>
        </w:rPr>
      </w:pPr>
      <w:r w:rsidRPr="00BB2CE7">
        <w:rPr>
          <w:sz w:val="24"/>
          <w:lang w:val="es-CR" w:eastAsia="es-ES"/>
        </w:rPr>
        <w:t>La SUGEF fundamenta su valoración de la calidad del Gobierno Corporativo mediante lo dispuesto en la reglamentación sobre gobierno corporativo e idoneidad de los miembros del órgano de dirección y de la alta gerencia, así como en los principios sobre sanas prácticas emitidos por el Comité de Supervisión Bancaria de Basilea (Comité de Basilea), la Organización para la Cooperación Económica y el Desarrollo (OCDE), y otros estándares y principios que sean aplicables, emitidos por autoridades nacionales y organismos internacionales.</w:t>
      </w:r>
    </w:p>
    <w:p w:rsidRPr="00BB2CE7" w:rsidR="00DB670B" w:rsidP="00DB670B" w:rsidRDefault="00DB670B" w14:paraId="521343A6" w14:textId="77777777">
      <w:pPr>
        <w:spacing w:line="240" w:lineRule="auto"/>
        <w:ind w:left="360"/>
        <w:contextualSpacing/>
        <w:rPr>
          <w:rFonts w:eastAsia="Calibri" w:cs="Calibri"/>
          <w:sz w:val="24"/>
          <w:lang w:val="es-CR"/>
        </w:rPr>
      </w:pPr>
    </w:p>
    <w:p w:rsidRPr="00BB2CE7" w:rsidR="00DB670B" w:rsidP="00DB670B" w:rsidRDefault="00DB670B" w14:paraId="48172BD1" w14:textId="77777777">
      <w:pPr>
        <w:keepNext/>
        <w:keepLines/>
        <w:numPr>
          <w:ilvl w:val="0"/>
          <w:numId w:val="6"/>
        </w:numPr>
        <w:spacing w:after="240" w:line="240" w:lineRule="auto"/>
        <w:contextualSpacing/>
        <w:outlineLvl w:val="1"/>
        <w:rPr>
          <w:rFonts w:eastAsia="Calibri"/>
          <w:b/>
          <w:bCs/>
          <w:color w:val="000000"/>
          <w:sz w:val="24"/>
          <w:lang w:val="es-CR"/>
        </w:rPr>
      </w:pPr>
      <w:bookmarkStart w:name="_Toc99545460" w:id="5"/>
      <w:bookmarkStart w:name="_Toc103279727" w:id="6"/>
      <w:r w:rsidRPr="00BB2CE7">
        <w:rPr>
          <w:b/>
          <w:bCs/>
          <w:sz w:val="24"/>
          <w:lang w:val="es-CR" w:eastAsia="es-CR"/>
        </w:rPr>
        <w:t>Elementos y criterios de evaluación</w:t>
      </w:r>
      <w:bookmarkEnd w:id="5"/>
      <w:bookmarkEnd w:id="6"/>
    </w:p>
    <w:p w:rsidR="00DB670B" w:rsidP="00DB670B" w:rsidRDefault="00DB670B" w14:paraId="3BF8DC13" w14:textId="77777777">
      <w:pPr>
        <w:spacing w:after="120" w:line="240" w:lineRule="auto"/>
        <w:contextualSpacing/>
        <w:rPr>
          <w:sz w:val="24"/>
          <w:lang w:val="es-CR" w:eastAsia="es-ES"/>
        </w:rPr>
      </w:pPr>
      <w:r w:rsidRPr="00BB2CE7">
        <w:rPr>
          <w:sz w:val="24"/>
          <w:lang w:val="es-CR" w:eastAsia="es-ES"/>
        </w:rPr>
        <w:t>Seguidamente se presentan los elementos y criterios de evaluación para el aspecto “</w:t>
      </w:r>
      <w:r w:rsidRPr="00BB2CE7">
        <w:rPr>
          <w:b/>
          <w:bCs/>
          <w:sz w:val="24"/>
          <w:lang w:val="es-CR" w:eastAsia="es-ES"/>
        </w:rPr>
        <w:t>calidad</w:t>
      </w:r>
      <w:r w:rsidRPr="00BB2CE7">
        <w:rPr>
          <w:sz w:val="24"/>
          <w:lang w:val="es-CR" w:eastAsia="es-ES"/>
        </w:rPr>
        <w:t xml:space="preserve"> del gobierno corporativo”, sin perjuicio de que la SUGEF tome en cuenta otros elementos y criterios de evaluación que considere necesarios para calificar la Calidad de Gobierno Corporativo de una entidad.</w:t>
      </w:r>
    </w:p>
    <w:p w:rsidRPr="00BB2CE7" w:rsidR="00DB670B" w:rsidP="00DB670B" w:rsidRDefault="00DB670B" w14:paraId="551F9500" w14:textId="77777777">
      <w:pPr>
        <w:spacing w:after="120" w:line="240" w:lineRule="auto"/>
        <w:contextualSpacing/>
        <w:rPr>
          <w:sz w:val="24"/>
          <w:lang w:val="es-CR" w:eastAsia="es-ES"/>
        </w:rPr>
      </w:pPr>
    </w:p>
    <w:p w:rsidR="00DB670B" w:rsidP="00DB670B" w:rsidRDefault="00DB670B" w14:paraId="37A40182" w14:textId="77777777">
      <w:pPr>
        <w:spacing w:after="120" w:line="240" w:lineRule="auto"/>
        <w:contextualSpacing/>
        <w:rPr>
          <w:rFonts w:eastAsia="Calibri"/>
          <w:bCs/>
          <w:sz w:val="24"/>
          <w:lang w:val="es-CO"/>
        </w:rPr>
      </w:pPr>
      <w:r w:rsidRPr="00BB2CE7">
        <w:rPr>
          <w:rFonts w:eastAsia="Calibri"/>
          <w:bCs/>
          <w:sz w:val="24"/>
          <w:lang w:val="es-CO"/>
        </w:rPr>
        <w:t>La aplicación y ponderación de cada elemento en la evaluación de la calidad del gobierno corporativo depende de la naturaleza, complejidad, importancia sistémica y perfil de riesgos de la entidad.</w:t>
      </w:r>
    </w:p>
    <w:p w:rsidRPr="00BB2CE7" w:rsidR="00DB670B" w:rsidP="00DB670B" w:rsidRDefault="00DB670B" w14:paraId="29DAB045" w14:textId="77777777">
      <w:pPr>
        <w:spacing w:after="120" w:line="240" w:lineRule="auto"/>
        <w:contextualSpacing/>
        <w:rPr>
          <w:rFonts w:eastAsia="Calibri"/>
          <w:bCs/>
          <w:sz w:val="24"/>
          <w:lang w:val="es-CR"/>
        </w:rPr>
      </w:pPr>
    </w:p>
    <w:tbl>
      <w:tblPr>
        <w:tblpPr w:leftFromText="141" w:rightFromText="141" w:vertAnchor="tex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28"/>
      </w:tblGrid>
      <w:tr w:rsidRPr="00BB2CE7" w:rsidR="00DB670B" w:rsidTr="008A5BDD" w14:paraId="0115FBDA" w14:textId="77777777">
        <w:tc>
          <w:tcPr>
            <w:tcW w:w="5000" w:type="pct"/>
            <w:shd w:val="clear" w:color="auto" w:fill="9CC2E5" w:themeFill="accent1" w:themeFillTint="99"/>
          </w:tcPr>
          <w:p w:rsidRPr="00BB2CE7" w:rsidR="00DB670B" w:rsidP="008A5BDD" w:rsidRDefault="00DB670B" w14:paraId="45A90AF4" w14:textId="77777777">
            <w:pPr>
              <w:spacing w:line="240" w:lineRule="auto"/>
              <w:contextualSpacing/>
              <w:rPr>
                <w:b/>
                <w:bCs/>
                <w:sz w:val="24"/>
                <w:lang w:val="es-CR" w:eastAsia="es-ES"/>
              </w:rPr>
            </w:pPr>
            <w:r w:rsidRPr="00BB2CE7">
              <w:rPr>
                <w:rFonts w:cs="Calibri"/>
                <w:b/>
                <w:bCs/>
                <w:sz w:val="24"/>
                <w:lang w:val="es-CR" w:eastAsia="es-ES"/>
              </w:rPr>
              <w:t>Composición</w:t>
            </w:r>
          </w:p>
        </w:tc>
      </w:tr>
      <w:tr w:rsidRPr="00BB2CE7" w:rsidR="00DB670B" w:rsidTr="008A5BDD" w14:paraId="0D1054BA" w14:textId="77777777">
        <w:tc>
          <w:tcPr>
            <w:tcW w:w="5000" w:type="pct"/>
            <w:tcBorders>
              <w:bottom w:val="single" w:color="auto" w:sz="4" w:space="0"/>
            </w:tcBorders>
            <w:shd w:val="clear" w:color="auto" w:fill="auto"/>
          </w:tcPr>
          <w:p w:rsidRPr="00BB2CE7" w:rsidR="00DB670B" w:rsidP="008A5BDD" w:rsidRDefault="00DB670B" w14:paraId="436B7911" w14:textId="77777777">
            <w:pPr>
              <w:spacing w:line="240" w:lineRule="auto"/>
              <w:contextualSpacing/>
              <w:rPr>
                <w:b/>
                <w:bCs/>
                <w:sz w:val="24"/>
                <w:lang w:eastAsia="es-ES"/>
              </w:rPr>
            </w:pPr>
            <w:r w:rsidRPr="00BB2CE7">
              <w:rPr>
                <w:sz w:val="24"/>
                <w:lang w:eastAsia="es-ES"/>
              </w:rPr>
              <w:t>La entidad cuenta con una estructura en su Órgano de Dirección y Alta Gerencia, que es apropiada según el perfil de riesgo de la entidad en aspectos como número de miembros, composición, idoneidad, conocimiento y experiencia, dedicación e independencia, así como adecuados procedimientos de selección, compensación y calificación del desempeño de sus miembros sobre los cuales se evalúa su cumplimiento.</w:t>
            </w:r>
          </w:p>
        </w:tc>
      </w:tr>
      <w:tr w:rsidRPr="00BB2CE7" w:rsidR="00DB670B" w:rsidTr="008A5BDD" w14:paraId="79770469" w14:textId="77777777">
        <w:tc>
          <w:tcPr>
            <w:tcW w:w="5000" w:type="pct"/>
            <w:shd w:val="clear" w:color="auto" w:fill="9CC2E5" w:themeFill="accent1" w:themeFillTint="99"/>
          </w:tcPr>
          <w:p w:rsidRPr="00BB2CE7" w:rsidR="00DB670B" w:rsidP="008A5BDD" w:rsidRDefault="00DB670B" w14:paraId="468F1074" w14:textId="77777777">
            <w:pPr>
              <w:spacing w:line="240" w:lineRule="auto"/>
              <w:contextualSpacing/>
              <w:rPr>
                <w:rFonts w:eastAsia="Calibri"/>
                <w:bCs/>
                <w:sz w:val="24"/>
              </w:rPr>
            </w:pPr>
            <w:r w:rsidRPr="00BB2CE7">
              <w:rPr>
                <w:rFonts w:cs="Calibri"/>
                <w:b/>
                <w:bCs/>
                <w:sz w:val="24"/>
                <w:lang w:eastAsia="es-ES"/>
              </w:rPr>
              <w:t>Funciones y responsabilidades</w:t>
            </w:r>
          </w:p>
        </w:tc>
      </w:tr>
      <w:tr w:rsidRPr="00BB2CE7" w:rsidR="00DB670B" w:rsidTr="008A5BDD" w14:paraId="6DA27D10" w14:textId="77777777">
        <w:tc>
          <w:tcPr>
            <w:tcW w:w="5000" w:type="pct"/>
            <w:shd w:val="clear" w:color="auto" w:fill="auto"/>
          </w:tcPr>
          <w:p w:rsidRPr="00BB2CE7" w:rsidR="00DB670B" w:rsidP="008A5BDD" w:rsidRDefault="00DB670B" w14:paraId="65F11AEA" w14:textId="77777777">
            <w:pPr>
              <w:spacing w:line="240" w:lineRule="auto"/>
              <w:contextualSpacing/>
              <w:rPr>
                <w:rFonts w:eastAsia="Calibri"/>
                <w:bCs/>
                <w:sz w:val="24"/>
              </w:rPr>
            </w:pPr>
            <w:r w:rsidRPr="00BB2CE7">
              <w:rPr>
                <w:sz w:val="24"/>
                <w:lang w:val="es-CR" w:eastAsia="es-ES"/>
              </w:rPr>
              <w:t>Las funciones y</w:t>
            </w:r>
            <w:r w:rsidRPr="00BB2CE7">
              <w:rPr>
                <w:sz w:val="24"/>
                <w:u w:val="single"/>
                <w:lang w:val="es-CR" w:eastAsia="es-ES"/>
              </w:rPr>
              <w:t xml:space="preserve"> </w:t>
            </w:r>
            <w:r w:rsidRPr="00BB2CE7">
              <w:rPr>
                <w:sz w:val="24"/>
                <w:lang w:val="es-CR" w:eastAsia="es-ES"/>
              </w:rPr>
              <w:t>responsabilidades del Órgano de Dirección y la Alta Gerencia son definidas y vela por su cumplimiento, las cuales cumplen con lo que normalmente se considera como mejores prácticas utilizadas por la industria financiera en materia de gobierno y lo que dispone la reglamentación respectiva, dada la naturaleza, complejidad, importancia sistémica y perfil de riesgo de la entidad, y su desempeño ha sido altamente efectivo.</w:t>
            </w:r>
          </w:p>
        </w:tc>
      </w:tr>
      <w:tr w:rsidRPr="00BB2CE7" w:rsidR="00DB670B" w:rsidTr="008A5BDD" w14:paraId="34BD3724" w14:textId="77777777">
        <w:tc>
          <w:tcPr>
            <w:tcW w:w="5000" w:type="pct"/>
            <w:shd w:val="clear" w:color="auto" w:fill="auto"/>
          </w:tcPr>
          <w:p w:rsidRPr="00BB2CE7" w:rsidR="00DB670B" w:rsidP="008A5BDD" w:rsidRDefault="00DB670B" w14:paraId="0DA4CAE6" w14:textId="77777777">
            <w:pPr>
              <w:spacing w:line="240" w:lineRule="auto"/>
              <w:contextualSpacing/>
              <w:rPr>
                <w:sz w:val="24"/>
                <w:lang w:val="es-CR" w:eastAsia="es-ES"/>
              </w:rPr>
            </w:pPr>
            <w:r w:rsidRPr="00BB2CE7">
              <w:rPr>
                <w:sz w:val="24"/>
                <w:lang w:val="es-CR" w:eastAsia="es-ES"/>
              </w:rPr>
              <w:t>El Órgano de Dirección eficaz proporciona una</w:t>
            </w:r>
            <w:r w:rsidRPr="00BB2CE7">
              <w:rPr>
                <w:b/>
                <w:bCs/>
                <w:sz w:val="24"/>
                <w:lang w:val="es-CR" w:eastAsia="es-ES"/>
              </w:rPr>
              <w:t xml:space="preserve"> </w:t>
            </w:r>
            <w:r w:rsidRPr="00BB2CE7">
              <w:rPr>
                <w:sz w:val="24"/>
                <w:lang w:val="es-CR" w:eastAsia="es-ES"/>
              </w:rPr>
              <w:t xml:space="preserve">orientación objetiva y reflexiva a la Alta Gerencia. Algunas señales para identificar un Órgano de Dirección eficaz incluyen: </w:t>
            </w:r>
          </w:p>
          <w:p w:rsidRPr="00BB2CE7" w:rsidR="00DB670B" w:rsidP="008A5BDD" w:rsidRDefault="00DB670B" w14:paraId="0608853E" w14:textId="77777777">
            <w:pPr>
              <w:spacing w:line="240" w:lineRule="auto"/>
              <w:contextualSpacing/>
              <w:rPr>
                <w:sz w:val="24"/>
                <w:lang w:val="es-CR" w:eastAsia="es-ES"/>
              </w:rPr>
            </w:pPr>
            <w:r w:rsidRPr="00BB2CE7">
              <w:rPr>
                <w:sz w:val="24"/>
                <w:lang w:val="es-CR" w:eastAsia="es-ES"/>
              </w:rPr>
              <w:t>a) Juicio: Toma las decisiones con conocimiento de causa, tomando en cuenta los objetivos de negocio de la entidad y su apetito de riesgo.</w:t>
            </w:r>
          </w:p>
          <w:p w:rsidRPr="00BB2CE7" w:rsidR="00DB670B" w:rsidP="008A5BDD" w:rsidRDefault="00DB670B" w14:paraId="0FEC4B08" w14:textId="77777777">
            <w:pPr>
              <w:spacing w:line="240" w:lineRule="auto"/>
              <w:contextualSpacing/>
              <w:rPr>
                <w:sz w:val="24"/>
                <w:lang w:val="es-CR" w:eastAsia="es-ES"/>
              </w:rPr>
            </w:pPr>
            <w:r w:rsidRPr="00BB2CE7">
              <w:rPr>
                <w:sz w:val="24"/>
                <w:lang w:val="es-CR" w:eastAsia="es-ES"/>
              </w:rPr>
              <w:t>b) Iniciativa: Ejerce sus responsabilidades de una manera proactiva y oportuna con una disposición a analizar, así como proporcionar una orientación adecuada a la Alta Gerencia.</w:t>
            </w:r>
          </w:p>
          <w:p w:rsidRPr="00BB2CE7" w:rsidR="00DB670B" w:rsidP="008A5BDD" w:rsidRDefault="00DB670B" w14:paraId="77072B86" w14:textId="77777777">
            <w:pPr>
              <w:spacing w:line="240" w:lineRule="auto"/>
              <w:contextualSpacing/>
              <w:rPr>
                <w:sz w:val="24"/>
                <w:lang w:val="es-CR" w:eastAsia="es-ES"/>
              </w:rPr>
            </w:pPr>
            <w:r w:rsidRPr="00BB2CE7">
              <w:rPr>
                <w:sz w:val="24"/>
                <w:lang w:val="es-CR" w:eastAsia="es-ES"/>
              </w:rPr>
              <w:lastRenderedPageBreak/>
              <w:t>c) Respuesta: Responde a cuestiones o deficiencias detectadas por la Alta Gerencia, los órganos encargados de realizar las funciones de control de la entidad, reguladores, y supervisa la rectificación de esas deficiencias en forma oportuna.</w:t>
            </w:r>
          </w:p>
          <w:p w:rsidRPr="00BB2CE7" w:rsidR="00DB670B" w:rsidP="008A5BDD" w:rsidRDefault="00DB670B" w14:paraId="691DA7AB" w14:textId="77777777">
            <w:pPr>
              <w:spacing w:line="240" w:lineRule="auto"/>
              <w:contextualSpacing/>
              <w:rPr>
                <w:sz w:val="24"/>
                <w:lang w:val="es-CR" w:eastAsia="es-ES"/>
              </w:rPr>
            </w:pPr>
            <w:r w:rsidRPr="00BB2CE7">
              <w:rPr>
                <w:sz w:val="24"/>
                <w:lang w:val="es-CR" w:eastAsia="es-ES"/>
              </w:rPr>
              <w:t>d) Excelencia operativa: Posee prácticas y procesos que permiten la discusión abierta y el debate. El Órgano de Dirección revisa periódicamente la idoneidad y la frecuencia de la información necesaria para que dicho órgano pueda desempeñar sus funciones.</w:t>
            </w:r>
          </w:p>
          <w:p w:rsidRPr="00BB2CE7" w:rsidR="00DB670B" w:rsidP="008A5BDD" w:rsidRDefault="00DB670B" w14:paraId="31B62BDB" w14:textId="77777777">
            <w:pPr>
              <w:spacing w:line="240" w:lineRule="auto"/>
              <w:contextualSpacing/>
              <w:rPr>
                <w:rFonts w:eastAsia="Calibri"/>
                <w:bCs/>
                <w:sz w:val="24"/>
              </w:rPr>
            </w:pPr>
            <w:r w:rsidRPr="00BB2CE7">
              <w:rPr>
                <w:sz w:val="24"/>
                <w:lang w:eastAsia="es-ES"/>
              </w:rPr>
              <w:t>e) Provee información financiera regular, operativa y de gestión, en forma oportuna, que facilita a los agentes del mercado la evaluación de la entidad.</w:t>
            </w:r>
          </w:p>
        </w:tc>
      </w:tr>
      <w:tr w:rsidRPr="00BB2CE7" w:rsidR="00DB670B" w:rsidTr="008A5BDD" w14:paraId="49CAF70F" w14:textId="77777777">
        <w:tc>
          <w:tcPr>
            <w:tcW w:w="5000" w:type="pct"/>
            <w:shd w:val="clear" w:color="auto" w:fill="auto"/>
          </w:tcPr>
          <w:p w:rsidRPr="00BB2CE7" w:rsidR="00DB670B" w:rsidP="008A5BDD" w:rsidRDefault="00DB670B" w14:paraId="59F93DF6" w14:textId="77777777">
            <w:pPr>
              <w:spacing w:line="240" w:lineRule="auto"/>
              <w:contextualSpacing/>
              <w:rPr>
                <w:rFonts w:eastAsia="Calibri"/>
                <w:bCs/>
                <w:sz w:val="24"/>
              </w:rPr>
            </w:pPr>
            <w:r w:rsidRPr="00BB2CE7">
              <w:rPr>
                <w:sz w:val="24"/>
                <w:lang w:eastAsia="es-ES"/>
              </w:rPr>
              <w:lastRenderedPageBreak/>
              <w:t>El Órgano de Dirección y la Alta Gerencia cuentan con mecanismos de planificación, implementación y control de sus planes estratégicos, de negocios, presupuestos y estrategia de riesgos.</w:t>
            </w:r>
          </w:p>
        </w:tc>
      </w:tr>
      <w:tr w:rsidRPr="00BB2CE7" w:rsidR="00DB670B" w:rsidTr="008A5BDD" w14:paraId="4014E024" w14:textId="77777777">
        <w:tc>
          <w:tcPr>
            <w:tcW w:w="5000" w:type="pct"/>
            <w:shd w:val="clear" w:color="auto" w:fill="auto"/>
          </w:tcPr>
          <w:p w:rsidRPr="00BB2CE7" w:rsidR="00DB670B" w:rsidP="008A5BDD" w:rsidRDefault="00DB670B" w14:paraId="0A74DB7C" w14:textId="77777777">
            <w:pPr>
              <w:spacing w:line="240" w:lineRule="auto"/>
              <w:contextualSpacing/>
              <w:rPr>
                <w:sz w:val="24"/>
                <w:lang w:eastAsia="es-ES"/>
              </w:rPr>
            </w:pPr>
            <w:r w:rsidRPr="00BB2CE7">
              <w:rPr>
                <w:rFonts w:cs="Calibri"/>
                <w:sz w:val="24"/>
                <w:lang w:eastAsia="es-ES"/>
              </w:rPr>
              <w:t>El Órgano de Dirección y la Alta Gerencia realizan una supervisión continua del funcionamiento de la entidad.</w:t>
            </w:r>
          </w:p>
        </w:tc>
      </w:tr>
      <w:tr w:rsidRPr="00BB2CE7" w:rsidR="00DB670B" w:rsidTr="008A5BDD" w14:paraId="7DEB4482" w14:textId="77777777">
        <w:tc>
          <w:tcPr>
            <w:tcW w:w="5000" w:type="pct"/>
            <w:shd w:val="clear" w:color="auto" w:fill="auto"/>
          </w:tcPr>
          <w:p w:rsidRPr="00BB2CE7" w:rsidR="00DB670B" w:rsidP="008A5BDD" w:rsidRDefault="00DB670B" w14:paraId="7BE7927A" w14:textId="77777777">
            <w:pPr>
              <w:spacing w:line="240" w:lineRule="auto"/>
              <w:contextualSpacing/>
              <w:rPr>
                <w:sz w:val="24"/>
                <w:lang w:eastAsia="es-ES"/>
              </w:rPr>
            </w:pPr>
            <w:r w:rsidRPr="00BB2CE7">
              <w:rPr>
                <w:rFonts w:cs="Calibri"/>
                <w:sz w:val="24"/>
                <w:lang w:eastAsia="es-ES"/>
              </w:rPr>
              <w:t>El Órgano de Dirección y la Alta Gerencia muestran una</w:t>
            </w:r>
            <w:r w:rsidRPr="00BB2CE7">
              <w:rPr>
                <w:rFonts w:cs="Calibri"/>
                <w:b/>
                <w:bCs/>
                <w:sz w:val="24"/>
                <w:lang w:eastAsia="es-ES"/>
              </w:rPr>
              <w:t xml:space="preserve"> </w:t>
            </w:r>
            <w:r w:rsidRPr="00BB2CE7">
              <w:rPr>
                <w:rFonts w:cs="Calibri"/>
                <w:sz w:val="24"/>
                <w:lang w:eastAsia="es-ES"/>
              </w:rPr>
              <w:t>actitud proactiva a la resolución de los problemas, sus miembros son competentes, tienen la experiencia suficiente y la capacidad de respuesta a las condiciones cambiantes del mercado.</w:t>
            </w:r>
          </w:p>
        </w:tc>
      </w:tr>
      <w:tr w:rsidRPr="00BB2CE7" w:rsidR="00DB670B" w:rsidTr="008A5BDD" w14:paraId="120FEC9C" w14:textId="77777777">
        <w:tc>
          <w:tcPr>
            <w:tcW w:w="5000" w:type="pct"/>
            <w:shd w:val="clear" w:color="auto" w:fill="auto"/>
          </w:tcPr>
          <w:p w:rsidRPr="00BB2CE7" w:rsidR="00DB670B" w:rsidP="008A5BDD" w:rsidRDefault="00DB670B" w14:paraId="45B02889" w14:textId="77777777">
            <w:pPr>
              <w:spacing w:line="240" w:lineRule="auto"/>
              <w:contextualSpacing/>
              <w:rPr>
                <w:b/>
                <w:sz w:val="24"/>
                <w:lang w:val="es-CR" w:eastAsia="es-ES"/>
              </w:rPr>
            </w:pPr>
            <w:r w:rsidRPr="00BB2CE7">
              <w:rPr>
                <w:sz w:val="24"/>
                <w:lang w:val="es-CR" w:eastAsia="es-ES"/>
              </w:rPr>
              <w:t>E</w:t>
            </w:r>
            <w:r w:rsidRPr="00BB2CE7">
              <w:rPr>
                <w:rFonts w:cs="Calibri"/>
                <w:sz w:val="24"/>
                <w:lang w:val="es-CR" w:eastAsia="es-ES"/>
              </w:rPr>
              <w:t>l Órgano de Dirección y la Alta Gerencia mantienen una</w:t>
            </w:r>
            <w:r w:rsidRPr="00BB2CE7">
              <w:rPr>
                <w:rFonts w:cs="Calibri"/>
                <w:b/>
                <w:bCs/>
                <w:sz w:val="24"/>
                <w:lang w:val="es-CR" w:eastAsia="es-ES"/>
              </w:rPr>
              <w:t xml:space="preserve"> </w:t>
            </w:r>
            <w:r w:rsidRPr="00BB2CE7">
              <w:rPr>
                <w:rFonts w:cs="Calibri"/>
                <w:sz w:val="24"/>
                <w:lang w:val="es-CR" w:eastAsia="es-ES"/>
              </w:rPr>
              <w:t>relación</w:t>
            </w:r>
            <w:r w:rsidRPr="00BB2CE7">
              <w:rPr>
                <w:rFonts w:cs="Calibri"/>
                <w:b/>
                <w:bCs/>
                <w:sz w:val="24"/>
                <w:lang w:val="es-CR" w:eastAsia="es-ES"/>
              </w:rPr>
              <w:t xml:space="preserve"> </w:t>
            </w:r>
            <w:r w:rsidRPr="00BB2CE7">
              <w:rPr>
                <w:rFonts w:cs="Calibri"/>
                <w:sz w:val="24"/>
                <w:lang w:val="es-CR" w:eastAsia="es-ES"/>
              </w:rPr>
              <w:t>con el supervisor y son receptivos a sus requerimientos.</w:t>
            </w:r>
          </w:p>
        </w:tc>
      </w:tr>
      <w:tr w:rsidRPr="00BB2CE7" w:rsidR="00DB670B" w:rsidTr="008A5BDD" w14:paraId="562FAFFC" w14:textId="77777777">
        <w:tc>
          <w:tcPr>
            <w:tcW w:w="5000" w:type="pct"/>
            <w:shd w:val="clear" w:color="auto" w:fill="auto"/>
          </w:tcPr>
          <w:p w:rsidRPr="00BB2CE7" w:rsidR="00DB670B" w:rsidP="008A5BDD" w:rsidRDefault="00DB670B" w14:paraId="07F4D22D" w14:textId="77777777">
            <w:pPr>
              <w:spacing w:line="240" w:lineRule="auto"/>
              <w:contextualSpacing/>
              <w:rPr>
                <w:sz w:val="24"/>
                <w:lang w:val="es-CR" w:eastAsia="es-ES"/>
              </w:rPr>
            </w:pPr>
            <w:r w:rsidRPr="00BB2CE7">
              <w:rPr>
                <w:rFonts w:cs="Calibri"/>
                <w:sz w:val="24"/>
                <w:lang w:val="es-CR" w:eastAsia="es-ES"/>
              </w:rPr>
              <w:t>La entidad tiene una cultura de control y cuenta con un sistema de control interno eficiente, y además la Auditoría Interna cuenta con la suficiente autoridad, prestigio, independencia, recursos y acceso al Órgano de Dirección y a la Alta Gerencia y sus recomendaciones son aceptadas por la entidad.</w:t>
            </w:r>
          </w:p>
        </w:tc>
      </w:tr>
      <w:tr w:rsidRPr="00BB2CE7" w:rsidR="00DB670B" w:rsidTr="008A5BDD" w14:paraId="70F171D0" w14:textId="77777777">
        <w:tc>
          <w:tcPr>
            <w:tcW w:w="5000" w:type="pct"/>
            <w:shd w:val="clear" w:color="auto" w:fill="auto"/>
          </w:tcPr>
          <w:p w:rsidRPr="00BB2CE7" w:rsidR="00DB670B" w:rsidP="008A5BDD" w:rsidRDefault="00DB670B" w14:paraId="7E7F33C1" w14:textId="77777777">
            <w:pPr>
              <w:spacing w:line="240" w:lineRule="auto"/>
              <w:contextualSpacing/>
              <w:rPr>
                <w:rFonts w:cs="Calibri"/>
                <w:sz w:val="24"/>
                <w:lang w:val="es-CR" w:eastAsia="es-ES"/>
              </w:rPr>
            </w:pPr>
            <w:r w:rsidRPr="00BB2CE7">
              <w:rPr>
                <w:sz w:val="24"/>
                <w:lang w:val="es-CR" w:eastAsia="es-ES"/>
              </w:rPr>
              <w:t>El órgano de dirección aprueba la estructura organizacional de manera que exista una adecuada segregación de funciones entre las áreas operativas.</w:t>
            </w:r>
          </w:p>
        </w:tc>
      </w:tr>
      <w:tr w:rsidRPr="00BB2CE7" w:rsidR="00DB670B" w:rsidTr="008A5BDD" w14:paraId="467C7E9B" w14:textId="77777777">
        <w:tc>
          <w:tcPr>
            <w:tcW w:w="5000" w:type="pct"/>
            <w:shd w:val="clear" w:color="auto" w:fill="auto"/>
          </w:tcPr>
          <w:p w:rsidRPr="00BB2CE7" w:rsidR="00DB670B" w:rsidP="008A5BDD" w:rsidRDefault="00DB670B" w14:paraId="79A83EC2" w14:textId="77777777">
            <w:pPr>
              <w:spacing w:line="240" w:lineRule="auto"/>
              <w:contextualSpacing/>
              <w:rPr>
                <w:sz w:val="24"/>
                <w:lang w:val="es-CR" w:eastAsia="es-ES"/>
              </w:rPr>
            </w:pPr>
            <w:r w:rsidRPr="00BB2CE7">
              <w:rPr>
                <w:rFonts w:cs="Calibri"/>
                <w:sz w:val="24"/>
                <w:lang w:val="es-CR" w:eastAsia="es-ES"/>
              </w:rPr>
              <w:t>El Órgano de Dirección cuenta con sistemas de aprobación y revisión, periódica, del marco de apetito de los riesgos a los que está expuesta la entidad.</w:t>
            </w:r>
          </w:p>
        </w:tc>
      </w:tr>
      <w:tr w:rsidRPr="00BB2CE7" w:rsidR="00DB670B" w:rsidTr="008A5BDD" w14:paraId="127DD16A" w14:textId="77777777">
        <w:tc>
          <w:tcPr>
            <w:tcW w:w="5000" w:type="pct"/>
            <w:tcBorders>
              <w:bottom w:val="single" w:color="auto" w:sz="4" w:space="0"/>
            </w:tcBorders>
            <w:shd w:val="clear" w:color="auto" w:fill="auto"/>
          </w:tcPr>
          <w:p w:rsidRPr="00BB2CE7" w:rsidR="00DB670B" w:rsidP="008A5BDD" w:rsidRDefault="00DB670B" w14:paraId="3111C9F7" w14:textId="77777777">
            <w:pPr>
              <w:spacing w:line="240" w:lineRule="auto"/>
              <w:contextualSpacing/>
              <w:rPr>
                <w:rFonts w:cs="Calibri"/>
                <w:color w:val="4472C4"/>
                <w:sz w:val="24"/>
                <w:lang w:eastAsia="es-ES"/>
              </w:rPr>
            </w:pPr>
            <w:r w:rsidRPr="00BB2CE7">
              <w:rPr>
                <w:rFonts w:cs="Calibri"/>
                <w:sz w:val="24"/>
                <w:lang w:val="es-CR" w:eastAsia="es-ES"/>
              </w:rPr>
              <w:t xml:space="preserve">El Órgano de Dirección es responsable de </w:t>
            </w:r>
            <w:r w:rsidRPr="00BB2CE7">
              <w:rPr>
                <w:rFonts w:eastAsia="Calibri" w:cs="Arial"/>
                <w:sz w:val="24"/>
                <w:lang w:val="es-CO"/>
              </w:rPr>
              <w:t>a</w:t>
            </w:r>
            <w:r w:rsidRPr="00BB2CE7">
              <w:rPr>
                <w:rFonts w:cs="Calibri"/>
                <w:sz w:val="24"/>
                <w:lang w:val="es-CO" w:eastAsia="es-ES"/>
              </w:rPr>
              <w:t>probar la implementación y supervisar el desempeño de las funciones de control.</w:t>
            </w:r>
          </w:p>
        </w:tc>
      </w:tr>
      <w:tr w:rsidRPr="00BB2CE7" w:rsidR="00DB670B" w:rsidTr="008A5BDD" w14:paraId="0AE2828C" w14:textId="77777777">
        <w:tc>
          <w:tcPr>
            <w:tcW w:w="5000" w:type="pct"/>
            <w:shd w:val="clear" w:color="auto" w:fill="9CC2E5" w:themeFill="accent1" w:themeFillTint="99"/>
          </w:tcPr>
          <w:p w:rsidRPr="00BB2CE7" w:rsidR="00DB670B" w:rsidP="008A5BDD" w:rsidRDefault="00DB670B" w14:paraId="7FD78A53" w14:textId="77777777">
            <w:pPr>
              <w:spacing w:line="240" w:lineRule="auto"/>
              <w:contextualSpacing/>
              <w:rPr>
                <w:sz w:val="24"/>
                <w:lang w:val="es-CR" w:eastAsia="es-ES"/>
              </w:rPr>
            </w:pPr>
            <w:r w:rsidRPr="00BB2CE7">
              <w:rPr>
                <w:rFonts w:cs="Calibri"/>
                <w:b/>
                <w:bCs/>
                <w:sz w:val="24"/>
                <w:lang w:val="es-CR" w:eastAsia="es-ES"/>
              </w:rPr>
              <w:t>Estructura de Gobierno Corporativo y Comités de apoyo</w:t>
            </w:r>
          </w:p>
        </w:tc>
      </w:tr>
      <w:tr w:rsidRPr="00BB2CE7" w:rsidR="00DB670B" w:rsidTr="008A5BDD" w14:paraId="3CA25E65" w14:textId="77777777">
        <w:tc>
          <w:tcPr>
            <w:tcW w:w="5000" w:type="pct"/>
            <w:shd w:val="clear" w:color="auto" w:fill="auto"/>
          </w:tcPr>
          <w:p w:rsidRPr="00BB2CE7" w:rsidR="00DB670B" w:rsidP="008A5BDD" w:rsidRDefault="00DB670B" w14:paraId="2EB6FA05" w14:textId="77777777">
            <w:pPr>
              <w:spacing w:line="240" w:lineRule="auto"/>
              <w:contextualSpacing/>
              <w:rPr>
                <w:sz w:val="24"/>
                <w:lang w:val="es-CR" w:eastAsia="es-ES"/>
              </w:rPr>
            </w:pPr>
            <w:r w:rsidRPr="00BB2CE7">
              <w:rPr>
                <w:rFonts w:cs="Calibri"/>
                <w:sz w:val="24"/>
                <w:lang w:val="es-CR" w:eastAsia="es-ES"/>
              </w:rPr>
              <w:t>La Estructura del Gobierno Corporativo está acorde con la naturaleza, complejidad, importancia sistémica y perfil de riesgo de la entidad.</w:t>
            </w:r>
          </w:p>
        </w:tc>
      </w:tr>
      <w:tr w:rsidRPr="00BB2CE7" w:rsidR="00DB670B" w:rsidTr="008A5BDD" w14:paraId="367EE522" w14:textId="77777777">
        <w:tc>
          <w:tcPr>
            <w:tcW w:w="5000" w:type="pct"/>
            <w:tcBorders>
              <w:bottom w:val="single" w:color="auto" w:sz="4" w:space="0"/>
            </w:tcBorders>
            <w:shd w:val="clear" w:color="auto" w:fill="auto"/>
          </w:tcPr>
          <w:p w:rsidRPr="00BB2CE7" w:rsidR="00DB670B" w:rsidP="008A5BDD" w:rsidRDefault="00DB670B" w14:paraId="3C0C1498" w14:textId="77777777">
            <w:pPr>
              <w:spacing w:line="240" w:lineRule="auto"/>
              <w:contextualSpacing/>
              <w:rPr>
                <w:bCs/>
                <w:sz w:val="24"/>
                <w:lang w:val="es-CR" w:eastAsia="es-ES"/>
              </w:rPr>
            </w:pPr>
            <w:r w:rsidRPr="00BB2CE7">
              <w:rPr>
                <w:rFonts w:eastAsia="Calibri" w:cs="Calibri"/>
                <w:bCs/>
                <w:sz w:val="24"/>
                <w:lang w:val="es-CR"/>
              </w:rPr>
              <w:t>El Órgano de Dirección cuenta con Comités que cumplen apropiadamente sus funciones, con una representación apropiada del Órgano de Dirección e idoneidad para las temáticas que abordan, con funciones y responsabilidades claramente establecidas.</w:t>
            </w:r>
          </w:p>
        </w:tc>
      </w:tr>
      <w:tr w:rsidRPr="00BB2CE7" w:rsidR="00DB670B" w:rsidTr="008A5BDD" w14:paraId="6E09E28A" w14:textId="77777777">
        <w:tc>
          <w:tcPr>
            <w:tcW w:w="5000" w:type="pct"/>
            <w:shd w:val="clear" w:color="auto" w:fill="9CC2E5" w:themeFill="accent1" w:themeFillTint="99"/>
          </w:tcPr>
          <w:p w:rsidRPr="00BB2CE7" w:rsidR="00DB670B" w:rsidP="008A5BDD" w:rsidRDefault="00DB670B" w14:paraId="3D2921FE" w14:textId="77777777">
            <w:pPr>
              <w:keepNext/>
              <w:spacing w:line="240" w:lineRule="auto"/>
              <w:contextualSpacing/>
              <w:rPr>
                <w:sz w:val="24"/>
                <w:lang w:val="es-CR" w:eastAsia="es-ES"/>
              </w:rPr>
            </w:pPr>
            <w:r w:rsidRPr="00BB2CE7">
              <w:rPr>
                <w:rFonts w:cs="Calibri"/>
                <w:b/>
                <w:bCs/>
                <w:sz w:val="24"/>
                <w:lang w:val="es-CR" w:eastAsia="es-ES"/>
              </w:rPr>
              <w:t>Políticas y procedimientos</w:t>
            </w:r>
          </w:p>
        </w:tc>
      </w:tr>
      <w:tr w:rsidRPr="00BB2CE7" w:rsidR="00DB670B" w:rsidTr="008A5BDD" w14:paraId="44173063" w14:textId="77777777">
        <w:tc>
          <w:tcPr>
            <w:tcW w:w="5000" w:type="pct"/>
            <w:shd w:val="clear" w:color="auto" w:fill="auto"/>
          </w:tcPr>
          <w:p w:rsidRPr="00BB2CE7" w:rsidR="00DB670B" w:rsidP="008A5BDD" w:rsidRDefault="00DB670B" w14:paraId="0C44BD19" w14:textId="77777777">
            <w:pPr>
              <w:keepNext/>
              <w:spacing w:line="240" w:lineRule="auto"/>
              <w:contextualSpacing/>
              <w:rPr>
                <w:sz w:val="24"/>
                <w:lang w:val="es-CR" w:eastAsia="es-ES"/>
              </w:rPr>
            </w:pPr>
            <w:r w:rsidRPr="00BB2CE7">
              <w:rPr>
                <w:rFonts w:cs="Calibri"/>
                <w:sz w:val="24"/>
                <w:lang w:val="es-CR" w:eastAsia="es-ES"/>
              </w:rPr>
              <w:t>El Órgano de Dirección y la Alta Gerencia han establecido políticas y procedimientos que promueven la toma de decisiones de forma independiente, efectiva y oportuna.</w:t>
            </w:r>
          </w:p>
        </w:tc>
      </w:tr>
      <w:tr w:rsidRPr="00BB2CE7" w:rsidR="00DB670B" w:rsidTr="008A5BDD" w14:paraId="7679C0C1" w14:textId="77777777">
        <w:tc>
          <w:tcPr>
            <w:tcW w:w="5000" w:type="pct"/>
            <w:shd w:val="clear" w:color="auto" w:fill="auto"/>
          </w:tcPr>
          <w:p w:rsidRPr="00BB2CE7" w:rsidR="00DB670B" w:rsidP="008A5BDD" w:rsidRDefault="00DB670B" w14:paraId="48A82AAB" w14:textId="77777777">
            <w:pPr>
              <w:spacing w:line="240" w:lineRule="auto"/>
              <w:contextualSpacing/>
              <w:rPr>
                <w:sz w:val="24"/>
                <w:lang w:val="es-CR" w:eastAsia="es-ES"/>
              </w:rPr>
            </w:pPr>
            <w:r w:rsidRPr="00BB2CE7">
              <w:rPr>
                <w:rFonts w:cs="Calibri"/>
                <w:sz w:val="24"/>
                <w:lang w:val="es-CR" w:eastAsia="es-ES"/>
              </w:rPr>
              <w:t>La entidad dispone de un suficiente e idóneo programa de remuneración para los directores que coadyuve a incentivar la toma de decisiones en línea con los objetivos y el apetito de riesgo de la entidad.</w:t>
            </w:r>
          </w:p>
        </w:tc>
      </w:tr>
      <w:tr w:rsidRPr="00BB2CE7" w:rsidR="00DB670B" w:rsidTr="008A5BDD" w14:paraId="5752382C" w14:textId="77777777">
        <w:tc>
          <w:tcPr>
            <w:tcW w:w="5000" w:type="pct"/>
            <w:shd w:val="clear" w:color="auto" w:fill="auto"/>
          </w:tcPr>
          <w:p w:rsidRPr="00BB2CE7" w:rsidR="00DB670B" w:rsidP="008A5BDD" w:rsidRDefault="00DB670B" w14:paraId="37E495C3" w14:textId="77777777">
            <w:pPr>
              <w:spacing w:line="240" w:lineRule="auto"/>
              <w:contextualSpacing/>
              <w:rPr>
                <w:sz w:val="24"/>
                <w:lang w:val="es-CR" w:eastAsia="es-ES"/>
              </w:rPr>
            </w:pPr>
            <w:r w:rsidRPr="00BB2CE7">
              <w:rPr>
                <w:rFonts w:cs="Calibri"/>
                <w:sz w:val="24"/>
                <w:lang w:val="es-CR" w:eastAsia="es-ES"/>
              </w:rPr>
              <w:t xml:space="preserve">La entidad cuenta con políticas y procedimientos suficientes e idóneas para la prevención de actividades ilícitas de legitimación de capitales, financiamiento al </w:t>
            </w:r>
            <w:r w:rsidRPr="00BB2CE7">
              <w:rPr>
                <w:rFonts w:cs="Calibri"/>
                <w:sz w:val="24"/>
                <w:lang w:val="es-CR" w:eastAsia="es-ES"/>
              </w:rPr>
              <w:lastRenderedPageBreak/>
              <w:t>terrorismo y financiamiento a la proliferación de armas de destrucción masiva (LC/FT/FPAMD).</w:t>
            </w:r>
          </w:p>
        </w:tc>
      </w:tr>
      <w:tr w:rsidRPr="00BB2CE7" w:rsidR="00DB670B" w:rsidTr="008A5BDD" w14:paraId="62D967EE" w14:textId="77777777">
        <w:tc>
          <w:tcPr>
            <w:tcW w:w="5000" w:type="pct"/>
            <w:shd w:val="clear" w:color="auto" w:fill="auto"/>
          </w:tcPr>
          <w:p w:rsidRPr="00BB2CE7" w:rsidR="00DB670B" w:rsidP="008A5BDD" w:rsidRDefault="00DB670B" w14:paraId="0841E420" w14:textId="77777777">
            <w:pPr>
              <w:spacing w:line="240" w:lineRule="auto"/>
              <w:contextualSpacing/>
              <w:rPr>
                <w:sz w:val="24"/>
                <w:lang w:val="es-CR" w:eastAsia="es-ES"/>
              </w:rPr>
            </w:pPr>
            <w:r w:rsidRPr="00BB2CE7">
              <w:rPr>
                <w:rFonts w:cs="Calibri"/>
                <w:sz w:val="24"/>
                <w:lang w:val="es-CR" w:eastAsia="es-ES"/>
              </w:rPr>
              <w:lastRenderedPageBreak/>
              <w:t>La Alta Gerencia cuenta con un sistema apropiado para implementar las políticas y procedimientos de riesgo aprobadas por el Órgano de Dirección para la gestión de riesgo</w:t>
            </w:r>
            <w:r w:rsidRPr="00BB2CE7">
              <w:rPr>
                <w:rFonts w:cs="Calibri"/>
                <w:color w:val="4472C4"/>
                <w:sz w:val="24"/>
                <w:lang w:val="es-CR" w:eastAsia="es-ES"/>
              </w:rPr>
              <w:t>s</w:t>
            </w:r>
            <w:r w:rsidRPr="00BB2CE7">
              <w:rPr>
                <w:rFonts w:cs="Calibri"/>
                <w:sz w:val="24"/>
                <w:lang w:val="es-CR" w:eastAsia="es-ES"/>
              </w:rPr>
              <w:t xml:space="preserve"> y el desarrollo de procedimientos para su identificación, medición, monitoreo y control.</w:t>
            </w:r>
          </w:p>
        </w:tc>
      </w:tr>
      <w:tr w:rsidRPr="00BB2CE7" w:rsidR="00DB670B" w:rsidTr="008A5BDD" w14:paraId="27ADFBE5" w14:textId="77777777">
        <w:tc>
          <w:tcPr>
            <w:tcW w:w="5000" w:type="pct"/>
            <w:tcBorders>
              <w:bottom w:val="single" w:color="auto" w:sz="4" w:space="0"/>
            </w:tcBorders>
            <w:shd w:val="clear" w:color="auto" w:fill="auto"/>
          </w:tcPr>
          <w:p w:rsidRPr="00BB2CE7" w:rsidR="00DB670B" w:rsidP="008A5BDD" w:rsidRDefault="00DB670B" w14:paraId="4974FA2A" w14:textId="77777777">
            <w:pPr>
              <w:spacing w:line="240" w:lineRule="auto"/>
              <w:contextualSpacing/>
              <w:rPr>
                <w:sz w:val="24"/>
                <w:lang w:val="es-CR" w:eastAsia="es-ES"/>
              </w:rPr>
            </w:pPr>
            <w:r w:rsidRPr="00BB2CE7">
              <w:rPr>
                <w:rFonts w:cs="Calibri"/>
                <w:sz w:val="24"/>
                <w:lang w:val="es-CO" w:eastAsia="es-ES"/>
              </w:rPr>
              <w:t>La Auditoría Interna de la entidad es responsable de supervisar</w:t>
            </w:r>
            <w:r w:rsidRPr="00BB2CE7">
              <w:rPr>
                <w:rFonts w:cs="Calibri"/>
                <w:strike/>
                <w:sz w:val="24"/>
                <w:lang w:val="es-CO" w:eastAsia="es-ES"/>
              </w:rPr>
              <w:t>,</w:t>
            </w:r>
            <w:r w:rsidRPr="00BB2CE7">
              <w:rPr>
                <w:rFonts w:cs="Calibri"/>
                <w:sz w:val="24"/>
                <w:lang w:val="es-CO" w:eastAsia="es-ES"/>
              </w:rPr>
              <w:t xml:space="preserve"> en forma independiente, </w:t>
            </w:r>
            <w:r w:rsidRPr="00BB2CE7">
              <w:rPr>
                <w:rFonts w:cs="Calibri"/>
                <w:strike/>
                <w:sz w:val="24"/>
                <w:lang w:val="es-CO" w:eastAsia="es-ES"/>
              </w:rPr>
              <w:t>a</w:t>
            </w:r>
            <w:r w:rsidRPr="00BB2CE7">
              <w:rPr>
                <w:rFonts w:cs="Calibri"/>
                <w:sz w:val="24"/>
                <w:lang w:val="es-CO" w:eastAsia="es-ES"/>
              </w:rPr>
              <w:t xml:space="preserve"> la efectividad de las políticas y procedimientos de la entidad.</w:t>
            </w:r>
          </w:p>
        </w:tc>
      </w:tr>
      <w:tr w:rsidRPr="00BB2CE7" w:rsidR="00DB670B" w:rsidTr="008A5BDD" w14:paraId="571A7D81" w14:textId="77777777">
        <w:tc>
          <w:tcPr>
            <w:tcW w:w="5000" w:type="pct"/>
            <w:shd w:val="clear" w:color="auto" w:fill="9CC2E5" w:themeFill="accent1" w:themeFillTint="99"/>
          </w:tcPr>
          <w:p w:rsidRPr="00BB2CE7" w:rsidR="00DB670B" w:rsidP="008A5BDD" w:rsidRDefault="00DB670B" w14:paraId="58A5437A" w14:textId="77777777">
            <w:pPr>
              <w:spacing w:line="240" w:lineRule="auto"/>
              <w:contextualSpacing/>
              <w:rPr>
                <w:sz w:val="24"/>
                <w:lang w:val="es-CR" w:eastAsia="es-ES"/>
              </w:rPr>
            </w:pPr>
            <w:r w:rsidRPr="00BB2CE7">
              <w:rPr>
                <w:rFonts w:cs="Calibri"/>
                <w:b/>
                <w:bCs/>
                <w:sz w:val="24"/>
                <w:lang w:val="es-CR" w:eastAsia="es-ES"/>
              </w:rPr>
              <w:t>Sistema de información gerencial</w:t>
            </w:r>
          </w:p>
        </w:tc>
      </w:tr>
      <w:tr w:rsidRPr="00BB2CE7" w:rsidR="00DB670B" w:rsidTr="008A5BDD" w14:paraId="739BF0B9" w14:textId="77777777">
        <w:tc>
          <w:tcPr>
            <w:tcW w:w="5000" w:type="pct"/>
            <w:shd w:val="clear" w:color="auto" w:fill="auto"/>
          </w:tcPr>
          <w:p w:rsidRPr="00BB2CE7" w:rsidR="00DB670B" w:rsidP="008A5BDD" w:rsidRDefault="00DB670B" w14:paraId="2E4DA411" w14:textId="77777777">
            <w:pPr>
              <w:spacing w:line="240" w:lineRule="auto"/>
              <w:contextualSpacing/>
              <w:rPr>
                <w:sz w:val="24"/>
                <w:lang w:val="es-CR" w:eastAsia="es-ES"/>
              </w:rPr>
            </w:pPr>
            <w:r w:rsidRPr="00BB2CE7">
              <w:rPr>
                <w:rFonts w:cs="Calibri"/>
                <w:sz w:val="24"/>
                <w:lang w:val="es-CR" w:eastAsia="es-ES"/>
              </w:rPr>
              <w:t>La entidad tiene un sistema de información gerencial, el cual cumple con todos los aspectos de oportunidad, precisión, consistencia, integridad y relevancia.</w:t>
            </w:r>
          </w:p>
        </w:tc>
      </w:tr>
      <w:tr w:rsidRPr="00BB2CE7" w:rsidR="00DB670B" w:rsidTr="008A5BDD" w14:paraId="75C183B8" w14:textId="77777777">
        <w:tc>
          <w:tcPr>
            <w:tcW w:w="5000" w:type="pct"/>
            <w:tcBorders>
              <w:bottom w:val="single" w:color="auto" w:sz="4" w:space="0"/>
            </w:tcBorders>
            <w:shd w:val="clear" w:color="auto" w:fill="auto"/>
          </w:tcPr>
          <w:p w:rsidRPr="00BB2CE7" w:rsidR="00DB670B" w:rsidP="008A5BDD" w:rsidRDefault="00DB670B" w14:paraId="406ECD29" w14:textId="77777777">
            <w:pPr>
              <w:spacing w:line="240" w:lineRule="auto"/>
              <w:contextualSpacing/>
              <w:rPr>
                <w:rFonts w:cs="Calibri"/>
                <w:bCs/>
                <w:color w:val="000000"/>
                <w:sz w:val="24"/>
                <w:lang w:val="es-CR" w:eastAsia="es-CR"/>
              </w:rPr>
            </w:pPr>
            <w:r w:rsidRPr="00BB2CE7">
              <w:rPr>
                <w:rFonts w:cs="Calibri"/>
                <w:sz w:val="24"/>
                <w:lang w:val="es-CR" w:eastAsia="es-ES"/>
              </w:rPr>
              <w:t>La entidad dispone de prácticas de divulgación de información financiera, según el tamaño, complejidad, nivel de riesgo y naturaleza de sus operaciones.</w:t>
            </w:r>
          </w:p>
        </w:tc>
      </w:tr>
      <w:tr w:rsidRPr="00BB2CE7" w:rsidR="00DB670B" w:rsidTr="008A5BDD" w14:paraId="0D678A24" w14:textId="77777777">
        <w:tc>
          <w:tcPr>
            <w:tcW w:w="5000" w:type="pct"/>
            <w:shd w:val="clear" w:color="auto" w:fill="9CC2E5" w:themeFill="accent1" w:themeFillTint="99"/>
          </w:tcPr>
          <w:p w:rsidRPr="00BB2CE7" w:rsidR="00DB670B" w:rsidP="008A5BDD" w:rsidRDefault="00DB670B" w14:paraId="1BE72447" w14:textId="77777777">
            <w:pPr>
              <w:spacing w:line="240" w:lineRule="auto"/>
              <w:contextualSpacing/>
              <w:rPr>
                <w:sz w:val="24"/>
                <w:lang w:val="es-CR" w:eastAsia="es-ES"/>
              </w:rPr>
            </w:pPr>
            <w:r w:rsidRPr="00BB2CE7">
              <w:rPr>
                <w:rFonts w:cs="Calibri"/>
                <w:b/>
                <w:bCs/>
                <w:sz w:val="24"/>
                <w:lang w:val="es-CR" w:eastAsia="es-ES"/>
              </w:rPr>
              <w:t>Evaluación del desempeño</w:t>
            </w:r>
          </w:p>
        </w:tc>
      </w:tr>
      <w:tr w:rsidRPr="00BB2CE7" w:rsidR="00DB670B" w:rsidTr="008A5BDD" w14:paraId="11072202" w14:textId="77777777">
        <w:tc>
          <w:tcPr>
            <w:tcW w:w="5000" w:type="pct"/>
            <w:shd w:val="clear" w:color="auto" w:fill="auto"/>
          </w:tcPr>
          <w:p w:rsidRPr="00BB2CE7" w:rsidR="00DB670B" w:rsidP="008A5BDD" w:rsidRDefault="00DB670B" w14:paraId="582B5274" w14:textId="77777777">
            <w:pPr>
              <w:spacing w:line="240" w:lineRule="auto"/>
              <w:contextualSpacing/>
              <w:rPr>
                <w:sz w:val="24"/>
                <w:lang w:val="es-CR" w:eastAsia="es-ES"/>
              </w:rPr>
            </w:pPr>
            <w:r w:rsidRPr="00BB2CE7">
              <w:rPr>
                <w:rFonts w:cs="Calibri"/>
                <w:sz w:val="24"/>
                <w:lang w:val="es-CR" w:eastAsia="es-ES"/>
              </w:rPr>
              <w:t>La entidad cuenta con políticas y procedimientos para evaluar la efectividad del desempeño del Órgano de Dirección como órgano colegiado, sus comités y sus directores individualmente considerados; en el ejercicio de sus funciones y responsabilidades.</w:t>
            </w:r>
          </w:p>
        </w:tc>
      </w:tr>
    </w:tbl>
    <w:p w:rsidRPr="00BB2CE7" w:rsidR="00DB670B" w:rsidP="00DB670B" w:rsidRDefault="00DB670B" w14:paraId="59B04F7C" w14:textId="77777777">
      <w:pPr>
        <w:spacing w:line="240" w:lineRule="auto"/>
        <w:ind w:left="360"/>
        <w:contextualSpacing/>
        <w:rPr>
          <w:rFonts w:eastAsia="Calibri" w:cs="Calibri"/>
          <w:sz w:val="24"/>
          <w:lang w:val="es-CO"/>
        </w:rPr>
      </w:pPr>
    </w:p>
    <w:p w:rsidRPr="00BB2CE7" w:rsidR="00DB670B" w:rsidP="00DB670B" w:rsidRDefault="00DB670B" w14:paraId="5BE6410E" w14:textId="77777777">
      <w:pPr>
        <w:keepNext/>
        <w:keepLines/>
        <w:numPr>
          <w:ilvl w:val="0"/>
          <w:numId w:val="13"/>
        </w:numPr>
        <w:spacing w:after="240" w:line="240" w:lineRule="auto"/>
        <w:contextualSpacing/>
        <w:outlineLvl w:val="1"/>
        <w:rPr>
          <w:b/>
          <w:bCs/>
          <w:sz w:val="24"/>
          <w:lang w:val="es-CR" w:eastAsia="es-CR"/>
        </w:rPr>
      </w:pPr>
      <w:bookmarkStart w:name="_Toc99545461" w:id="7"/>
      <w:bookmarkStart w:name="_Toc103279728" w:id="8"/>
      <w:r w:rsidRPr="00BB2CE7">
        <w:rPr>
          <w:b/>
          <w:bCs/>
          <w:sz w:val="24"/>
          <w:lang w:val="es-CR" w:eastAsia="es-CR"/>
        </w:rPr>
        <w:t>El desempeño del gobierno corporativo</w:t>
      </w:r>
      <w:bookmarkEnd w:id="7"/>
      <w:bookmarkEnd w:id="8"/>
    </w:p>
    <w:p w:rsidR="00DB670B" w:rsidP="00DB670B" w:rsidRDefault="00DB670B" w14:paraId="2B5A9D57" w14:textId="77777777">
      <w:pPr>
        <w:spacing w:after="120" w:line="240" w:lineRule="auto"/>
        <w:contextualSpacing/>
        <w:rPr>
          <w:sz w:val="24"/>
          <w:lang w:val="es-CR" w:eastAsia="es-ES"/>
        </w:rPr>
      </w:pPr>
      <w:r w:rsidRPr="00BB2CE7">
        <w:rPr>
          <w:sz w:val="24"/>
          <w:lang w:val="es-CR" w:eastAsia="es-ES"/>
        </w:rPr>
        <w:t>La evaluación de la efectividad del gobierno corporativo considera no solo la opinión que el supervisor se forme a partir de los elementos y criterios de evaluación antes señalados; sino que su análisis considera, además</w:t>
      </w:r>
      <w:r w:rsidRPr="00BB2CE7">
        <w:rPr>
          <w:color w:val="4472C4"/>
          <w:sz w:val="24"/>
          <w:lang w:val="es-CR" w:eastAsia="es-ES"/>
        </w:rPr>
        <w:t>,</w:t>
      </w:r>
      <w:r w:rsidRPr="00BB2CE7">
        <w:rPr>
          <w:sz w:val="24"/>
          <w:lang w:val="es-CR" w:eastAsia="es-ES"/>
        </w:rPr>
        <w:t xml:space="preserve"> la calidad del desempeño del gobierno corporativo se demuestra al proporcionar su propio criterio técnico mediante los análisis e informes de los resultados operacionales y financieros que apoyan la toma de decisiones de la Alta Gerencia y el Órgano de Dirección.</w:t>
      </w:r>
    </w:p>
    <w:p w:rsidRPr="00BB2CE7" w:rsidR="00DB670B" w:rsidP="00DB670B" w:rsidRDefault="00DB670B" w14:paraId="4E52D19F" w14:textId="77777777">
      <w:pPr>
        <w:spacing w:after="120" w:line="240" w:lineRule="auto"/>
        <w:contextualSpacing/>
        <w:rPr>
          <w:b/>
          <w:bCs/>
          <w:sz w:val="24"/>
          <w:lang w:val="es-CR" w:eastAsia="es-ES"/>
        </w:rPr>
      </w:pPr>
    </w:p>
    <w:p w:rsidRPr="00BB2CE7" w:rsidR="00DB670B" w:rsidP="00DB670B" w:rsidRDefault="00DB670B" w14:paraId="5A409162" w14:textId="77777777">
      <w:pPr>
        <w:spacing w:after="120" w:line="240" w:lineRule="auto"/>
        <w:contextualSpacing/>
        <w:rPr>
          <w:sz w:val="24"/>
          <w:lang w:val="es-CR" w:eastAsia="es-ES"/>
        </w:rPr>
      </w:pPr>
      <w:r w:rsidRPr="00BB2CE7">
        <w:rPr>
          <w:sz w:val="24"/>
          <w:lang w:val="es-CR" w:eastAsia="es-ES"/>
        </w:rPr>
        <w:t>También, el supervisor considera elementos de carácter cualitativo, asociados al desempeño, para guiar su juicio en la realización de las actividades de supervisión.  Estas actividades pueden incluir: discusiones y reuniones con los miembros del Órgano de Dirección y la Alta Gerencia; con los auditores externos; y revisión de la información suministrada a la Alta Gerencia y al Órgano de Dirección, entre otras.</w:t>
      </w:r>
    </w:p>
    <w:p w:rsidRPr="00BB2CE7" w:rsidR="00DB670B" w:rsidP="00DB670B" w:rsidRDefault="00DB670B" w14:paraId="7A164785" w14:textId="77777777">
      <w:pPr>
        <w:spacing w:line="240" w:lineRule="auto"/>
        <w:ind w:left="360"/>
        <w:contextualSpacing/>
        <w:rPr>
          <w:rFonts w:eastAsia="Calibri" w:cs="Calibri"/>
          <w:sz w:val="24"/>
          <w:lang w:val="es-CO"/>
        </w:rPr>
      </w:pPr>
    </w:p>
    <w:p w:rsidRPr="00BB2CE7" w:rsidR="00DB670B" w:rsidP="00DB670B" w:rsidRDefault="00DB670B" w14:paraId="43C2C13D" w14:textId="77777777">
      <w:pPr>
        <w:keepNext/>
        <w:keepLines/>
        <w:numPr>
          <w:ilvl w:val="0"/>
          <w:numId w:val="14"/>
        </w:numPr>
        <w:spacing w:after="240" w:line="240" w:lineRule="auto"/>
        <w:ind w:right="4"/>
        <w:contextualSpacing/>
        <w:outlineLvl w:val="0"/>
        <w:rPr>
          <w:b/>
          <w:sz w:val="24"/>
          <w:u w:val="single"/>
          <w:lang w:val="es-CR" w:eastAsia="es-CR"/>
        </w:rPr>
      </w:pPr>
      <w:bookmarkStart w:name="_Toc99545462" w:id="9"/>
      <w:bookmarkStart w:name="_Toc103279729" w:id="10"/>
      <w:r w:rsidRPr="00BB2CE7">
        <w:rPr>
          <w:b/>
          <w:sz w:val="24"/>
          <w:lang w:val="es-CR" w:eastAsia="es-CR"/>
        </w:rPr>
        <w:t>Calidad de la Gestión de Riesgos</w:t>
      </w:r>
      <w:bookmarkEnd w:id="9"/>
      <w:bookmarkEnd w:id="10"/>
    </w:p>
    <w:p w:rsidRPr="00BB2CE7" w:rsidR="00DB670B" w:rsidP="00DB670B" w:rsidRDefault="00DB670B" w14:paraId="217C07D2" w14:textId="77777777">
      <w:pPr>
        <w:keepNext/>
        <w:keepLines/>
        <w:spacing w:after="240" w:line="240" w:lineRule="auto"/>
        <w:ind w:left="726" w:right="4"/>
        <w:contextualSpacing/>
        <w:outlineLvl w:val="0"/>
        <w:rPr>
          <w:b/>
          <w:sz w:val="24"/>
          <w:u w:val="single"/>
          <w:lang w:val="es-CR" w:eastAsia="es-CR"/>
        </w:rPr>
      </w:pPr>
    </w:p>
    <w:p w:rsidR="00DB670B" w:rsidP="00DB670B" w:rsidRDefault="00DB670B" w14:paraId="2E44C1C8" w14:textId="77777777">
      <w:pPr>
        <w:spacing w:after="120" w:line="240" w:lineRule="auto"/>
        <w:ind w:left="-17"/>
        <w:contextualSpacing/>
        <w:rPr>
          <w:sz w:val="24"/>
          <w:lang w:val="es-CR" w:eastAsia="es-ES"/>
        </w:rPr>
      </w:pPr>
      <w:r w:rsidRPr="00BB2CE7">
        <w:rPr>
          <w:b/>
          <w:sz w:val="24"/>
          <w:lang w:val="es-CR" w:eastAsia="es-ES"/>
        </w:rPr>
        <w:t>Objetivo</w:t>
      </w:r>
      <w:r w:rsidRPr="00BB2CE7">
        <w:rPr>
          <w:sz w:val="24"/>
          <w:lang w:val="es-CR" w:eastAsia="es-ES"/>
        </w:rPr>
        <w:t xml:space="preserve">: Exponer la expectativa de SUGEF sobre la valoración de la calidad de la gestión de riesgos de una entidad. </w:t>
      </w:r>
    </w:p>
    <w:p w:rsidRPr="00BB2CE7" w:rsidR="00DB670B" w:rsidP="00DB670B" w:rsidRDefault="00DB670B" w14:paraId="1ECADBDE" w14:textId="77777777">
      <w:pPr>
        <w:spacing w:after="120" w:line="240" w:lineRule="auto"/>
        <w:ind w:left="-17"/>
        <w:contextualSpacing/>
        <w:rPr>
          <w:sz w:val="24"/>
          <w:u w:val="single"/>
          <w:lang w:val="es-CR" w:eastAsia="es-ES"/>
        </w:rPr>
      </w:pPr>
    </w:p>
    <w:p w:rsidRPr="00BB2CE7" w:rsidR="00DB670B" w:rsidP="00DB670B" w:rsidRDefault="00DB670B" w14:paraId="67618EB1" w14:textId="77777777">
      <w:pPr>
        <w:keepNext/>
        <w:keepLines/>
        <w:numPr>
          <w:ilvl w:val="0"/>
          <w:numId w:val="15"/>
        </w:numPr>
        <w:spacing w:after="240" w:line="240" w:lineRule="auto"/>
        <w:contextualSpacing/>
        <w:outlineLvl w:val="1"/>
        <w:rPr>
          <w:b/>
          <w:sz w:val="24"/>
          <w:lang w:val="es-CR" w:eastAsia="es-CR"/>
        </w:rPr>
      </w:pPr>
      <w:bookmarkStart w:name="_Toc99545463" w:id="11"/>
      <w:bookmarkStart w:name="_Toc103279730" w:id="12"/>
      <w:r w:rsidRPr="00BB2CE7">
        <w:rPr>
          <w:b/>
          <w:bCs/>
          <w:sz w:val="24"/>
          <w:lang w:val="es-CR" w:eastAsia="es-CR"/>
        </w:rPr>
        <w:t>Consideraciones Generales.</w:t>
      </w:r>
      <w:bookmarkEnd w:id="11"/>
      <w:bookmarkEnd w:id="12"/>
    </w:p>
    <w:p w:rsidR="00DB670B" w:rsidP="00DB670B" w:rsidRDefault="00DB670B" w14:paraId="24ABFB3D" w14:textId="77777777">
      <w:pPr>
        <w:spacing w:after="120" w:line="240" w:lineRule="auto"/>
        <w:ind w:left="-15"/>
        <w:contextualSpacing/>
        <w:rPr>
          <w:sz w:val="24"/>
          <w:lang w:val="es-CR" w:eastAsia="es-ES"/>
        </w:rPr>
      </w:pPr>
      <w:r w:rsidRPr="00BB2CE7">
        <w:rPr>
          <w:sz w:val="24"/>
          <w:lang w:val="es-CR" w:eastAsia="es-ES"/>
        </w:rPr>
        <w:t xml:space="preserve">La evaluación de la calidad de la gestión de riesgos de una entidad es un aspecto fundamental para una adecuada supervisión. La entidad debe contar con una función independiente y eficaz para la gestión del riesgo, con suficiente autoridad, independencia, recursos y acceso al Órgano de Dirección. El supervisor deberá satisfacerse de que la entidad estableció un proceso integral de administración del </w:t>
      </w:r>
      <w:r w:rsidRPr="00BB2CE7">
        <w:rPr>
          <w:sz w:val="24"/>
          <w:lang w:val="es-CR" w:eastAsia="es-ES"/>
        </w:rPr>
        <w:lastRenderedPageBreak/>
        <w:t xml:space="preserve">riesgo, el cual incluye una supervisión apropiada del Órgano de Dirección y de la Alta Gerencia, para identificar, medir, mitigar, controlar y monitorear las exposiciones de riesgo que están asumiendo. </w:t>
      </w:r>
    </w:p>
    <w:p w:rsidRPr="00BB2CE7" w:rsidR="00DB670B" w:rsidP="00DB670B" w:rsidRDefault="00DB670B" w14:paraId="74D20BF4" w14:textId="77777777">
      <w:pPr>
        <w:spacing w:after="120" w:line="240" w:lineRule="auto"/>
        <w:ind w:left="-15"/>
        <w:contextualSpacing/>
        <w:rPr>
          <w:sz w:val="24"/>
          <w:lang w:val="es-CR" w:eastAsia="es-ES"/>
        </w:rPr>
      </w:pPr>
    </w:p>
    <w:p w:rsidR="00DB670B" w:rsidP="00DB670B" w:rsidRDefault="00DB670B" w14:paraId="392183B5" w14:textId="77777777">
      <w:pPr>
        <w:spacing w:after="120" w:line="240" w:lineRule="auto"/>
        <w:contextualSpacing/>
        <w:rPr>
          <w:sz w:val="24"/>
          <w:lang w:val="es-CR" w:eastAsia="es-ES"/>
        </w:rPr>
      </w:pPr>
      <w:r w:rsidRPr="00BB2CE7">
        <w:rPr>
          <w:sz w:val="24"/>
          <w:lang w:val="es-CR" w:eastAsia="es-ES"/>
        </w:rPr>
        <w:t>La SUGEF fundamenta su valoración de la calidad de la gestión de riesgos en lo dispuesto en la respectiva reglamentación vigente, así como en los principios sobre sanas prácticas emitidos por el Comité de Supervisión Bancaria de Basilea (Comité de Basilea), la Organización para la Cooperación Económica y el Desarrollo (OCDE), y otros estándares y principios que sean aplicables, emitidos por autoridades nacionales y organismos internacionales.</w:t>
      </w:r>
    </w:p>
    <w:p w:rsidRPr="00BB2CE7" w:rsidR="00DB670B" w:rsidP="00DB670B" w:rsidRDefault="00DB670B" w14:paraId="55C6782A" w14:textId="77777777">
      <w:pPr>
        <w:spacing w:after="120" w:line="240" w:lineRule="auto"/>
        <w:contextualSpacing/>
        <w:rPr>
          <w:rFonts w:eastAsia="Calibri"/>
          <w:bCs/>
          <w:sz w:val="24"/>
          <w:lang w:val="es-CR"/>
        </w:rPr>
      </w:pPr>
    </w:p>
    <w:p w:rsidR="00DB670B" w:rsidP="00DB670B" w:rsidRDefault="00DB670B" w14:paraId="39FCD30D" w14:textId="77777777">
      <w:pPr>
        <w:spacing w:after="120" w:line="240" w:lineRule="auto"/>
        <w:contextualSpacing/>
        <w:rPr>
          <w:sz w:val="24"/>
          <w:lang w:val="es-CR" w:eastAsia="es-ES"/>
        </w:rPr>
      </w:pPr>
      <w:r w:rsidRPr="00BB2CE7">
        <w:rPr>
          <w:sz w:val="24"/>
          <w:lang w:val="es-CR" w:eastAsia="es-ES"/>
        </w:rPr>
        <w:t xml:space="preserve">Dentro de los principales riesgos a valorar sobre la calidad de su gestión, se encuentran los siguientes: </w:t>
      </w:r>
    </w:p>
    <w:p w:rsidRPr="00BB2CE7" w:rsidR="00DB670B" w:rsidP="00DB670B" w:rsidRDefault="00DB670B" w14:paraId="333973DD" w14:textId="77777777">
      <w:pPr>
        <w:spacing w:after="120" w:line="240" w:lineRule="auto"/>
        <w:contextualSpacing/>
        <w:rPr>
          <w:sz w:val="24"/>
          <w:lang w:val="es-CR" w:eastAsia="es-ES"/>
        </w:rPr>
      </w:pPr>
    </w:p>
    <w:p w:rsidRPr="00BB2CE7" w:rsidR="00DB670B" w:rsidP="00DB670B" w:rsidRDefault="00DB670B" w14:paraId="3E1EAC78" w14:textId="77777777">
      <w:pPr>
        <w:numPr>
          <w:ilvl w:val="0"/>
          <w:numId w:val="16"/>
        </w:numPr>
        <w:spacing w:after="120" w:line="240" w:lineRule="auto"/>
        <w:ind w:left="426"/>
        <w:contextualSpacing/>
        <w:rPr>
          <w:sz w:val="24"/>
          <w:lang w:eastAsia="es-ES"/>
        </w:rPr>
      </w:pPr>
      <w:r w:rsidRPr="00BB2CE7">
        <w:rPr>
          <w:sz w:val="24"/>
          <w:lang w:eastAsia="es-ES"/>
        </w:rPr>
        <w:t xml:space="preserve">Riesgo de crédito </w:t>
      </w:r>
    </w:p>
    <w:p w:rsidRPr="00BB2CE7" w:rsidR="00DB670B" w:rsidP="00DB670B" w:rsidRDefault="00DB670B" w14:paraId="39CB4080" w14:textId="77777777">
      <w:pPr>
        <w:numPr>
          <w:ilvl w:val="0"/>
          <w:numId w:val="16"/>
        </w:numPr>
        <w:spacing w:after="120" w:line="240" w:lineRule="auto"/>
        <w:ind w:left="426"/>
        <w:contextualSpacing/>
        <w:rPr>
          <w:sz w:val="24"/>
          <w:lang w:eastAsia="es-ES"/>
        </w:rPr>
      </w:pPr>
      <w:r w:rsidRPr="00BB2CE7">
        <w:rPr>
          <w:sz w:val="24"/>
          <w:lang w:eastAsia="es-ES"/>
        </w:rPr>
        <w:t xml:space="preserve">Riesgo de liquidez </w:t>
      </w:r>
    </w:p>
    <w:p w:rsidRPr="00BB2CE7" w:rsidR="00DB670B" w:rsidP="00DB670B" w:rsidRDefault="00DB670B" w14:paraId="45763E39" w14:textId="77777777">
      <w:pPr>
        <w:numPr>
          <w:ilvl w:val="0"/>
          <w:numId w:val="16"/>
        </w:numPr>
        <w:spacing w:after="120" w:line="240" w:lineRule="auto"/>
        <w:ind w:left="426"/>
        <w:contextualSpacing/>
        <w:rPr>
          <w:sz w:val="24"/>
          <w:lang w:eastAsia="es-ES"/>
        </w:rPr>
      </w:pPr>
      <w:r w:rsidRPr="00BB2CE7">
        <w:rPr>
          <w:sz w:val="24"/>
          <w:lang w:eastAsia="es-ES"/>
        </w:rPr>
        <w:t>Riesgo de tasas de interés</w:t>
      </w:r>
    </w:p>
    <w:p w:rsidRPr="00BB2CE7" w:rsidR="00DB670B" w:rsidP="00DB670B" w:rsidRDefault="00DB670B" w14:paraId="643DF4BC" w14:textId="77777777">
      <w:pPr>
        <w:numPr>
          <w:ilvl w:val="0"/>
          <w:numId w:val="16"/>
        </w:numPr>
        <w:spacing w:after="120" w:line="240" w:lineRule="auto"/>
        <w:ind w:left="426"/>
        <w:contextualSpacing/>
        <w:rPr>
          <w:sz w:val="24"/>
          <w:lang w:eastAsia="es-ES"/>
        </w:rPr>
      </w:pPr>
      <w:r w:rsidRPr="00BB2CE7">
        <w:rPr>
          <w:sz w:val="24"/>
          <w:lang w:eastAsia="es-ES"/>
        </w:rPr>
        <w:t xml:space="preserve">Riesgo de mercado (precio) </w:t>
      </w:r>
    </w:p>
    <w:p w:rsidRPr="00BB2CE7" w:rsidR="00DB670B" w:rsidP="00DB670B" w:rsidRDefault="00DB670B" w14:paraId="37E2BCF2" w14:textId="77777777">
      <w:pPr>
        <w:numPr>
          <w:ilvl w:val="0"/>
          <w:numId w:val="16"/>
        </w:numPr>
        <w:spacing w:after="120" w:line="240" w:lineRule="auto"/>
        <w:ind w:left="426"/>
        <w:contextualSpacing/>
        <w:rPr>
          <w:sz w:val="24"/>
          <w:lang w:eastAsia="es-ES"/>
        </w:rPr>
      </w:pPr>
      <w:r w:rsidRPr="00BB2CE7">
        <w:rPr>
          <w:sz w:val="24"/>
          <w:lang w:eastAsia="es-ES"/>
        </w:rPr>
        <w:t xml:space="preserve">Riesgo tipo de cambio </w:t>
      </w:r>
    </w:p>
    <w:p w:rsidRPr="00BB2CE7" w:rsidR="00DB670B" w:rsidP="00DB670B" w:rsidRDefault="00DB670B" w14:paraId="107751EE" w14:textId="77777777">
      <w:pPr>
        <w:numPr>
          <w:ilvl w:val="0"/>
          <w:numId w:val="16"/>
        </w:numPr>
        <w:spacing w:after="120" w:line="240" w:lineRule="auto"/>
        <w:ind w:left="426"/>
        <w:contextualSpacing/>
        <w:rPr>
          <w:sz w:val="24"/>
          <w:lang w:eastAsia="es-ES"/>
        </w:rPr>
      </w:pPr>
      <w:r w:rsidRPr="00BB2CE7">
        <w:rPr>
          <w:sz w:val="24"/>
          <w:lang w:eastAsia="es-ES"/>
        </w:rPr>
        <w:t>Riesgo operacional</w:t>
      </w:r>
    </w:p>
    <w:p w:rsidRPr="00BB2CE7" w:rsidR="00DB670B" w:rsidP="00DB670B" w:rsidRDefault="00DB670B" w14:paraId="4C8ECBE9" w14:textId="77777777">
      <w:pPr>
        <w:numPr>
          <w:ilvl w:val="0"/>
          <w:numId w:val="16"/>
        </w:numPr>
        <w:spacing w:after="120" w:line="240" w:lineRule="auto"/>
        <w:ind w:left="426"/>
        <w:contextualSpacing/>
        <w:rPr>
          <w:sz w:val="24"/>
          <w:lang w:eastAsia="es-ES"/>
        </w:rPr>
      </w:pPr>
      <w:r w:rsidRPr="00BB2CE7">
        <w:rPr>
          <w:sz w:val="24"/>
          <w:lang w:eastAsia="es-ES"/>
        </w:rPr>
        <w:t>Riesgo estratégico</w:t>
      </w:r>
    </w:p>
    <w:p w:rsidRPr="00BB2CE7" w:rsidR="00DB670B" w:rsidP="00DB670B" w:rsidRDefault="00DB670B" w14:paraId="1D31892E" w14:textId="77777777">
      <w:pPr>
        <w:numPr>
          <w:ilvl w:val="0"/>
          <w:numId w:val="16"/>
        </w:numPr>
        <w:spacing w:after="120" w:line="240" w:lineRule="auto"/>
        <w:ind w:left="426"/>
        <w:contextualSpacing/>
        <w:rPr>
          <w:sz w:val="24"/>
          <w:lang w:eastAsia="es-ES"/>
        </w:rPr>
      </w:pPr>
      <w:r w:rsidRPr="00BB2CE7">
        <w:rPr>
          <w:sz w:val="24"/>
          <w:lang w:eastAsia="es-ES"/>
        </w:rPr>
        <w:t xml:space="preserve">Riesgo legal </w:t>
      </w:r>
    </w:p>
    <w:p w:rsidRPr="00BB2CE7" w:rsidR="00DB670B" w:rsidP="00DB670B" w:rsidRDefault="00DB670B" w14:paraId="106873E5" w14:textId="77777777">
      <w:pPr>
        <w:numPr>
          <w:ilvl w:val="0"/>
          <w:numId w:val="16"/>
        </w:numPr>
        <w:spacing w:after="120" w:line="240" w:lineRule="auto"/>
        <w:ind w:left="426"/>
        <w:contextualSpacing/>
        <w:rPr>
          <w:sz w:val="24"/>
          <w:lang w:eastAsia="es-ES"/>
        </w:rPr>
      </w:pPr>
      <w:r w:rsidRPr="00BB2CE7">
        <w:rPr>
          <w:sz w:val="24"/>
          <w:lang w:eastAsia="es-ES"/>
        </w:rPr>
        <w:t xml:space="preserve">Riesgo de tecnología de información </w:t>
      </w:r>
    </w:p>
    <w:p w:rsidR="00DB670B" w:rsidP="00DB670B" w:rsidRDefault="00DB670B" w14:paraId="1232C4ED" w14:textId="77777777">
      <w:pPr>
        <w:numPr>
          <w:ilvl w:val="0"/>
          <w:numId w:val="16"/>
        </w:numPr>
        <w:spacing w:after="120" w:line="240" w:lineRule="auto"/>
        <w:ind w:left="426"/>
        <w:contextualSpacing/>
        <w:rPr>
          <w:sz w:val="24"/>
          <w:lang w:val="es-CR" w:eastAsia="es-ES"/>
        </w:rPr>
      </w:pPr>
      <w:r w:rsidRPr="00BB2CE7">
        <w:rPr>
          <w:sz w:val="24"/>
          <w:lang w:val="es-CR" w:eastAsia="es-ES"/>
        </w:rPr>
        <w:t>Riesgo de Legitimación de Capitales y Financiamiento al Terrorismo y Financiamientos de la Proliferación de Armas de Destrucción Masiva</w:t>
      </w:r>
    </w:p>
    <w:p w:rsidRPr="00BB2CE7" w:rsidR="00DB670B" w:rsidP="00DB670B" w:rsidRDefault="00DB670B" w14:paraId="40B97C6F" w14:textId="77777777">
      <w:pPr>
        <w:spacing w:after="120" w:line="240" w:lineRule="auto"/>
        <w:ind w:left="426"/>
        <w:contextualSpacing/>
        <w:rPr>
          <w:sz w:val="24"/>
          <w:lang w:val="es-CR" w:eastAsia="es-ES"/>
        </w:rPr>
      </w:pPr>
    </w:p>
    <w:p w:rsidRPr="00BB2CE7" w:rsidR="00DB670B" w:rsidP="00DB670B" w:rsidRDefault="00DB670B" w14:paraId="26E77AFA" w14:textId="77777777">
      <w:pPr>
        <w:spacing w:after="120" w:line="240" w:lineRule="auto"/>
        <w:contextualSpacing/>
        <w:rPr>
          <w:bCs/>
          <w:sz w:val="24"/>
          <w:lang w:val="es-CR" w:eastAsia="es-ES"/>
        </w:rPr>
      </w:pPr>
      <w:r w:rsidRPr="00BB2CE7">
        <w:rPr>
          <w:sz w:val="24"/>
          <w:lang w:val="es-CR" w:eastAsia="es-ES"/>
        </w:rPr>
        <w:t>Para la valoración de la calidad de la gestión de riesgos específicos como los indicados, se toma en consideración lo dispuesto en la regulación emitida por CONASSIF sobre gobierno corporativo y sobre riesgos específicos, en relación con</w:t>
      </w:r>
      <w:r>
        <w:rPr>
          <w:sz w:val="24"/>
          <w:lang w:val="es-CR" w:eastAsia="es-ES"/>
        </w:rPr>
        <w:t xml:space="preserve"> aspectos tales como </w:t>
      </w:r>
      <w:r w:rsidRPr="00BB2CE7">
        <w:rPr>
          <w:sz w:val="24"/>
          <w:lang w:val="es-CR" w:eastAsia="es-ES"/>
        </w:rPr>
        <w:t>la gestión de riesgo crédito,</w:t>
      </w:r>
      <w:r>
        <w:rPr>
          <w:sz w:val="24"/>
          <w:lang w:val="es-CR" w:eastAsia="es-ES"/>
        </w:rPr>
        <w:t xml:space="preserve"> </w:t>
      </w:r>
      <w:r w:rsidRPr="00BB2CE7">
        <w:rPr>
          <w:sz w:val="24"/>
          <w:lang w:val="es-CR" w:eastAsia="es-ES"/>
        </w:rPr>
        <w:t>la gestión del riesgo de liquidez,</w:t>
      </w:r>
      <w:r>
        <w:rPr>
          <w:sz w:val="24"/>
          <w:lang w:val="es-CR" w:eastAsia="es-ES"/>
        </w:rPr>
        <w:t xml:space="preserve"> </w:t>
      </w:r>
      <w:r w:rsidRPr="00BB2CE7">
        <w:rPr>
          <w:sz w:val="24"/>
          <w:lang w:val="es-CR" w:eastAsia="es-ES"/>
        </w:rPr>
        <w:t>la gestión del riesgo de mercado (precio), tipo de cambio y tasas de interés,</w:t>
      </w:r>
      <w:r>
        <w:rPr>
          <w:sz w:val="24"/>
          <w:lang w:val="es-CR" w:eastAsia="es-ES"/>
        </w:rPr>
        <w:t xml:space="preserve"> </w:t>
      </w:r>
      <w:r w:rsidRPr="00BB2CE7">
        <w:rPr>
          <w:sz w:val="24"/>
          <w:lang w:val="es-CR" w:eastAsia="es-ES"/>
        </w:rPr>
        <w:t xml:space="preserve">la gestión del riesgo operativo, </w:t>
      </w:r>
      <w:r>
        <w:rPr>
          <w:sz w:val="24"/>
          <w:lang w:val="es-CR" w:eastAsia="es-ES"/>
        </w:rPr>
        <w:t xml:space="preserve"> </w:t>
      </w:r>
      <w:r w:rsidRPr="00BB2CE7">
        <w:rPr>
          <w:sz w:val="24"/>
          <w:lang w:val="es-CR" w:eastAsia="es-ES"/>
        </w:rPr>
        <w:t>la gestión del riesgo de tecnología de información, y</w:t>
      </w:r>
      <w:r>
        <w:rPr>
          <w:sz w:val="24"/>
          <w:lang w:val="es-CR" w:eastAsia="es-ES"/>
        </w:rPr>
        <w:t xml:space="preserve"> </w:t>
      </w:r>
      <w:r w:rsidRPr="00BB2CE7">
        <w:rPr>
          <w:sz w:val="24"/>
          <w:lang w:val="es-CR" w:eastAsia="es-ES"/>
        </w:rPr>
        <w:t xml:space="preserve">la gestión de la </w:t>
      </w:r>
      <w:r>
        <w:rPr>
          <w:sz w:val="24"/>
          <w:lang w:val="es-CR" w:eastAsia="es-ES"/>
        </w:rPr>
        <w:t xml:space="preserve">prevención de actividades ilícitas como </w:t>
      </w:r>
      <w:r w:rsidRPr="00BB2CE7">
        <w:rPr>
          <w:sz w:val="24"/>
          <w:lang w:val="es-CR" w:eastAsia="es-ES"/>
        </w:rPr>
        <w:t>Legitimación de Capitales</w:t>
      </w:r>
      <w:r>
        <w:rPr>
          <w:sz w:val="24"/>
          <w:lang w:val="es-CR" w:eastAsia="es-ES"/>
        </w:rPr>
        <w:t xml:space="preserve">, </w:t>
      </w:r>
      <w:r w:rsidRPr="00BB2CE7">
        <w:rPr>
          <w:sz w:val="24"/>
          <w:lang w:val="es-CR" w:eastAsia="es-ES"/>
        </w:rPr>
        <w:t>Financiamiento al Terrorismo y Financiamiento de la Proliferación de Armas de Destrucción Masiva.</w:t>
      </w:r>
    </w:p>
    <w:p w:rsidRPr="00BB2CE7" w:rsidR="00DB670B" w:rsidP="00DB670B" w:rsidRDefault="00DB670B" w14:paraId="19659BB2" w14:textId="77777777">
      <w:pPr>
        <w:spacing w:line="240" w:lineRule="auto"/>
        <w:contextualSpacing/>
        <w:rPr>
          <w:rFonts w:eastAsia="Calibri" w:cs="Calibri"/>
          <w:sz w:val="24"/>
          <w:lang w:val="es-CO"/>
        </w:rPr>
      </w:pPr>
    </w:p>
    <w:p w:rsidRPr="00BB2CE7" w:rsidR="00DB670B" w:rsidP="00DB670B" w:rsidRDefault="00DB670B" w14:paraId="6A12AB17" w14:textId="77777777">
      <w:pPr>
        <w:spacing w:after="120" w:line="240" w:lineRule="auto"/>
        <w:contextualSpacing/>
        <w:rPr>
          <w:rFonts w:eastAsia="Calibri"/>
          <w:bCs/>
          <w:sz w:val="24"/>
          <w:lang w:val="es-CR"/>
        </w:rPr>
      </w:pPr>
      <w:r w:rsidRPr="00BB2CE7">
        <w:rPr>
          <w:sz w:val="24"/>
          <w:lang w:val="es-CR" w:eastAsia="es-ES"/>
        </w:rPr>
        <w:t>Adicionalmente, se toman en consideración los principios sobre sanas prácticas emitidos por el Comité de Supervisión Bancaria de Basilea (Comité de Basilea), y otros estándares y principios que sean aplicables, emitidos por autoridades nacionales y organismos internacionales.</w:t>
      </w:r>
    </w:p>
    <w:p w:rsidRPr="00BB2CE7" w:rsidR="00DB670B" w:rsidP="00DB670B" w:rsidRDefault="00DB670B" w14:paraId="693A90BB" w14:textId="77777777">
      <w:pPr>
        <w:spacing w:line="240" w:lineRule="auto"/>
        <w:contextualSpacing/>
        <w:rPr>
          <w:rFonts w:eastAsia="Calibri" w:cs="Calibri"/>
          <w:sz w:val="24"/>
          <w:lang w:val="es-CO"/>
        </w:rPr>
      </w:pPr>
    </w:p>
    <w:p w:rsidRPr="00BB2CE7" w:rsidR="00DB670B" w:rsidP="00DB670B" w:rsidRDefault="00DB670B" w14:paraId="06CF4E0C" w14:textId="77777777">
      <w:pPr>
        <w:keepNext/>
        <w:keepLines/>
        <w:numPr>
          <w:ilvl w:val="0"/>
          <w:numId w:val="18"/>
        </w:numPr>
        <w:spacing w:after="240" w:line="240" w:lineRule="auto"/>
        <w:contextualSpacing/>
        <w:outlineLvl w:val="1"/>
        <w:rPr>
          <w:b/>
          <w:bCs/>
          <w:sz w:val="24"/>
          <w:lang w:val="es-CR" w:eastAsia="es-CR"/>
        </w:rPr>
      </w:pPr>
      <w:bookmarkStart w:name="_Toc99545464" w:id="13"/>
      <w:bookmarkStart w:name="_Toc103279731" w:id="14"/>
      <w:r w:rsidRPr="00BB2CE7">
        <w:rPr>
          <w:b/>
          <w:bCs/>
          <w:sz w:val="24"/>
          <w:lang w:val="es-CR" w:eastAsia="es-CR"/>
        </w:rPr>
        <w:t>Elementos y criterios de evaluación</w:t>
      </w:r>
      <w:bookmarkEnd w:id="13"/>
      <w:bookmarkEnd w:id="14"/>
    </w:p>
    <w:p w:rsidR="00DB670B" w:rsidP="00DB670B" w:rsidRDefault="00DB670B" w14:paraId="59F1DC5A" w14:textId="77777777">
      <w:pPr>
        <w:spacing w:after="120" w:line="240" w:lineRule="auto"/>
        <w:contextualSpacing/>
        <w:rPr>
          <w:sz w:val="24"/>
          <w:lang w:val="es-CR" w:eastAsia="es-ES"/>
        </w:rPr>
      </w:pPr>
      <w:r w:rsidRPr="00BB2CE7">
        <w:rPr>
          <w:sz w:val="24"/>
          <w:lang w:val="es-CR" w:eastAsia="es-ES"/>
        </w:rPr>
        <w:t xml:space="preserve">Seguidamente se presentan los elementos y criterios de evaluación, sin perjuicio de que la SUGEF tome en cuenta otros elementos y criterios que considere necesarios para valorar la calidad de la gestión de riesgos. Esta valoración incluye la calidad de la </w:t>
      </w:r>
      <w:r w:rsidRPr="00BB2CE7">
        <w:rPr>
          <w:sz w:val="24"/>
          <w:lang w:val="es-CR" w:eastAsia="es-ES"/>
        </w:rPr>
        <w:lastRenderedPageBreak/>
        <w:t>gestión de los riesgos específicos señalados, según los alcances que defina la SUGEF en el proceso de supervisión con base en riesgos.</w:t>
      </w:r>
    </w:p>
    <w:p w:rsidRPr="00BB2CE7" w:rsidR="00DB670B" w:rsidP="00DB670B" w:rsidRDefault="00DB670B" w14:paraId="2E9F592A" w14:textId="77777777">
      <w:pPr>
        <w:spacing w:after="120" w:line="240" w:lineRule="auto"/>
        <w:contextualSpacing/>
        <w:rPr>
          <w:sz w:val="24"/>
          <w:lang w:val="es-CR" w:eastAsia="es-ES"/>
        </w:rPr>
      </w:pPr>
    </w:p>
    <w:p w:rsidR="00DB670B" w:rsidP="00DB670B" w:rsidRDefault="00DB670B" w14:paraId="322C6C63" w14:textId="77777777">
      <w:pPr>
        <w:spacing w:after="120" w:line="240" w:lineRule="auto"/>
        <w:contextualSpacing/>
        <w:rPr>
          <w:sz w:val="24"/>
          <w:lang w:val="es-CO" w:eastAsia="es-ES"/>
        </w:rPr>
      </w:pPr>
      <w:r w:rsidRPr="00BB2CE7">
        <w:rPr>
          <w:sz w:val="24"/>
          <w:lang w:val="es-CO" w:eastAsia="es-ES"/>
        </w:rPr>
        <w:t>La aplicación y ponderación de cada elemento en la evaluación de la efectividad de la unidad o función de riesgos depende de la naturaleza, complejidad y perfil de riesgos de la entidad.</w:t>
      </w:r>
    </w:p>
    <w:p w:rsidRPr="00BB2CE7" w:rsidR="00DB670B" w:rsidDel="00364ACA" w:rsidP="00DB670B" w:rsidRDefault="00DB670B" w14:paraId="6D46DA6B" w14:textId="77777777">
      <w:pPr>
        <w:spacing w:after="120" w:line="240" w:lineRule="auto"/>
        <w:contextualSpacing/>
        <w:rPr>
          <w:bCs/>
          <w:strike/>
          <w:sz w:val="24"/>
          <w:lang w:val="es-CR" w:eastAsia="es-ES"/>
        </w:rPr>
      </w:pPr>
    </w:p>
    <w:tbl>
      <w:tblPr>
        <w:tblpPr w:leftFromText="141" w:rightFromText="141" w:vertAnchor="tex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28"/>
      </w:tblGrid>
      <w:tr w:rsidRPr="00BB2CE7" w:rsidR="00DB670B" w:rsidTr="008A5BDD" w14:paraId="037CD123" w14:textId="77777777">
        <w:tc>
          <w:tcPr>
            <w:tcW w:w="5000" w:type="pct"/>
            <w:shd w:val="clear" w:color="auto" w:fill="9CC2E5" w:themeFill="accent1" w:themeFillTint="99"/>
          </w:tcPr>
          <w:p w:rsidRPr="00BB2CE7" w:rsidR="00DB670B" w:rsidP="008A5BDD" w:rsidRDefault="00DB670B" w14:paraId="52362D83" w14:textId="77777777">
            <w:pPr>
              <w:spacing w:line="240" w:lineRule="auto"/>
              <w:contextualSpacing/>
              <w:rPr>
                <w:bCs/>
                <w:color w:val="2F5496"/>
                <w:sz w:val="24"/>
                <w:u w:val="single"/>
                <w:lang w:val="es-CR" w:eastAsia="es-ES"/>
              </w:rPr>
            </w:pPr>
            <w:r w:rsidRPr="00BB2CE7">
              <w:rPr>
                <w:rFonts w:cs="Calibri"/>
                <w:b/>
                <w:bCs/>
                <w:sz w:val="24"/>
                <w:lang w:val="es-CR" w:eastAsia="es-ES"/>
              </w:rPr>
              <w:t>Funciones y responsabilidades</w:t>
            </w:r>
          </w:p>
        </w:tc>
      </w:tr>
      <w:tr w:rsidRPr="00BB2CE7" w:rsidR="00DB670B" w:rsidTr="008A5BDD" w14:paraId="6BA45A0D" w14:textId="77777777">
        <w:tc>
          <w:tcPr>
            <w:tcW w:w="5000" w:type="pct"/>
            <w:shd w:val="clear" w:color="auto" w:fill="auto"/>
          </w:tcPr>
          <w:p w:rsidRPr="00BB2CE7" w:rsidR="00DB670B" w:rsidP="008A5BDD" w:rsidRDefault="00DB670B" w14:paraId="666FD752" w14:textId="77777777">
            <w:pPr>
              <w:spacing w:line="240" w:lineRule="auto"/>
              <w:contextualSpacing/>
              <w:rPr>
                <w:sz w:val="24"/>
                <w:lang w:val="es-CR" w:eastAsia="es-ES"/>
              </w:rPr>
            </w:pPr>
            <w:r w:rsidRPr="00BB2CE7">
              <w:rPr>
                <w:rFonts w:cs="Calibri"/>
                <w:sz w:val="24"/>
                <w:lang w:val="es-CR" w:eastAsia="es-ES"/>
              </w:rPr>
              <w:t>La función de gestión de riesgos dispone de un sistema para la gestión integral de riesgos y de cada uno de los riesgos relevantes a los cuales está expuesta la entidad, consistente con la estrategia de negocios.</w:t>
            </w:r>
          </w:p>
        </w:tc>
      </w:tr>
      <w:tr w:rsidRPr="00BB2CE7" w:rsidR="00DB670B" w:rsidTr="008A5BDD" w14:paraId="23D0FA45" w14:textId="77777777">
        <w:tc>
          <w:tcPr>
            <w:tcW w:w="5000" w:type="pct"/>
            <w:shd w:val="clear" w:color="auto" w:fill="auto"/>
          </w:tcPr>
          <w:p w:rsidRPr="00BB2CE7" w:rsidR="00DB670B" w:rsidP="008A5BDD" w:rsidRDefault="00DB670B" w14:paraId="1B1F88D4" w14:textId="77777777">
            <w:pPr>
              <w:spacing w:line="240" w:lineRule="auto"/>
              <w:contextualSpacing/>
              <w:rPr>
                <w:rFonts w:cs="Calibri"/>
                <w:sz w:val="24"/>
                <w:lang w:val="es-CR" w:eastAsia="es-ES"/>
              </w:rPr>
            </w:pPr>
            <w:r w:rsidRPr="00BB2CE7">
              <w:rPr>
                <w:rFonts w:cs="Calibri"/>
                <w:sz w:val="24"/>
                <w:lang w:val="es-CR" w:eastAsia="es-ES"/>
              </w:rPr>
              <w:t>La función de gestión de riesgos, con sujeción a la revisión y aprobación por el Órgano de Dirección, realiza el desarrollo e implementación del marco de gobierno del riesgo en la entidad, que incluye la cultura de riesgo de la entidad, su apetito por el riesgo y límites sobre riesgos.</w:t>
            </w:r>
          </w:p>
        </w:tc>
      </w:tr>
      <w:tr w:rsidRPr="00BB2CE7" w:rsidR="00DB670B" w:rsidTr="008A5BDD" w14:paraId="4D322031" w14:textId="77777777">
        <w:tc>
          <w:tcPr>
            <w:tcW w:w="5000" w:type="pct"/>
            <w:tcBorders>
              <w:bottom w:val="single" w:color="auto" w:sz="4" w:space="0"/>
            </w:tcBorders>
            <w:shd w:val="clear" w:color="auto" w:fill="auto"/>
          </w:tcPr>
          <w:p w:rsidRPr="00BB2CE7" w:rsidR="00DB670B" w:rsidP="008A5BDD" w:rsidRDefault="00DB670B" w14:paraId="231DE6F6" w14:textId="77777777">
            <w:pPr>
              <w:spacing w:line="240" w:lineRule="auto"/>
              <w:contextualSpacing/>
              <w:rPr>
                <w:rFonts w:cs="Calibri"/>
                <w:sz w:val="24"/>
                <w:lang w:val="es-CR" w:eastAsia="es-ES"/>
              </w:rPr>
            </w:pPr>
            <w:r w:rsidRPr="00BB2CE7">
              <w:rPr>
                <w:rFonts w:cs="Calibri"/>
                <w:sz w:val="24"/>
                <w:lang w:val="es-CR" w:eastAsia="es-ES"/>
              </w:rPr>
              <w:t>La función de gestión de riesgos cuenta con objetivos claros y autoridad en toda la entidad para cumplir con sus funciones y responsabilidades de forma independiente, y dispone de una estructura idónea para cumplir de forma adecuada su función.</w:t>
            </w:r>
          </w:p>
        </w:tc>
      </w:tr>
      <w:tr w:rsidRPr="00BB2CE7" w:rsidR="00DB670B" w:rsidTr="008A5BDD" w14:paraId="6F0FAE7F" w14:textId="77777777">
        <w:tc>
          <w:tcPr>
            <w:tcW w:w="5000" w:type="pct"/>
            <w:shd w:val="clear" w:color="auto" w:fill="9CC2E5" w:themeFill="accent1" w:themeFillTint="99"/>
          </w:tcPr>
          <w:p w:rsidRPr="00BB2CE7" w:rsidR="00DB670B" w:rsidP="008A5BDD" w:rsidRDefault="00DB670B" w14:paraId="1709D3D1" w14:textId="77777777">
            <w:pPr>
              <w:spacing w:line="240" w:lineRule="auto"/>
              <w:contextualSpacing/>
              <w:rPr>
                <w:sz w:val="24"/>
                <w:lang w:val="es-CR" w:eastAsia="es-ES"/>
              </w:rPr>
            </w:pPr>
            <w:r w:rsidRPr="00BB2CE7">
              <w:rPr>
                <w:rFonts w:cs="Calibri"/>
                <w:b/>
                <w:bCs/>
                <w:sz w:val="24"/>
                <w:lang w:val="es-CR" w:eastAsia="es-ES"/>
              </w:rPr>
              <w:t>Políticas y procedimientos</w:t>
            </w:r>
          </w:p>
        </w:tc>
      </w:tr>
      <w:tr w:rsidRPr="00BB2CE7" w:rsidR="00DB670B" w:rsidTr="008A5BDD" w14:paraId="4EF789D5" w14:textId="77777777">
        <w:tc>
          <w:tcPr>
            <w:tcW w:w="5000" w:type="pct"/>
            <w:shd w:val="clear" w:color="auto" w:fill="auto"/>
          </w:tcPr>
          <w:p w:rsidRPr="00BB2CE7" w:rsidR="00DB670B" w:rsidP="008A5BDD" w:rsidRDefault="00DB670B" w14:paraId="47A63978" w14:textId="77777777">
            <w:pPr>
              <w:spacing w:line="240" w:lineRule="auto"/>
              <w:contextualSpacing/>
              <w:rPr>
                <w:rFonts w:cs="Calibri"/>
                <w:sz w:val="24"/>
                <w:lang w:val="es-CR" w:eastAsia="es-ES"/>
              </w:rPr>
            </w:pPr>
            <w:r w:rsidRPr="00BB2CE7">
              <w:rPr>
                <w:rFonts w:cs="Calibri"/>
                <w:sz w:val="24"/>
                <w:lang w:val="es-CR" w:eastAsia="es-ES"/>
              </w:rPr>
              <w:t>La función de gestión de riesgos cuenta con políticas, metodologías y procedimientos para revisar y actualizar periódicamente los límites, las políticas y los procesos de gestión de riesgos, en consideración a los cambios que se presenten en la industria financiera y el grado de apetito de riesgo de la entidad.</w:t>
            </w:r>
          </w:p>
        </w:tc>
      </w:tr>
      <w:tr w:rsidRPr="00BB2CE7" w:rsidR="00DB670B" w:rsidTr="008A5BDD" w14:paraId="1901E1E7" w14:textId="77777777">
        <w:tc>
          <w:tcPr>
            <w:tcW w:w="5000" w:type="pct"/>
            <w:shd w:val="clear" w:color="auto" w:fill="auto"/>
          </w:tcPr>
          <w:p w:rsidRPr="00BB2CE7" w:rsidR="00DB670B" w:rsidP="008A5BDD" w:rsidRDefault="00DB670B" w14:paraId="096F9709" w14:textId="77777777">
            <w:pPr>
              <w:spacing w:line="240" w:lineRule="auto"/>
              <w:contextualSpacing/>
              <w:rPr>
                <w:rFonts w:cs="Calibri"/>
                <w:sz w:val="24"/>
                <w:lang w:val="es-CR" w:eastAsia="es-ES"/>
              </w:rPr>
            </w:pPr>
            <w:r w:rsidRPr="00BB2CE7">
              <w:rPr>
                <w:rFonts w:cs="Calibri"/>
                <w:sz w:val="24"/>
                <w:lang w:val="es-CR" w:eastAsia="es-ES"/>
              </w:rPr>
              <w:t>La función de gestión de riesgos cuenta con límites, políticas y prácticas de gestión de riesgos suficientes y alineados con la estrategia y con las políticas y procedimientos de la gestión de capital y liquidez.</w:t>
            </w:r>
          </w:p>
        </w:tc>
      </w:tr>
      <w:tr w:rsidRPr="00BB2CE7" w:rsidR="00DB670B" w:rsidTr="008A5BDD" w14:paraId="6978415D" w14:textId="77777777">
        <w:tc>
          <w:tcPr>
            <w:tcW w:w="5000" w:type="pct"/>
            <w:shd w:val="clear" w:color="auto" w:fill="auto"/>
          </w:tcPr>
          <w:p w:rsidRPr="00BB2CE7" w:rsidR="00DB670B" w:rsidP="008A5BDD" w:rsidRDefault="00DB670B" w14:paraId="78442625" w14:textId="77777777">
            <w:pPr>
              <w:spacing w:line="240" w:lineRule="auto"/>
              <w:contextualSpacing/>
              <w:rPr>
                <w:rFonts w:cs="Calibri"/>
                <w:sz w:val="24"/>
                <w:lang w:val="es-CR" w:eastAsia="es-ES"/>
              </w:rPr>
            </w:pPr>
            <w:r w:rsidRPr="00BB2CE7">
              <w:rPr>
                <w:rFonts w:cs="Calibri"/>
                <w:sz w:val="24"/>
                <w:lang w:val="es-CR" w:eastAsia="es-ES"/>
              </w:rPr>
              <w:t>La función de gestión de riesgos cuenta con metodologías y procedimientos suficientes y adecuados para determinar el grado en el cual</w:t>
            </w:r>
            <w:r w:rsidRPr="00BB2CE7" w:rsidDel="00C5692C">
              <w:rPr>
                <w:rFonts w:cs="Calibri"/>
                <w:sz w:val="24"/>
                <w:lang w:val="es-CR" w:eastAsia="es-ES"/>
              </w:rPr>
              <w:t xml:space="preserve"> </w:t>
            </w:r>
            <w:r w:rsidRPr="00BB2CE7">
              <w:rPr>
                <w:rFonts w:cs="Calibri"/>
                <w:sz w:val="24"/>
                <w:lang w:val="es-CR" w:eastAsia="es-ES"/>
              </w:rPr>
              <w:t>los límites, prácticas y políticas de gestión de riesgos son documentados, comunicados y están integrados con las actividades del negocio del día-a-día.</w:t>
            </w:r>
          </w:p>
        </w:tc>
      </w:tr>
      <w:tr w:rsidRPr="00BB2CE7" w:rsidR="00DB670B" w:rsidTr="008A5BDD" w14:paraId="09819BB9" w14:textId="77777777">
        <w:tc>
          <w:tcPr>
            <w:tcW w:w="5000" w:type="pct"/>
            <w:tcBorders>
              <w:bottom w:val="single" w:color="auto" w:sz="4" w:space="0"/>
            </w:tcBorders>
            <w:shd w:val="clear" w:color="auto" w:fill="auto"/>
          </w:tcPr>
          <w:p w:rsidRPr="00BB2CE7" w:rsidR="00DB670B" w:rsidP="008A5BDD" w:rsidRDefault="00DB670B" w14:paraId="45708A97" w14:textId="77777777">
            <w:pPr>
              <w:spacing w:line="240" w:lineRule="auto"/>
              <w:contextualSpacing/>
              <w:rPr>
                <w:rFonts w:cs="Calibri"/>
                <w:sz w:val="24"/>
                <w:lang w:val="es-CR" w:eastAsia="es-ES"/>
              </w:rPr>
            </w:pPr>
            <w:r w:rsidRPr="00BB2CE7">
              <w:rPr>
                <w:rFonts w:cs="Calibri"/>
                <w:sz w:val="24"/>
                <w:lang w:val="es-CR" w:eastAsia="es-ES"/>
              </w:rPr>
              <w:t>La función de gestión de riesgos cuenta con adecuadas políticas y procedimientos para monitorear, analizar tendencias, identificar y modelar los riesgos emergentes y responder efectivamente a eventos inesperados.</w:t>
            </w:r>
          </w:p>
        </w:tc>
      </w:tr>
      <w:tr w:rsidRPr="00BB2CE7" w:rsidR="00DB670B" w:rsidTr="008A5BDD" w14:paraId="46829E0E" w14:textId="77777777">
        <w:tc>
          <w:tcPr>
            <w:tcW w:w="5000" w:type="pct"/>
            <w:shd w:val="clear" w:color="auto" w:fill="9CC2E5" w:themeFill="accent1" w:themeFillTint="99"/>
          </w:tcPr>
          <w:p w:rsidRPr="00BB2CE7" w:rsidR="00DB670B" w:rsidP="008A5BDD" w:rsidRDefault="00DB670B" w14:paraId="4C3FCC04" w14:textId="77777777">
            <w:pPr>
              <w:keepNext/>
              <w:spacing w:line="240" w:lineRule="auto"/>
              <w:contextualSpacing/>
              <w:rPr>
                <w:sz w:val="24"/>
                <w:lang w:eastAsia="es-ES"/>
              </w:rPr>
            </w:pPr>
            <w:r w:rsidRPr="00BB2CE7">
              <w:rPr>
                <w:rFonts w:cs="Calibri"/>
                <w:b/>
                <w:bCs/>
                <w:sz w:val="24"/>
                <w:lang w:eastAsia="es-ES"/>
              </w:rPr>
              <w:t>Supervisión de la Alta Gerencia y Órgano de Dirección</w:t>
            </w:r>
          </w:p>
        </w:tc>
      </w:tr>
      <w:tr w:rsidRPr="00BB2CE7" w:rsidR="00DB670B" w:rsidTr="008A5BDD" w14:paraId="5245EA38" w14:textId="77777777">
        <w:tc>
          <w:tcPr>
            <w:tcW w:w="5000" w:type="pct"/>
            <w:shd w:val="clear" w:color="auto" w:fill="auto"/>
          </w:tcPr>
          <w:p w:rsidRPr="00BB2CE7" w:rsidR="00DB670B" w:rsidP="008A5BDD" w:rsidRDefault="00DB670B" w14:paraId="1BF64871" w14:textId="77777777">
            <w:pPr>
              <w:keepNext/>
              <w:spacing w:line="240" w:lineRule="auto"/>
              <w:contextualSpacing/>
              <w:rPr>
                <w:rFonts w:cs="Calibri"/>
                <w:sz w:val="24"/>
                <w:lang w:val="es-CR" w:eastAsia="es-ES"/>
              </w:rPr>
            </w:pPr>
            <w:r w:rsidRPr="00BB2CE7">
              <w:rPr>
                <w:rFonts w:cs="Calibri"/>
                <w:sz w:val="24"/>
                <w:lang w:val="es-CR" w:eastAsia="es-ES"/>
              </w:rPr>
              <w:t xml:space="preserve">La suficiencia de la política en cuanto a la designación, el cese, las medidas disciplinarias y otros cambios en la posición del encargado de la función de gestión de riesgos, así como la calificación del desempeño, los cuales son aprobados por el Órgano de Dirección, previa consulta al Comité de Riesgos y se informa de la designación y el cese a las Partes Interesadas y al supervisor.  </w:t>
            </w:r>
          </w:p>
        </w:tc>
      </w:tr>
      <w:tr w:rsidRPr="00BB2CE7" w:rsidR="00DB670B" w:rsidTr="008A5BDD" w14:paraId="6938339E" w14:textId="77777777">
        <w:tc>
          <w:tcPr>
            <w:tcW w:w="5000" w:type="pct"/>
            <w:shd w:val="clear" w:color="auto" w:fill="auto"/>
          </w:tcPr>
          <w:p w:rsidRPr="00BB2CE7" w:rsidR="00DB670B" w:rsidP="008A5BDD" w:rsidRDefault="00DB670B" w14:paraId="5F375802" w14:textId="77777777">
            <w:pPr>
              <w:spacing w:line="240" w:lineRule="auto"/>
              <w:contextualSpacing/>
              <w:rPr>
                <w:rFonts w:cs="Calibri"/>
                <w:sz w:val="24"/>
                <w:lang w:val="es-CR" w:eastAsia="es-ES"/>
              </w:rPr>
            </w:pPr>
            <w:r w:rsidRPr="00BB2CE7">
              <w:rPr>
                <w:rFonts w:cs="Calibri"/>
                <w:sz w:val="24"/>
                <w:lang w:val="es-CR" w:eastAsia="es-ES"/>
              </w:rPr>
              <w:t>Existe un procedimiento de aprobación del Órgano de Dirección de las funciones y responsabilidades, recursos y metodologías de la función de gestión de riesgos.</w:t>
            </w:r>
          </w:p>
        </w:tc>
      </w:tr>
      <w:tr w:rsidRPr="00BB2CE7" w:rsidR="00DB670B" w:rsidTr="008A5BDD" w14:paraId="0FEED500" w14:textId="77777777">
        <w:tc>
          <w:tcPr>
            <w:tcW w:w="5000" w:type="pct"/>
            <w:shd w:val="clear" w:color="auto" w:fill="auto"/>
          </w:tcPr>
          <w:p w:rsidRPr="00BB2CE7" w:rsidR="00DB670B" w:rsidP="008A5BDD" w:rsidRDefault="00DB670B" w14:paraId="2C212E02" w14:textId="77777777">
            <w:pPr>
              <w:spacing w:line="240" w:lineRule="auto"/>
              <w:contextualSpacing/>
              <w:rPr>
                <w:rFonts w:cs="Calibri"/>
                <w:sz w:val="24"/>
                <w:lang w:val="es-CR" w:eastAsia="es-ES"/>
              </w:rPr>
            </w:pPr>
            <w:r w:rsidRPr="00BB2CE7">
              <w:rPr>
                <w:rFonts w:cs="Calibri"/>
                <w:sz w:val="24"/>
                <w:lang w:val="es-CR" w:eastAsia="es-ES"/>
              </w:rPr>
              <w:t>Existe un procedimiento de aprobación del Órgano de Dirección de las políticas y procedimientos y límites para la gestión de riesgos y líneas de negocios significativas.</w:t>
            </w:r>
          </w:p>
        </w:tc>
      </w:tr>
      <w:tr w:rsidRPr="00BB2CE7" w:rsidR="00DB670B" w:rsidTr="008A5BDD" w14:paraId="149E00C4" w14:textId="77777777">
        <w:tc>
          <w:tcPr>
            <w:tcW w:w="5000" w:type="pct"/>
            <w:shd w:val="clear" w:color="auto" w:fill="auto"/>
          </w:tcPr>
          <w:p w:rsidRPr="00BB2CE7" w:rsidR="00DB670B" w:rsidP="008A5BDD" w:rsidRDefault="00DB670B" w14:paraId="586E2569" w14:textId="77777777">
            <w:pPr>
              <w:spacing w:line="240" w:lineRule="auto"/>
              <w:contextualSpacing/>
              <w:rPr>
                <w:rFonts w:cs="Calibri"/>
                <w:sz w:val="24"/>
                <w:lang w:val="es-CR" w:eastAsia="es-ES"/>
              </w:rPr>
            </w:pPr>
            <w:r w:rsidRPr="00BB2CE7">
              <w:rPr>
                <w:rFonts w:cs="Calibri"/>
                <w:sz w:val="24"/>
                <w:lang w:val="es-CR" w:eastAsia="es-ES"/>
              </w:rPr>
              <w:lastRenderedPageBreak/>
              <w:t>La función de gestión de riesgos cuenta con políticas y procedimientos para reportar, oportuna y periódicamente al Órgano de Dirección y sus comités y a la Alta Gerencia sobre los riesgos relevantes y sobre la efectividad de la gestión de riesgos de la entidad, exposiciones agregadas y demás aspectos relevantes, incluidos los supuestos y deficiencias de los modelos de medición de riesgos utilizados.</w:t>
            </w:r>
          </w:p>
        </w:tc>
      </w:tr>
      <w:tr w:rsidRPr="00BB2CE7" w:rsidR="00DB670B" w:rsidTr="008A5BDD" w14:paraId="123FBFD0" w14:textId="77777777">
        <w:tc>
          <w:tcPr>
            <w:tcW w:w="5000" w:type="pct"/>
            <w:tcBorders>
              <w:bottom w:val="single" w:color="auto" w:sz="4" w:space="0"/>
            </w:tcBorders>
            <w:shd w:val="clear" w:color="auto" w:fill="auto"/>
          </w:tcPr>
          <w:p w:rsidRPr="00BB2CE7" w:rsidR="00DB670B" w:rsidP="008A5BDD" w:rsidRDefault="00DB670B" w14:paraId="0C902DF5" w14:textId="77777777">
            <w:pPr>
              <w:spacing w:line="240" w:lineRule="auto"/>
              <w:contextualSpacing/>
              <w:rPr>
                <w:rFonts w:cs="Calibri"/>
                <w:sz w:val="24"/>
                <w:lang w:val="es-CR" w:eastAsia="es-ES"/>
              </w:rPr>
            </w:pPr>
            <w:r w:rsidRPr="00BB2CE7">
              <w:rPr>
                <w:rFonts w:cs="Calibri"/>
                <w:sz w:val="24"/>
                <w:lang w:val="es-CR" w:eastAsia="es-ES"/>
              </w:rPr>
              <w:t>La función de gestión de riesgos está sujeta a revisiones de calidad, periódicas e independientes, cuyos resultados son comunicados al Órgano de Dirección (o a su comité de riesgo) y a la Alta Gerencia.</w:t>
            </w:r>
          </w:p>
        </w:tc>
      </w:tr>
      <w:tr w:rsidRPr="00BB2CE7" w:rsidR="00DB670B" w:rsidTr="008A5BDD" w14:paraId="618192CE" w14:textId="77777777">
        <w:tc>
          <w:tcPr>
            <w:tcW w:w="5000" w:type="pct"/>
            <w:shd w:val="clear" w:color="auto" w:fill="9CC2E5" w:themeFill="accent1" w:themeFillTint="99"/>
          </w:tcPr>
          <w:p w:rsidRPr="00BB2CE7" w:rsidR="00DB670B" w:rsidP="008A5BDD" w:rsidRDefault="00DB670B" w14:paraId="32AE3DB2" w14:textId="77777777">
            <w:pPr>
              <w:spacing w:line="240" w:lineRule="auto"/>
              <w:contextualSpacing/>
              <w:rPr>
                <w:color w:val="2F5496"/>
                <w:sz w:val="24"/>
                <w:u w:val="single"/>
                <w:lang w:eastAsia="es-ES"/>
              </w:rPr>
            </w:pPr>
            <w:r w:rsidRPr="00BB2CE7">
              <w:rPr>
                <w:rFonts w:cs="Calibri"/>
                <w:b/>
                <w:bCs/>
                <w:sz w:val="24"/>
                <w:lang w:eastAsia="es-ES"/>
              </w:rPr>
              <w:t>Estructura Organizacional</w:t>
            </w:r>
          </w:p>
        </w:tc>
      </w:tr>
      <w:tr w:rsidRPr="00BB2CE7" w:rsidR="00DB670B" w:rsidTr="008A5BDD" w14:paraId="1E202A0A" w14:textId="77777777">
        <w:tc>
          <w:tcPr>
            <w:tcW w:w="5000" w:type="pct"/>
            <w:shd w:val="clear" w:color="auto" w:fill="auto"/>
          </w:tcPr>
          <w:p w:rsidRPr="00BB2CE7" w:rsidR="00DB670B" w:rsidP="008A5BDD" w:rsidRDefault="00DB670B" w14:paraId="42E9CB11" w14:textId="77777777">
            <w:pPr>
              <w:spacing w:line="240" w:lineRule="auto"/>
              <w:contextualSpacing/>
              <w:rPr>
                <w:rFonts w:cs="Calibri"/>
                <w:sz w:val="24"/>
                <w:lang w:val="es-CR" w:eastAsia="es-ES"/>
              </w:rPr>
            </w:pPr>
            <w:r w:rsidRPr="00BB2CE7">
              <w:rPr>
                <w:rFonts w:cs="Calibri"/>
                <w:sz w:val="24"/>
                <w:lang w:val="es-CR" w:eastAsia="es-ES"/>
              </w:rPr>
              <w:t>El encargado de la función de gestión de riesgos cuenta con una jerarquía y autoridad para cumplir sus funciones y responsabilidades en forma efectiva.</w:t>
            </w:r>
          </w:p>
        </w:tc>
      </w:tr>
      <w:tr w:rsidRPr="00BB2CE7" w:rsidR="00DB670B" w:rsidTr="008A5BDD" w14:paraId="46CF47B0" w14:textId="77777777">
        <w:tc>
          <w:tcPr>
            <w:tcW w:w="5000" w:type="pct"/>
            <w:shd w:val="clear" w:color="auto" w:fill="auto"/>
          </w:tcPr>
          <w:p w:rsidRPr="00BB2CE7" w:rsidR="00DB670B" w:rsidP="008A5BDD" w:rsidRDefault="00DB670B" w14:paraId="52F97376" w14:textId="77777777">
            <w:pPr>
              <w:spacing w:line="240" w:lineRule="auto"/>
              <w:contextualSpacing/>
              <w:rPr>
                <w:rFonts w:cs="Calibri"/>
                <w:sz w:val="24"/>
                <w:lang w:val="es-CR" w:eastAsia="es-ES"/>
              </w:rPr>
            </w:pPr>
            <w:r w:rsidRPr="00BB2CE7">
              <w:rPr>
                <w:rFonts w:cs="Calibri"/>
                <w:sz w:val="24"/>
                <w:lang w:val="es-CR" w:eastAsia="es-ES"/>
              </w:rPr>
              <w:t>La función de gestión de riesgos tiene acceso a todas las líneas de negocio o actividades sustantivas con potencial de generar un riesgo sustantivo.</w:t>
            </w:r>
          </w:p>
        </w:tc>
      </w:tr>
      <w:tr w:rsidRPr="00BB2CE7" w:rsidR="00DB670B" w:rsidTr="008A5BDD" w14:paraId="660F80AF" w14:textId="77777777">
        <w:tc>
          <w:tcPr>
            <w:tcW w:w="5000" w:type="pct"/>
            <w:tcBorders>
              <w:bottom w:val="single" w:color="auto" w:sz="4" w:space="0"/>
            </w:tcBorders>
            <w:shd w:val="clear" w:color="auto" w:fill="auto"/>
          </w:tcPr>
          <w:p w:rsidRPr="00BB2CE7" w:rsidR="00DB670B" w:rsidP="008A5BDD" w:rsidRDefault="00DB670B" w14:paraId="18FE1244" w14:textId="77777777">
            <w:pPr>
              <w:spacing w:line="240" w:lineRule="auto"/>
              <w:contextualSpacing/>
              <w:rPr>
                <w:rFonts w:cs="Calibri"/>
                <w:sz w:val="24"/>
                <w:lang w:val="es-CR" w:eastAsia="es-ES"/>
              </w:rPr>
            </w:pPr>
            <w:r w:rsidRPr="00BB2CE7">
              <w:rPr>
                <w:rFonts w:cs="Calibri"/>
                <w:sz w:val="24"/>
                <w:lang w:val="es-CR" w:eastAsia="es-ES"/>
              </w:rPr>
              <w:t>La función de gestión de riesgos tiene independencia de las líneas de negocio o actividades significativas e informa las exposiciones al riesgo directamente al Órgano de Dirección, Alta Gerencia y al Comité de Riesgos.</w:t>
            </w:r>
          </w:p>
        </w:tc>
      </w:tr>
      <w:tr w:rsidRPr="00BB2CE7" w:rsidR="00DB670B" w:rsidTr="008A5BDD" w14:paraId="5C8C2FFC" w14:textId="77777777">
        <w:tc>
          <w:tcPr>
            <w:tcW w:w="5000" w:type="pct"/>
            <w:shd w:val="clear" w:color="auto" w:fill="9CC2E5" w:themeFill="accent1" w:themeFillTint="99"/>
          </w:tcPr>
          <w:p w:rsidRPr="00BB2CE7" w:rsidR="00DB670B" w:rsidP="008A5BDD" w:rsidRDefault="00DB670B" w14:paraId="7BC8AC70" w14:textId="77777777">
            <w:pPr>
              <w:spacing w:line="240" w:lineRule="auto"/>
              <w:contextualSpacing/>
              <w:rPr>
                <w:sz w:val="24"/>
                <w:lang w:val="es-CR" w:eastAsia="es-ES"/>
              </w:rPr>
            </w:pPr>
            <w:r w:rsidRPr="00BB2CE7">
              <w:rPr>
                <w:rFonts w:cs="Calibri"/>
                <w:b/>
                <w:bCs/>
                <w:sz w:val="24"/>
                <w:lang w:val="es-CR" w:eastAsia="es-ES"/>
              </w:rPr>
              <w:t>Recursos</w:t>
            </w:r>
          </w:p>
        </w:tc>
      </w:tr>
      <w:tr w:rsidRPr="00BB2CE7" w:rsidR="00DB670B" w:rsidTr="008A5BDD" w14:paraId="3A319065" w14:textId="77777777">
        <w:tc>
          <w:tcPr>
            <w:tcW w:w="5000" w:type="pct"/>
            <w:shd w:val="clear" w:color="auto" w:fill="auto"/>
          </w:tcPr>
          <w:p w:rsidRPr="00BB2CE7" w:rsidR="00DB670B" w:rsidP="008A5BDD" w:rsidRDefault="00DB670B" w14:paraId="0919B496" w14:textId="77777777">
            <w:pPr>
              <w:spacing w:line="240" w:lineRule="auto"/>
              <w:contextualSpacing/>
              <w:rPr>
                <w:rFonts w:cs="Calibri"/>
                <w:sz w:val="24"/>
                <w:lang w:val="es-CR" w:eastAsia="es-ES"/>
              </w:rPr>
            </w:pPr>
            <w:r w:rsidRPr="00BB2CE7">
              <w:rPr>
                <w:rFonts w:cs="Calibri"/>
                <w:sz w:val="24"/>
                <w:lang w:val="es-CR" w:eastAsia="es-ES"/>
              </w:rPr>
              <w:t>La función de gestión de riesgos cuenta con el personal necesario para llevar a cabo sus funciones y éste posee la experiencia y aptitudes necesarias para desarrollar sus funciones.</w:t>
            </w:r>
          </w:p>
        </w:tc>
      </w:tr>
      <w:tr w:rsidRPr="00BB2CE7" w:rsidR="00DB670B" w:rsidTr="008A5BDD" w14:paraId="53C590E3" w14:textId="77777777">
        <w:tc>
          <w:tcPr>
            <w:tcW w:w="5000" w:type="pct"/>
            <w:shd w:val="clear" w:color="auto" w:fill="auto"/>
          </w:tcPr>
          <w:p w:rsidRPr="00BB2CE7" w:rsidR="00DB670B" w:rsidP="008A5BDD" w:rsidRDefault="00DB670B" w14:paraId="1A7D4B7C" w14:textId="77777777">
            <w:pPr>
              <w:spacing w:line="240" w:lineRule="auto"/>
              <w:contextualSpacing/>
              <w:rPr>
                <w:rFonts w:cs="Calibri"/>
                <w:sz w:val="24"/>
                <w:lang w:val="es-CR" w:eastAsia="es-ES"/>
              </w:rPr>
            </w:pPr>
            <w:r w:rsidRPr="00BB2CE7">
              <w:rPr>
                <w:rFonts w:cs="Calibri"/>
                <w:sz w:val="24"/>
                <w:lang w:val="es-CR" w:eastAsia="es-ES"/>
              </w:rPr>
              <w:t>Las políticas y procedimientos de la función de gestión de riesgos son adecuados para la determinación de la calificación y competencias del personal.</w:t>
            </w:r>
          </w:p>
        </w:tc>
      </w:tr>
      <w:tr w:rsidRPr="00BB2CE7" w:rsidR="00DB670B" w:rsidTr="008A5BDD" w14:paraId="0455976C" w14:textId="77777777">
        <w:tc>
          <w:tcPr>
            <w:tcW w:w="5000" w:type="pct"/>
            <w:shd w:val="clear" w:color="auto" w:fill="auto"/>
          </w:tcPr>
          <w:p w:rsidRPr="00BB2CE7" w:rsidR="00DB670B" w:rsidP="008A5BDD" w:rsidRDefault="00DB670B" w14:paraId="5D54412F" w14:textId="77777777">
            <w:pPr>
              <w:spacing w:line="240" w:lineRule="auto"/>
              <w:contextualSpacing/>
              <w:rPr>
                <w:rFonts w:cs="Calibri"/>
                <w:sz w:val="24"/>
                <w:lang w:val="es-CR" w:eastAsia="es-ES"/>
              </w:rPr>
            </w:pPr>
            <w:r w:rsidRPr="00BB2CE7">
              <w:rPr>
                <w:rFonts w:cs="Calibri"/>
                <w:sz w:val="24"/>
                <w:lang w:val="es-CR" w:eastAsia="es-ES"/>
              </w:rPr>
              <w:t xml:space="preserve"> La función de gestión de riesgos establece programas de capacitación para mejorar las competencias del personal.</w:t>
            </w:r>
          </w:p>
        </w:tc>
      </w:tr>
      <w:tr w:rsidRPr="00BB2CE7" w:rsidR="00DB670B" w:rsidTr="008A5BDD" w14:paraId="7E680638" w14:textId="77777777">
        <w:tc>
          <w:tcPr>
            <w:tcW w:w="5000" w:type="pct"/>
            <w:tcBorders>
              <w:bottom w:val="single" w:color="auto" w:sz="4" w:space="0"/>
            </w:tcBorders>
            <w:shd w:val="clear" w:color="auto" w:fill="auto"/>
          </w:tcPr>
          <w:p w:rsidRPr="00BB2CE7" w:rsidR="00DB670B" w:rsidP="008A5BDD" w:rsidRDefault="00DB670B" w14:paraId="629EBA90" w14:textId="77777777">
            <w:pPr>
              <w:spacing w:line="240" w:lineRule="auto"/>
              <w:contextualSpacing/>
              <w:rPr>
                <w:rFonts w:cs="Calibri"/>
                <w:sz w:val="24"/>
                <w:lang w:val="es-CR" w:eastAsia="es-ES"/>
              </w:rPr>
            </w:pPr>
            <w:r w:rsidRPr="00BB2CE7">
              <w:rPr>
                <w:rFonts w:cs="Calibri"/>
                <w:sz w:val="24"/>
                <w:lang w:val="es-CR" w:eastAsia="es-ES"/>
              </w:rPr>
              <w:t>La función de gestión de riesgos posee herramientas automatizadas para ejecutar sus funciones y responsabilidades.</w:t>
            </w:r>
          </w:p>
        </w:tc>
      </w:tr>
      <w:tr w:rsidRPr="00BB2CE7" w:rsidR="00DB670B" w:rsidTr="008A5BDD" w14:paraId="21F9F7B7" w14:textId="77777777">
        <w:tc>
          <w:tcPr>
            <w:tcW w:w="5000" w:type="pct"/>
            <w:shd w:val="clear" w:color="auto" w:fill="9CC2E5" w:themeFill="accent1" w:themeFillTint="99"/>
          </w:tcPr>
          <w:p w:rsidRPr="00BB2CE7" w:rsidR="00DB670B" w:rsidP="008A5BDD" w:rsidRDefault="00DB670B" w14:paraId="77C37F5D" w14:textId="77777777">
            <w:pPr>
              <w:spacing w:line="240" w:lineRule="auto"/>
              <w:contextualSpacing/>
              <w:rPr>
                <w:sz w:val="24"/>
                <w:lang w:val="es-CR" w:eastAsia="es-ES"/>
              </w:rPr>
            </w:pPr>
            <w:r w:rsidRPr="00BB2CE7">
              <w:rPr>
                <w:rFonts w:cs="Calibri"/>
                <w:b/>
                <w:bCs/>
                <w:sz w:val="24"/>
                <w:lang w:val="es-CR" w:eastAsia="es-ES"/>
              </w:rPr>
              <w:t>Control</w:t>
            </w:r>
          </w:p>
        </w:tc>
      </w:tr>
      <w:tr w:rsidRPr="00BB2CE7" w:rsidR="00DB670B" w:rsidTr="008A5BDD" w14:paraId="72D98E2F" w14:textId="77777777">
        <w:tc>
          <w:tcPr>
            <w:tcW w:w="5000" w:type="pct"/>
            <w:tcBorders>
              <w:bottom w:val="single" w:color="auto" w:sz="4" w:space="0"/>
            </w:tcBorders>
            <w:shd w:val="clear" w:color="auto" w:fill="auto"/>
          </w:tcPr>
          <w:p w:rsidRPr="00BB2CE7" w:rsidR="00DB670B" w:rsidP="008A5BDD" w:rsidRDefault="00DB670B" w14:paraId="0DA0F4BC" w14:textId="77777777">
            <w:pPr>
              <w:spacing w:line="240" w:lineRule="auto"/>
              <w:contextualSpacing/>
              <w:rPr>
                <w:rFonts w:cs="Calibri"/>
                <w:sz w:val="24"/>
                <w:lang w:val="es-CR" w:eastAsia="es-ES"/>
              </w:rPr>
            </w:pPr>
            <w:r w:rsidRPr="00BB2CE7">
              <w:rPr>
                <w:rFonts w:cs="Calibri"/>
                <w:sz w:val="24"/>
                <w:lang w:val="es-CR" w:eastAsia="es-ES"/>
              </w:rPr>
              <w:t>La función de auditoría interna realiza evaluaciones de los procesos de gestión de riesgo a fin de garantizar su integridad, precisión y razonabilidad con una periodicidad y alcance adecuados.</w:t>
            </w:r>
          </w:p>
        </w:tc>
      </w:tr>
      <w:tr w:rsidRPr="00BB2CE7" w:rsidR="00DB670B" w:rsidTr="008A5BDD" w14:paraId="27DBB037" w14:textId="77777777">
        <w:tc>
          <w:tcPr>
            <w:tcW w:w="5000" w:type="pct"/>
            <w:shd w:val="clear" w:color="auto" w:fill="9CC2E5" w:themeFill="accent1" w:themeFillTint="99"/>
          </w:tcPr>
          <w:p w:rsidRPr="00BB2CE7" w:rsidR="00DB670B" w:rsidP="008A5BDD" w:rsidRDefault="00DB670B" w14:paraId="1F30A2A1" w14:textId="77777777">
            <w:pPr>
              <w:widowControl w:val="0"/>
              <w:spacing w:after="120" w:line="240" w:lineRule="auto"/>
              <w:ind w:left="-39"/>
              <w:contextualSpacing/>
              <w:rPr>
                <w:sz w:val="24"/>
                <w:lang w:val="es-CR" w:eastAsia="es-ES"/>
              </w:rPr>
            </w:pPr>
            <w:r w:rsidRPr="00BB2CE7">
              <w:rPr>
                <w:rFonts w:cs="Calibri"/>
                <w:b/>
                <w:bCs/>
                <w:sz w:val="24"/>
                <w:lang w:val="es-CR" w:eastAsia="es-ES"/>
              </w:rPr>
              <w:t>Sistema de Información Gerencial</w:t>
            </w:r>
          </w:p>
        </w:tc>
      </w:tr>
      <w:tr w:rsidRPr="00BB2CE7" w:rsidR="00DB670B" w:rsidTr="008A5BDD" w14:paraId="5B48E787" w14:textId="77777777">
        <w:tc>
          <w:tcPr>
            <w:tcW w:w="5000" w:type="pct"/>
            <w:shd w:val="clear" w:color="auto" w:fill="auto"/>
          </w:tcPr>
          <w:p w:rsidRPr="00BB2CE7" w:rsidR="00DB670B" w:rsidP="008A5BDD" w:rsidRDefault="00DB670B" w14:paraId="3203EA86" w14:textId="77777777">
            <w:pPr>
              <w:spacing w:line="240" w:lineRule="auto"/>
              <w:contextualSpacing/>
              <w:rPr>
                <w:rFonts w:cs="Calibri"/>
                <w:sz w:val="24"/>
                <w:lang w:val="es-CR" w:eastAsia="es-ES"/>
              </w:rPr>
            </w:pPr>
            <w:r w:rsidRPr="00BB2CE7">
              <w:rPr>
                <w:rFonts w:cs="Calibri"/>
                <w:sz w:val="24"/>
                <w:lang w:val="es-CR" w:eastAsia="es-ES"/>
              </w:rPr>
              <w:t xml:space="preserve"> La función de gestión de riesgos cuenta con sistemas de información para la gestión de los riesgos y para el reporte permanente y formal con los órganos tomadores de decisiones de manera oportuna, completa y comprensible, que alerte sobre los factores de riesgos a que está expuesta la entidad. </w:t>
            </w:r>
          </w:p>
        </w:tc>
      </w:tr>
      <w:tr w:rsidRPr="00BB2CE7" w:rsidR="00DB670B" w:rsidTr="008A5BDD" w14:paraId="36E4F36C" w14:textId="77777777">
        <w:tc>
          <w:tcPr>
            <w:tcW w:w="5000" w:type="pct"/>
            <w:tcBorders>
              <w:bottom w:val="single" w:color="auto" w:sz="4" w:space="0"/>
            </w:tcBorders>
            <w:shd w:val="clear" w:color="auto" w:fill="auto"/>
          </w:tcPr>
          <w:p w:rsidRPr="00BB2CE7" w:rsidR="00DB670B" w:rsidP="008A5BDD" w:rsidRDefault="00DB670B" w14:paraId="16E6FF83" w14:textId="77777777">
            <w:pPr>
              <w:spacing w:line="240" w:lineRule="auto"/>
              <w:contextualSpacing/>
              <w:rPr>
                <w:rFonts w:cs="Calibri"/>
                <w:sz w:val="24"/>
                <w:lang w:val="es-CR" w:eastAsia="es-ES"/>
              </w:rPr>
            </w:pPr>
            <w:r w:rsidRPr="00BB2CE7">
              <w:rPr>
                <w:rFonts w:cs="Calibri"/>
                <w:sz w:val="24"/>
                <w:lang w:val="es-CR" w:eastAsia="es-ES"/>
              </w:rPr>
              <w:t>La función de gestión riesgos dispone de prácticas de divulgación de información al Órgano de Dirección y a la Alta Gerencia sobre el nivel de riesgo y naturaleza de las operaciones.</w:t>
            </w:r>
          </w:p>
        </w:tc>
      </w:tr>
      <w:tr w:rsidRPr="00BB2CE7" w:rsidR="00DB670B" w:rsidTr="008A5BDD" w14:paraId="2F613A00" w14:textId="77777777">
        <w:tc>
          <w:tcPr>
            <w:tcW w:w="5000" w:type="pct"/>
            <w:shd w:val="clear" w:color="auto" w:fill="9CC2E5" w:themeFill="accent1" w:themeFillTint="99"/>
          </w:tcPr>
          <w:p w:rsidRPr="00BB2CE7" w:rsidR="00DB670B" w:rsidP="008A5BDD" w:rsidRDefault="00DB670B" w14:paraId="085B3DDF" w14:textId="77777777">
            <w:pPr>
              <w:keepNext/>
              <w:spacing w:line="240" w:lineRule="auto"/>
              <w:contextualSpacing/>
              <w:rPr>
                <w:sz w:val="24"/>
                <w:lang w:val="es-CR" w:eastAsia="es-ES"/>
              </w:rPr>
            </w:pPr>
            <w:r w:rsidRPr="00BB2CE7">
              <w:rPr>
                <w:rFonts w:cs="Calibri"/>
                <w:b/>
                <w:bCs/>
                <w:sz w:val="24"/>
                <w:lang w:val="es-CR" w:eastAsia="es-ES"/>
              </w:rPr>
              <w:t>Compensación o remuneración</w:t>
            </w:r>
          </w:p>
        </w:tc>
      </w:tr>
      <w:tr w:rsidRPr="00BB2CE7" w:rsidR="00DB670B" w:rsidTr="008A5BDD" w14:paraId="18BD82B4" w14:textId="77777777">
        <w:tc>
          <w:tcPr>
            <w:tcW w:w="5000" w:type="pct"/>
            <w:tcBorders>
              <w:bottom w:val="single" w:color="auto" w:sz="4" w:space="0"/>
            </w:tcBorders>
            <w:shd w:val="clear" w:color="auto" w:fill="auto"/>
          </w:tcPr>
          <w:p w:rsidRPr="00BB2CE7" w:rsidR="00DB670B" w:rsidP="008A5BDD" w:rsidRDefault="00DB670B" w14:paraId="3FFAEF5C" w14:textId="77777777">
            <w:pPr>
              <w:keepNext/>
              <w:spacing w:line="240" w:lineRule="auto"/>
              <w:contextualSpacing/>
              <w:rPr>
                <w:rFonts w:cs="Calibri"/>
                <w:sz w:val="24"/>
                <w:lang w:val="es-CR" w:eastAsia="es-ES"/>
              </w:rPr>
            </w:pPr>
            <w:r w:rsidRPr="00BB2CE7">
              <w:rPr>
                <w:rFonts w:cs="Calibri"/>
                <w:sz w:val="24"/>
                <w:lang w:val="es-CR" w:eastAsia="es-ES"/>
              </w:rPr>
              <w:t>Existe un sistema de remuneración del personal de la función de gestión de riesgos, desligado de los resultados del negocio, alineado a las políticas de riesgo establecidas y su evaluación según el horizonte de riesgo de la entidad.</w:t>
            </w:r>
          </w:p>
        </w:tc>
      </w:tr>
      <w:tr w:rsidRPr="00BB2CE7" w:rsidR="00DB670B" w:rsidTr="008A5BDD" w14:paraId="2F8B8855" w14:textId="77777777">
        <w:tc>
          <w:tcPr>
            <w:tcW w:w="5000" w:type="pct"/>
            <w:shd w:val="clear" w:color="auto" w:fill="9CC2E5" w:themeFill="accent1" w:themeFillTint="99"/>
          </w:tcPr>
          <w:p w:rsidRPr="00BB2CE7" w:rsidR="00DB670B" w:rsidP="008A5BDD" w:rsidRDefault="00DB670B" w14:paraId="394BE48B" w14:textId="77777777">
            <w:pPr>
              <w:widowControl w:val="0"/>
              <w:spacing w:after="120" w:line="240" w:lineRule="auto"/>
              <w:ind w:left="-39"/>
              <w:contextualSpacing/>
              <w:rPr>
                <w:b/>
                <w:bCs/>
                <w:color w:val="4472C4"/>
                <w:sz w:val="24"/>
                <w:u w:val="single"/>
                <w:lang w:val="es-CR" w:eastAsia="es-ES"/>
              </w:rPr>
            </w:pPr>
            <w:r w:rsidRPr="00BB2CE7">
              <w:rPr>
                <w:rFonts w:cs="Calibri"/>
                <w:b/>
                <w:bCs/>
                <w:sz w:val="24"/>
                <w:lang w:val="es-CR" w:eastAsia="es-ES"/>
              </w:rPr>
              <w:t>Tecnología de Información</w:t>
            </w:r>
          </w:p>
        </w:tc>
      </w:tr>
      <w:tr w:rsidRPr="00BB2CE7" w:rsidR="00DB670B" w:rsidTr="008A5BDD" w14:paraId="3E750780" w14:textId="77777777">
        <w:tc>
          <w:tcPr>
            <w:tcW w:w="5000" w:type="pct"/>
            <w:shd w:val="clear" w:color="auto" w:fill="auto"/>
          </w:tcPr>
          <w:p w:rsidRPr="00BB2CE7" w:rsidR="00DB670B" w:rsidP="008A5BDD" w:rsidRDefault="00DB670B" w14:paraId="16F9E492" w14:textId="77777777">
            <w:pPr>
              <w:spacing w:line="240" w:lineRule="auto"/>
              <w:contextualSpacing/>
              <w:rPr>
                <w:rFonts w:cs="Calibri"/>
                <w:sz w:val="24"/>
                <w:lang w:val="es-CR" w:eastAsia="es-ES"/>
              </w:rPr>
            </w:pPr>
            <w:r w:rsidRPr="00BB2CE7">
              <w:rPr>
                <w:rFonts w:cs="Calibri"/>
                <w:sz w:val="24"/>
                <w:lang w:val="es-CR" w:eastAsia="es-ES"/>
              </w:rPr>
              <w:lastRenderedPageBreak/>
              <w:t>La estructura de gobierno de TI de la entidad es adecuada respecto a las actividades y propósitos orientados a la generación de valor, a la consecución de beneficios acordes con los niveles de riesgo y al uso óptimo de los recursos de las tecnologías de la información.</w:t>
            </w:r>
          </w:p>
          <w:p w:rsidRPr="00BB2CE7" w:rsidR="00DB670B" w:rsidP="008A5BDD" w:rsidRDefault="00DB670B" w14:paraId="0BC277A7" w14:textId="77777777">
            <w:pPr>
              <w:spacing w:line="240" w:lineRule="auto"/>
              <w:contextualSpacing/>
              <w:rPr>
                <w:rFonts w:cs="Calibri"/>
                <w:sz w:val="24"/>
                <w:lang w:val="es-CR" w:eastAsia="es-ES"/>
              </w:rPr>
            </w:pPr>
            <w:r w:rsidRPr="00BB2CE7">
              <w:rPr>
                <w:rFonts w:cs="Calibri"/>
                <w:sz w:val="24"/>
                <w:lang w:val="es-CR" w:eastAsia="es-ES"/>
              </w:rPr>
              <w:t>La entidad cuenta con políticas y procedimientos para evitar o mitigar los riesgos operacionales de TI que considera más relevantes. Las medidas adoptadas para evitar su ocurrencia son proporcionales a la magnitud de ellos.</w:t>
            </w:r>
          </w:p>
        </w:tc>
      </w:tr>
    </w:tbl>
    <w:p w:rsidRPr="00BB2CE7" w:rsidR="00DB670B" w:rsidP="00DB670B" w:rsidRDefault="00DB670B" w14:paraId="2AAD9E6E" w14:textId="77777777">
      <w:pPr>
        <w:spacing w:line="240" w:lineRule="auto"/>
        <w:ind w:left="360"/>
        <w:contextualSpacing/>
        <w:rPr>
          <w:rFonts w:eastAsia="Calibri" w:cs="Calibri"/>
          <w:sz w:val="24"/>
          <w:lang w:val="es-CO"/>
        </w:rPr>
      </w:pPr>
    </w:p>
    <w:p w:rsidRPr="00BB2CE7" w:rsidR="00DB670B" w:rsidP="00DB670B" w:rsidRDefault="00DB670B" w14:paraId="61A3AF23" w14:textId="77777777">
      <w:pPr>
        <w:keepNext/>
        <w:keepLines/>
        <w:numPr>
          <w:ilvl w:val="0"/>
          <w:numId w:val="19"/>
        </w:numPr>
        <w:spacing w:before="40" w:after="240" w:line="240" w:lineRule="auto"/>
        <w:contextualSpacing/>
        <w:outlineLvl w:val="1"/>
        <w:rPr>
          <w:b/>
          <w:color w:val="000000"/>
          <w:sz w:val="24"/>
          <w:lang w:val="es-CR" w:eastAsia="es-CR"/>
        </w:rPr>
      </w:pPr>
      <w:bookmarkStart w:name="_Toc99545465" w:id="15"/>
      <w:bookmarkStart w:name="_Toc103279732" w:id="16"/>
      <w:r w:rsidRPr="00BB2CE7">
        <w:rPr>
          <w:b/>
          <w:bCs/>
          <w:sz w:val="24"/>
          <w:lang w:val="es-CR" w:eastAsia="es-CR"/>
        </w:rPr>
        <w:t>El desempeño de la gestión de riesgos</w:t>
      </w:r>
      <w:bookmarkEnd w:id="15"/>
      <w:bookmarkEnd w:id="16"/>
    </w:p>
    <w:p w:rsidR="00DB670B" w:rsidP="00DB670B" w:rsidRDefault="00DB670B" w14:paraId="5F82AF00" w14:textId="77777777">
      <w:pPr>
        <w:widowControl w:val="0"/>
        <w:spacing w:after="120" w:line="240" w:lineRule="auto"/>
        <w:contextualSpacing/>
        <w:rPr>
          <w:sz w:val="24"/>
          <w:lang w:val="es-CR" w:eastAsia="es-ES"/>
        </w:rPr>
      </w:pPr>
      <w:r w:rsidRPr="00BB2CE7">
        <w:rPr>
          <w:sz w:val="24"/>
          <w:lang w:val="es-CR" w:eastAsia="es-ES"/>
        </w:rPr>
        <w:t>La evaluación de la efectividad de la gestión de riesgos considera la opinión que el supervisor se forme a partir de las consideraciones generales y los elementos y criterios de evaluación antes señalados. Asimismo, en su análisis considera la calidad del desempeño de la gestión de riesgos, según se demuestra mediante sus propios análisis e informes de los resultados operacionales y financieros que apoyan la toma de decisiones de la Alta Gerencia, el Órgano de Dirección y el Comité de Riesgos.</w:t>
      </w:r>
    </w:p>
    <w:p w:rsidRPr="00BB2CE7" w:rsidR="00DB670B" w:rsidP="00DB670B" w:rsidRDefault="00DB670B" w14:paraId="3380724F" w14:textId="77777777">
      <w:pPr>
        <w:widowControl w:val="0"/>
        <w:spacing w:after="120" w:line="240" w:lineRule="auto"/>
        <w:contextualSpacing/>
        <w:rPr>
          <w:sz w:val="24"/>
          <w:lang w:val="es-CR" w:eastAsia="es-ES"/>
        </w:rPr>
      </w:pPr>
    </w:p>
    <w:p w:rsidR="00DB670B" w:rsidP="00DB670B" w:rsidRDefault="00DB670B" w14:paraId="61AE1C56" w14:textId="77777777">
      <w:pPr>
        <w:widowControl w:val="0"/>
        <w:spacing w:after="120" w:line="240" w:lineRule="auto"/>
        <w:contextualSpacing/>
        <w:rPr>
          <w:sz w:val="24"/>
          <w:lang w:val="es-CR" w:eastAsia="es-ES"/>
        </w:rPr>
      </w:pPr>
      <w:r w:rsidRPr="00BB2CE7">
        <w:rPr>
          <w:sz w:val="24"/>
          <w:lang w:val="es-CR" w:eastAsia="es-ES"/>
        </w:rPr>
        <w:t>También, el supervisor considera elementos de carácter cualitativo, asociados al desempeño, para guiar su juicio en la realización de las actividades de supervisión.  Estas actividades pueden incluir: discusiones y reuniones con los miembros del Órgano de Dirección, la Alta Gerencia y el responsable de la función de riesgo; evaluación de las prácticas de gestión de riesgos, y análisis de brechas en límites aprobados, informes de las evaluaciones independientes realizadas (tales como auditores internos y externos), revisión de las actas del Comité de Riesgos, Órgano de Dirección entre otra información suministrada.</w:t>
      </w:r>
    </w:p>
    <w:p w:rsidRPr="00BB2CE7" w:rsidR="00DB670B" w:rsidP="00DB670B" w:rsidRDefault="00DB670B" w14:paraId="6F81EEB3" w14:textId="77777777">
      <w:pPr>
        <w:widowControl w:val="0"/>
        <w:spacing w:after="120" w:line="240" w:lineRule="auto"/>
        <w:contextualSpacing/>
        <w:rPr>
          <w:bCs/>
          <w:strike/>
          <w:color w:val="2F5496"/>
          <w:sz w:val="24"/>
          <w:lang w:val="es-CR" w:eastAsia="es-ES"/>
        </w:rPr>
      </w:pPr>
    </w:p>
    <w:p w:rsidR="00DB670B" w:rsidP="00DB670B" w:rsidRDefault="00DB670B" w14:paraId="66AF3299" w14:textId="77777777">
      <w:pPr>
        <w:widowControl w:val="0"/>
        <w:spacing w:after="120" w:line="240" w:lineRule="auto"/>
        <w:contextualSpacing/>
        <w:rPr>
          <w:sz w:val="24"/>
          <w:lang w:val="es-CR" w:eastAsia="es-ES"/>
        </w:rPr>
      </w:pPr>
      <w:r w:rsidRPr="00BB2CE7">
        <w:rPr>
          <w:sz w:val="24"/>
          <w:lang w:val="es-CR" w:eastAsia="es-ES"/>
        </w:rPr>
        <w:t>La calidad del desempeño de la gestión de riesgos se demuestra por su efectividad al supervisar la identificación y gestión de riesgos y proporcionar de manera independiente análisis e informes respecto de los riesgos asumidos por la entidad y cómo son presentados al Órgano de Dirección, Alta Gerencia y Comité de Riesgos, para su consideración en la toma de decisiones de negocios.</w:t>
      </w:r>
    </w:p>
    <w:p w:rsidRPr="00BB2CE7" w:rsidR="00DB670B" w:rsidP="00DB670B" w:rsidRDefault="00DB670B" w14:paraId="6A35153C" w14:textId="77777777">
      <w:pPr>
        <w:widowControl w:val="0"/>
        <w:spacing w:after="120" w:line="240" w:lineRule="auto"/>
        <w:contextualSpacing/>
        <w:rPr>
          <w:sz w:val="24"/>
          <w:u w:val="single"/>
          <w:lang w:val="es-CR" w:eastAsia="es-ES"/>
        </w:rPr>
      </w:pPr>
    </w:p>
    <w:p w:rsidRPr="00BB2CE7" w:rsidR="00DB670B" w:rsidP="00DB670B" w:rsidRDefault="00DB670B" w14:paraId="117C9017" w14:textId="77777777">
      <w:pPr>
        <w:widowControl w:val="0"/>
        <w:spacing w:after="120" w:line="240" w:lineRule="auto"/>
        <w:contextualSpacing/>
        <w:rPr>
          <w:strike/>
          <w:color w:val="2F5496"/>
          <w:sz w:val="24"/>
          <w:lang w:val="es-CR" w:eastAsia="es-ES"/>
        </w:rPr>
      </w:pPr>
      <w:r w:rsidRPr="00BB2CE7">
        <w:rPr>
          <w:sz w:val="24"/>
          <w:lang w:val="es-CR" w:eastAsia="es-ES"/>
        </w:rPr>
        <w:t>La evaluación considerará la efectividad con la que esta función anticipa, identifica, mide y supervisa la gestión de aquellos riesgos en un entorno dinámico dentro de los límites de apetito establecidos por el Órgano de Dirección.</w:t>
      </w:r>
    </w:p>
    <w:p w:rsidRPr="00BB2CE7" w:rsidR="00DB670B" w:rsidP="00DB670B" w:rsidRDefault="00DB670B" w14:paraId="72B08E68" w14:textId="77777777">
      <w:pPr>
        <w:spacing w:line="240" w:lineRule="auto"/>
        <w:ind w:left="360"/>
        <w:contextualSpacing/>
        <w:rPr>
          <w:rFonts w:eastAsia="Calibri" w:cs="Calibri"/>
          <w:sz w:val="24"/>
          <w:lang w:val="es-CO"/>
        </w:rPr>
      </w:pPr>
    </w:p>
    <w:p w:rsidRPr="00BB2CE7" w:rsidR="00DB670B" w:rsidP="00DB670B" w:rsidRDefault="00DB670B" w14:paraId="7A5413A1" w14:textId="77777777">
      <w:pPr>
        <w:keepNext/>
        <w:keepLines/>
        <w:numPr>
          <w:ilvl w:val="0"/>
          <w:numId w:val="29"/>
        </w:numPr>
        <w:spacing w:after="240" w:line="240" w:lineRule="auto"/>
        <w:ind w:right="4"/>
        <w:contextualSpacing/>
        <w:outlineLvl w:val="0"/>
        <w:rPr>
          <w:b/>
          <w:strike/>
          <w:sz w:val="24"/>
          <w:lang w:val="es-CR" w:eastAsia="es-CR"/>
        </w:rPr>
      </w:pPr>
      <w:bookmarkStart w:name="_Toc99545466" w:id="17"/>
      <w:bookmarkStart w:name="_Toc103279733" w:id="18"/>
      <w:r w:rsidRPr="00BB2CE7">
        <w:rPr>
          <w:b/>
          <w:sz w:val="24"/>
          <w:lang w:val="es-CR" w:eastAsia="es-CR"/>
        </w:rPr>
        <w:t>Evaluación de la Situación Económica Financiera</w:t>
      </w:r>
      <w:bookmarkEnd w:id="17"/>
      <w:bookmarkEnd w:id="18"/>
    </w:p>
    <w:p w:rsidRPr="00BB2CE7" w:rsidR="00DB670B" w:rsidP="00DB670B" w:rsidRDefault="00DB670B" w14:paraId="0681FE67" w14:textId="77777777">
      <w:pPr>
        <w:keepNext/>
        <w:keepLines/>
        <w:spacing w:after="240" w:line="240" w:lineRule="auto"/>
        <w:ind w:left="720" w:right="4"/>
        <w:contextualSpacing/>
        <w:outlineLvl w:val="0"/>
        <w:rPr>
          <w:b/>
          <w:strike/>
          <w:sz w:val="24"/>
          <w:lang w:val="es-CR" w:eastAsia="es-CR"/>
        </w:rPr>
      </w:pPr>
    </w:p>
    <w:p w:rsidR="00DB670B" w:rsidP="00DB670B" w:rsidRDefault="00DB670B" w14:paraId="44097316" w14:textId="77777777">
      <w:pPr>
        <w:spacing w:after="120" w:line="240" w:lineRule="auto"/>
        <w:contextualSpacing/>
        <w:rPr>
          <w:sz w:val="24"/>
          <w:lang w:val="es-CR" w:eastAsia="es-ES"/>
        </w:rPr>
      </w:pPr>
      <w:r w:rsidRPr="00BB2CE7">
        <w:rPr>
          <w:b/>
          <w:sz w:val="24"/>
          <w:lang w:val="es-CR" w:eastAsia="es-ES"/>
        </w:rPr>
        <w:t>Objetivo</w:t>
      </w:r>
      <w:r w:rsidRPr="00BB2CE7">
        <w:rPr>
          <w:sz w:val="24"/>
          <w:lang w:val="es-CR" w:eastAsia="es-ES"/>
        </w:rPr>
        <w:t xml:space="preserve">: Exponer la expectativa de SUGEF sobre la evaluación de la situación económica y financiera de una entidad. </w:t>
      </w:r>
    </w:p>
    <w:p w:rsidRPr="00BB2CE7" w:rsidR="00DB670B" w:rsidP="00DB670B" w:rsidRDefault="00DB670B" w14:paraId="3990D947" w14:textId="77777777">
      <w:pPr>
        <w:spacing w:after="120" w:line="240" w:lineRule="auto"/>
        <w:contextualSpacing/>
        <w:rPr>
          <w:strike/>
          <w:sz w:val="24"/>
          <w:lang w:val="es-CR" w:eastAsia="es-ES"/>
        </w:rPr>
      </w:pPr>
    </w:p>
    <w:p w:rsidRPr="00BB2CE7" w:rsidR="00DB670B" w:rsidP="00DB670B" w:rsidRDefault="00DB670B" w14:paraId="04EC3ACF" w14:textId="77777777">
      <w:pPr>
        <w:keepNext/>
        <w:keepLines/>
        <w:numPr>
          <w:ilvl w:val="0"/>
          <w:numId w:val="28"/>
        </w:numPr>
        <w:spacing w:after="120" w:line="240" w:lineRule="auto"/>
        <w:contextualSpacing/>
        <w:outlineLvl w:val="1"/>
        <w:rPr>
          <w:b/>
          <w:strike/>
          <w:color w:val="000000"/>
          <w:sz w:val="24"/>
          <w:lang w:val="es-CR" w:eastAsia="es-CR"/>
        </w:rPr>
      </w:pPr>
      <w:bookmarkStart w:name="_Toc99545467" w:id="19"/>
      <w:bookmarkStart w:name="_Toc103279734" w:id="20"/>
      <w:r w:rsidRPr="00BB2CE7">
        <w:rPr>
          <w:b/>
          <w:bCs/>
          <w:sz w:val="24"/>
          <w:lang w:val="es-CR" w:eastAsia="es-CR"/>
        </w:rPr>
        <w:t>Consideraciones Generales.</w:t>
      </w:r>
      <w:bookmarkEnd w:id="19"/>
      <w:bookmarkEnd w:id="20"/>
    </w:p>
    <w:p w:rsidRPr="00BB2CE7" w:rsidR="00DB670B" w:rsidP="00DB670B" w:rsidRDefault="00DB670B" w14:paraId="7598CBA5" w14:textId="77777777">
      <w:pPr>
        <w:spacing w:after="120" w:line="240" w:lineRule="auto"/>
        <w:contextualSpacing/>
        <w:rPr>
          <w:sz w:val="24"/>
          <w:lang w:val="es-CR" w:eastAsia="es-ES"/>
        </w:rPr>
      </w:pPr>
      <w:r w:rsidRPr="00BB2CE7">
        <w:rPr>
          <w:sz w:val="24"/>
          <w:lang w:val="es-CR" w:eastAsia="es-ES"/>
        </w:rPr>
        <w:t xml:space="preserve">La evaluación de la situación económico-financiera de una entidad permite establecer su grado de solidez para enfrentar situaciones adversas. Los elementos de la evaluación económico-financiera son: </w:t>
      </w:r>
    </w:p>
    <w:p w:rsidRPr="00BB2CE7" w:rsidR="00DB670B" w:rsidP="00DB670B" w:rsidRDefault="00DB670B" w14:paraId="01C97ED8" w14:textId="77777777">
      <w:pPr>
        <w:numPr>
          <w:ilvl w:val="0"/>
          <w:numId w:val="20"/>
        </w:numPr>
        <w:spacing w:after="120" w:line="240" w:lineRule="auto"/>
        <w:ind w:left="382"/>
        <w:contextualSpacing/>
        <w:rPr>
          <w:sz w:val="24"/>
          <w:lang w:eastAsia="es-ES"/>
        </w:rPr>
      </w:pPr>
      <w:r w:rsidRPr="00BB2CE7">
        <w:rPr>
          <w:sz w:val="24"/>
          <w:lang w:eastAsia="es-ES"/>
        </w:rPr>
        <w:lastRenderedPageBreak/>
        <w:t xml:space="preserve">Gestión del Capital. </w:t>
      </w:r>
    </w:p>
    <w:p w:rsidRPr="00BB2CE7" w:rsidR="00DB670B" w:rsidP="00DB670B" w:rsidRDefault="00DB670B" w14:paraId="2A13C85C" w14:textId="77777777">
      <w:pPr>
        <w:numPr>
          <w:ilvl w:val="0"/>
          <w:numId w:val="20"/>
        </w:numPr>
        <w:spacing w:after="120" w:line="240" w:lineRule="auto"/>
        <w:ind w:left="382"/>
        <w:contextualSpacing/>
        <w:rPr>
          <w:sz w:val="24"/>
          <w:lang w:eastAsia="es-ES"/>
        </w:rPr>
      </w:pPr>
      <w:r w:rsidRPr="00BB2CE7">
        <w:rPr>
          <w:sz w:val="24"/>
          <w:lang w:eastAsia="es-ES"/>
        </w:rPr>
        <w:t>Evaluación de las Utilidades o Excedentes.</w:t>
      </w:r>
    </w:p>
    <w:p w:rsidRPr="00BB2CE7" w:rsidR="00DB670B" w:rsidP="00DB670B" w:rsidRDefault="00DB670B" w14:paraId="53FA4B7D" w14:textId="77777777">
      <w:pPr>
        <w:numPr>
          <w:ilvl w:val="0"/>
          <w:numId w:val="20"/>
        </w:numPr>
        <w:spacing w:after="120" w:line="240" w:lineRule="auto"/>
        <w:ind w:left="382"/>
        <w:contextualSpacing/>
        <w:rPr>
          <w:sz w:val="24"/>
          <w:lang w:eastAsia="es-ES"/>
        </w:rPr>
      </w:pPr>
      <w:r w:rsidRPr="00BB2CE7">
        <w:rPr>
          <w:sz w:val="24"/>
          <w:lang w:eastAsia="es-ES"/>
        </w:rPr>
        <w:t xml:space="preserve">Gestión de la Liquidez. </w:t>
      </w:r>
    </w:p>
    <w:p w:rsidRPr="00BB2CE7" w:rsidR="00DB670B" w:rsidP="00DB670B" w:rsidRDefault="00DB670B" w14:paraId="442ED1A0" w14:textId="77777777">
      <w:pPr>
        <w:numPr>
          <w:ilvl w:val="0"/>
          <w:numId w:val="20"/>
        </w:numPr>
        <w:spacing w:after="120" w:line="240" w:lineRule="auto"/>
        <w:ind w:left="382"/>
        <w:contextualSpacing/>
        <w:rPr>
          <w:strike/>
          <w:sz w:val="24"/>
          <w:lang w:eastAsia="es-ES"/>
        </w:rPr>
      </w:pPr>
      <w:r w:rsidRPr="00BB2CE7">
        <w:rPr>
          <w:sz w:val="24"/>
          <w:lang w:eastAsia="es-ES"/>
        </w:rPr>
        <w:t xml:space="preserve">Calidad de los Activos. </w:t>
      </w:r>
    </w:p>
    <w:p w:rsidRPr="00BB2CE7" w:rsidR="00DB670B" w:rsidP="00DB670B" w:rsidRDefault="00DB670B" w14:paraId="532CD173" w14:textId="77777777">
      <w:pPr>
        <w:spacing w:after="120" w:line="240" w:lineRule="auto"/>
        <w:ind w:left="382"/>
        <w:contextualSpacing/>
        <w:rPr>
          <w:strike/>
          <w:sz w:val="24"/>
          <w:lang w:eastAsia="es-ES"/>
        </w:rPr>
      </w:pPr>
    </w:p>
    <w:p w:rsidRPr="008E5E2F" w:rsidR="00DB670B" w:rsidP="00DB670B" w:rsidRDefault="00DB670B" w14:paraId="796BF8F3" w14:textId="77777777">
      <w:pPr>
        <w:pStyle w:val="Prrafodelista"/>
        <w:widowControl w:val="0"/>
        <w:numPr>
          <w:ilvl w:val="0"/>
          <w:numId w:val="30"/>
        </w:numPr>
        <w:spacing w:after="120" w:line="240" w:lineRule="auto"/>
        <w:ind w:right="4"/>
        <w:rPr>
          <w:b/>
          <w:bCs/>
          <w:strike/>
          <w:sz w:val="24"/>
          <w:lang w:val="es-CR" w:eastAsia="es-ES"/>
        </w:rPr>
      </w:pPr>
      <w:r w:rsidRPr="008E5E2F">
        <w:rPr>
          <w:b/>
          <w:bCs/>
          <w:sz w:val="24"/>
          <w:lang w:val="es-CO" w:eastAsia="es-ES"/>
        </w:rPr>
        <w:t>Gestión del Capital</w:t>
      </w:r>
    </w:p>
    <w:p w:rsidR="00DB670B" w:rsidP="00DB670B" w:rsidRDefault="00DB670B" w14:paraId="3E3A69C1" w14:textId="77777777">
      <w:pPr>
        <w:widowControl w:val="0"/>
        <w:spacing w:after="120" w:line="240" w:lineRule="auto"/>
        <w:ind w:right="4"/>
        <w:contextualSpacing/>
        <w:rPr>
          <w:sz w:val="24"/>
          <w:lang w:val="es-CO" w:eastAsia="es-ES"/>
        </w:rPr>
      </w:pPr>
      <w:r w:rsidRPr="00BB2CE7">
        <w:rPr>
          <w:sz w:val="24"/>
          <w:lang w:val="es-CO" w:eastAsia="es-ES"/>
        </w:rPr>
        <w:t>El capital es una fuente de soporte financiero que protege a una entidad de pérdidas inesperadas, y es, por lo tanto, es un elemento clave para su seguridad y solvencia.  A su vez, la gestión de capital es el proceso continuo de acumulación, asignación a riesgos y mantenimiento del capital, en niveles suficientes para soportar los riesgos asumidos y potenciales, y el plan de negocios de la entidad, de forma consistente con su apetito y tolerancia al riesgo. Para una entidad compleja, esa gestión incluye la asignación del capital a sus diferentes actividades, reconociendo su exposición al riesgo. De esta forma, la evaluación del capital considera la naturaleza, tamaño, complejidad y perfil de riesgo de la entidad.</w:t>
      </w:r>
    </w:p>
    <w:p w:rsidRPr="00BB2CE7" w:rsidR="00DB670B" w:rsidP="00DB670B" w:rsidRDefault="00DB670B" w14:paraId="61F7E51B" w14:textId="77777777">
      <w:pPr>
        <w:widowControl w:val="0"/>
        <w:spacing w:after="120" w:line="240" w:lineRule="auto"/>
        <w:ind w:right="4"/>
        <w:contextualSpacing/>
        <w:rPr>
          <w:sz w:val="24"/>
          <w:lang w:val="es-CO" w:eastAsia="es-ES"/>
        </w:rPr>
      </w:pPr>
    </w:p>
    <w:p w:rsidR="00DB670B" w:rsidP="00DB670B" w:rsidRDefault="00DB670B" w14:paraId="7E1D2E65" w14:textId="77777777">
      <w:pPr>
        <w:widowControl w:val="0"/>
        <w:spacing w:after="120" w:line="240" w:lineRule="auto"/>
        <w:ind w:right="4"/>
        <w:contextualSpacing/>
        <w:rPr>
          <w:sz w:val="24"/>
          <w:lang w:val="es-CR" w:eastAsia="es-ES"/>
        </w:rPr>
      </w:pPr>
      <w:r w:rsidRPr="00BB2CE7">
        <w:rPr>
          <w:sz w:val="24"/>
          <w:lang w:val="es-CR" w:eastAsia="es-ES"/>
        </w:rPr>
        <w:t>En la evaluación de la calidad de la gestión del capital también se valora si la entidad posee el capital adecuado de acuerdo con el perfil de riesgos asumido.</w:t>
      </w:r>
    </w:p>
    <w:p w:rsidRPr="00BB2CE7" w:rsidR="00DB670B" w:rsidP="00DB670B" w:rsidRDefault="00DB670B" w14:paraId="4089E6FB" w14:textId="77777777">
      <w:pPr>
        <w:widowControl w:val="0"/>
        <w:spacing w:after="120" w:line="240" w:lineRule="auto"/>
        <w:ind w:right="4"/>
        <w:contextualSpacing/>
        <w:rPr>
          <w:sz w:val="24"/>
          <w:lang w:val="es-CO" w:eastAsia="es-ES"/>
        </w:rPr>
      </w:pPr>
    </w:p>
    <w:p w:rsidR="00DB670B" w:rsidP="00DB670B" w:rsidRDefault="00DB670B" w14:paraId="056F02A1" w14:textId="77777777">
      <w:pPr>
        <w:widowControl w:val="0"/>
        <w:spacing w:after="120" w:line="240" w:lineRule="auto"/>
        <w:ind w:right="4"/>
        <w:contextualSpacing/>
        <w:rPr>
          <w:sz w:val="24"/>
          <w:lang w:val="es-CO" w:eastAsia="es-ES"/>
        </w:rPr>
      </w:pPr>
      <w:r w:rsidRPr="00BB2CE7">
        <w:rPr>
          <w:sz w:val="24"/>
          <w:lang w:val="es-CO" w:eastAsia="es-ES"/>
        </w:rPr>
        <w:t>La suficiencia patrimonial del grupo o conglomerado financiero es esencial en el marco de una supervisión basada en riesgos; complementa la visión del supervisor sobre los riesgos en torno a la entidad supervisada integrante de dicho grupo o conglomerado financiero. Asimismo, la suficiencia patrimonial de grupos y conglomerados financieros adquiere relevancia en el caso de entidades supervisadas que a la vez actúan como controladoras de grupos o conglomerados financieros, debido a que su patrimonio no solo responde por los riesgos propios del negocio de intermediación financiera, sino, además, por los riesgos del conjunto de entidades y empresas que integran el grupo o conglomerado financiero.</w:t>
      </w:r>
    </w:p>
    <w:p w:rsidRPr="00BB2CE7" w:rsidR="00DB670B" w:rsidP="00DB670B" w:rsidRDefault="00DB670B" w14:paraId="0EC48CFE" w14:textId="77777777">
      <w:pPr>
        <w:widowControl w:val="0"/>
        <w:spacing w:after="120" w:line="240" w:lineRule="auto"/>
        <w:ind w:right="4"/>
        <w:contextualSpacing/>
        <w:rPr>
          <w:sz w:val="24"/>
          <w:lang w:val="es-CO" w:eastAsia="es-ES"/>
        </w:rPr>
      </w:pPr>
    </w:p>
    <w:p w:rsidRPr="008E5E2F" w:rsidR="00DB670B" w:rsidP="00DB670B" w:rsidRDefault="00DB670B" w14:paraId="2561B016" w14:textId="77777777">
      <w:pPr>
        <w:pStyle w:val="Prrafodelista"/>
        <w:widowControl w:val="0"/>
        <w:numPr>
          <w:ilvl w:val="0"/>
          <w:numId w:val="30"/>
        </w:numPr>
        <w:spacing w:after="120" w:line="240" w:lineRule="auto"/>
        <w:ind w:right="4"/>
        <w:rPr>
          <w:b/>
          <w:bCs/>
          <w:sz w:val="24"/>
          <w:lang w:val="es-CO" w:eastAsia="es-ES"/>
        </w:rPr>
      </w:pPr>
      <w:r w:rsidRPr="008E5E2F">
        <w:rPr>
          <w:b/>
          <w:bCs/>
          <w:sz w:val="24"/>
          <w:lang w:val="es-CO" w:eastAsia="es-ES"/>
        </w:rPr>
        <w:t>Evaluación de las Utilidades o Excedentes</w:t>
      </w:r>
    </w:p>
    <w:p w:rsidR="00DB670B" w:rsidP="00DB670B" w:rsidRDefault="00DB670B" w14:paraId="2FACFE3B" w14:textId="77777777">
      <w:pPr>
        <w:widowControl w:val="0"/>
        <w:spacing w:after="120" w:line="240" w:lineRule="auto"/>
        <w:ind w:right="4"/>
        <w:contextualSpacing/>
        <w:rPr>
          <w:sz w:val="24"/>
          <w:lang w:eastAsia="es-ES"/>
        </w:rPr>
      </w:pPr>
      <w:r w:rsidRPr="00BB2CE7">
        <w:rPr>
          <w:sz w:val="24"/>
          <w:lang w:eastAsia="es-ES"/>
        </w:rPr>
        <w:t xml:space="preserve">La evaluación de las utilidades o excedentes se realiza con base en un análisis del modelo de negocio de la entidad. </w:t>
      </w:r>
    </w:p>
    <w:p w:rsidRPr="00BB2CE7" w:rsidR="00DB670B" w:rsidP="00DB670B" w:rsidRDefault="00DB670B" w14:paraId="1AA1E6CA" w14:textId="77777777">
      <w:pPr>
        <w:widowControl w:val="0"/>
        <w:spacing w:after="120" w:line="240" w:lineRule="auto"/>
        <w:ind w:right="4"/>
        <w:contextualSpacing/>
        <w:rPr>
          <w:strike/>
          <w:sz w:val="24"/>
          <w:lang w:val="es-CR" w:eastAsia="es-ES"/>
        </w:rPr>
      </w:pPr>
    </w:p>
    <w:p w:rsidR="00DB670B" w:rsidP="00DB670B" w:rsidRDefault="00DB670B" w14:paraId="501FA68D" w14:textId="77777777">
      <w:pPr>
        <w:spacing w:after="120" w:line="240" w:lineRule="auto"/>
        <w:contextualSpacing/>
        <w:rPr>
          <w:sz w:val="24"/>
          <w:lang w:eastAsia="es-ES"/>
        </w:rPr>
      </w:pPr>
      <w:r w:rsidRPr="00BB2CE7">
        <w:rPr>
          <w:sz w:val="24"/>
          <w:lang w:eastAsia="es-ES"/>
        </w:rPr>
        <w:t xml:space="preserve">El análisis del modelo de negocio permite establecer la </w:t>
      </w:r>
      <w:r w:rsidRPr="00BB2CE7">
        <w:rPr>
          <w:bCs/>
          <w:sz w:val="24"/>
          <w:lang w:eastAsia="es-ES"/>
        </w:rPr>
        <w:t>viabilidad y sostenibilidad</w:t>
      </w:r>
      <w:r w:rsidRPr="00BB2CE7">
        <w:rPr>
          <w:sz w:val="24"/>
          <w:lang w:eastAsia="es-ES"/>
        </w:rPr>
        <w:t xml:space="preserve"> de una entidad, a través de la evaluación de los determinantes de sus utilidades o excedentes, las particularidades y vulnerabilidades propias del entorno, los mercados y sectores donde desarrolla sus negocios. Para lo cual, se deben tener en cuenta las siguientes definiciones: </w:t>
      </w:r>
    </w:p>
    <w:p w:rsidRPr="00BB2CE7" w:rsidR="00DB670B" w:rsidP="00DB670B" w:rsidRDefault="00DB670B" w14:paraId="694560E3" w14:textId="77777777">
      <w:pPr>
        <w:spacing w:after="120" w:line="240" w:lineRule="auto"/>
        <w:contextualSpacing/>
        <w:rPr>
          <w:sz w:val="24"/>
          <w:lang w:eastAsia="es-ES"/>
        </w:rPr>
      </w:pPr>
    </w:p>
    <w:p w:rsidR="00DB670B" w:rsidP="00DB670B" w:rsidRDefault="00DB670B" w14:paraId="25A2D35C" w14:textId="77777777">
      <w:pPr>
        <w:numPr>
          <w:ilvl w:val="0"/>
          <w:numId w:val="22"/>
        </w:numPr>
        <w:spacing w:after="120" w:line="240" w:lineRule="auto"/>
        <w:ind w:left="523"/>
        <w:contextualSpacing/>
        <w:rPr>
          <w:bCs/>
          <w:sz w:val="24"/>
          <w:lang w:eastAsia="es-ES"/>
        </w:rPr>
      </w:pPr>
      <w:r w:rsidRPr="00BB2CE7">
        <w:rPr>
          <w:b/>
          <w:sz w:val="24"/>
          <w:lang w:eastAsia="es-ES"/>
        </w:rPr>
        <w:t xml:space="preserve">Viabilidad del modelo de negocio: </w:t>
      </w:r>
      <w:r w:rsidRPr="00BB2CE7">
        <w:rPr>
          <w:bCs/>
          <w:sz w:val="24"/>
          <w:lang w:eastAsia="es-ES"/>
        </w:rPr>
        <w:t xml:space="preserve">es la capacidad que la entidad tiene para generar utilidades o excedentes en los siguientes doce meses, teniendo en cuenta el entorno, los mercados y donde desarrolla sus negocios. </w:t>
      </w:r>
    </w:p>
    <w:p w:rsidRPr="00BB2CE7" w:rsidR="00DB670B" w:rsidP="00DB670B" w:rsidRDefault="00DB670B" w14:paraId="729343AA" w14:textId="77777777">
      <w:pPr>
        <w:spacing w:after="120" w:line="240" w:lineRule="auto"/>
        <w:ind w:left="523"/>
        <w:contextualSpacing/>
        <w:rPr>
          <w:bCs/>
          <w:sz w:val="24"/>
          <w:lang w:eastAsia="es-ES"/>
        </w:rPr>
      </w:pPr>
    </w:p>
    <w:p w:rsidR="00DB670B" w:rsidP="00DB670B" w:rsidRDefault="00DB670B" w14:paraId="1697C965" w14:textId="77777777">
      <w:pPr>
        <w:spacing w:after="120" w:line="240" w:lineRule="auto"/>
        <w:ind w:left="567"/>
        <w:contextualSpacing/>
        <w:rPr>
          <w:rFonts w:cs="Calibri"/>
          <w:sz w:val="24"/>
          <w:lang w:val="es-CR" w:eastAsia="es-ES"/>
        </w:rPr>
      </w:pPr>
      <w:r w:rsidRPr="00BB2CE7">
        <w:rPr>
          <w:rFonts w:cs="Calibri"/>
          <w:sz w:val="24"/>
          <w:lang w:val="es-CR" w:eastAsia="es-ES"/>
        </w:rPr>
        <w:t xml:space="preserve">Para construir dicha opinión, se debe determinar si las rentabilidades son aceptables con base a los siguientes criterios: </w:t>
      </w:r>
    </w:p>
    <w:p w:rsidRPr="00BB2CE7" w:rsidR="00DB670B" w:rsidP="00DB670B" w:rsidRDefault="00DB670B" w14:paraId="5815EC40" w14:textId="77777777">
      <w:pPr>
        <w:spacing w:after="120" w:line="240" w:lineRule="auto"/>
        <w:ind w:left="567"/>
        <w:contextualSpacing/>
        <w:rPr>
          <w:rFonts w:cs="Calibri"/>
          <w:sz w:val="24"/>
          <w:lang w:val="es-CR" w:eastAsia="es-ES"/>
        </w:rPr>
      </w:pPr>
    </w:p>
    <w:p w:rsidRPr="00BB2CE7" w:rsidR="00DB670B" w:rsidP="00DB670B" w:rsidRDefault="00DB670B" w14:paraId="5C1534CE" w14:textId="77777777">
      <w:pPr>
        <w:numPr>
          <w:ilvl w:val="0"/>
          <w:numId w:val="21"/>
        </w:numPr>
        <w:spacing w:after="120" w:line="240" w:lineRule="auto"/>
        <w:ind w:left="993"/>
        <w:contextualSpacing/>
        <w:rPr>
          <w:rFonts w:eastAsia="Calibri" w:cs="Calibri"/>
          <w:sz w:val="24"/>
          <w:lang w:val="es-CO"/>
        </w:rPr>
      </w:pPr>
      <w:r w:rsidRPr="00BB2CE7">
        <w:rPr>
          <w:rFonts w:eastAsia="Calibri" w:cs="Calibri"/>
          <w:b/>
          <w:sz w:val="24"/>
          <w:lang w:val="es-CO"/>
        </w:rPr>
        <w:t>Rentabilidad de los recursos propios (ROE) frente al costo de los recursos propios (COE) o indicador equivalente:</w:t>
      </w:r>
      <w:r w:rsidRPr="00BB2CE7">
        <w:rPr>
          <w:rFonts w:eastAsia="Calibri" w:cs="Calibri"/>
          <w:sz w:val="24"/>
          <w:lang w:val="es-CO"/>
        </w:rPr>
        <w:t xml:space="preserve"> Se debe considerar si el modelo de negocio genera unos ingresos superiores a los costos basándose en la comparación del ROE frente al COE. También se puede realizar esta evaluación mediante la utilización de otros parámetros tales como, la rentabilidad de los activos o el rendimiento del capital ajustado al riesgo. </w:t>
      </w:r>
    </w:p>
    <w:p w:rsidRPr="00BB2CE7" w:rsidR="00DB670B" w:rsidP="00DB670B" w:rsidRDefault="00DB670B" w14:paraId="3497AFB5" w14:textId="77777777">
      <w:pPr>
        <w:numPr>
          <w:ilvl w:val="0"/>
          <w:numId w:val="21"/>
        </w:numPr>
        <w:spacing w:after="120" w:line="240" w:lineRule="auto"/>
        <w:ind w:left="993"/>
        <w:contextualSpacing/>
        <w:rPr>
          <w:rFonts w:eastAsia="Calibri" w:cs="Calibri"/>
          <w:sz w:val="24"/>
          <w:lang w:val="es-CO"/>
        </w:rPr>
      </w:pPr>
      <w:r w:rsidRPr="00BB2CE7">
        <w:rPr>
          <w:rFonts w:eastAsia="Calibri" w:cs="Calibri"/>
          <w:b/>
          <w:sz w:val="24"/>
          <w:lang w:val="es-CO"/>
        </w:rPr>
        <w:t xml:space="preserve">Estructura de financiamiento: </w:t>
      </w:r>
      <w:r w:rsidRPr="00BB2CE7">
        <w:rPr>
          <w:rFonts w:eastAsia="Calibri" w:cs="Calibri"/>
          <w:sz w:val="24"/>
          <w:lang w:val="es-CO"/>
        </w:rPr>
        <w:t>Se debe considerar si la combinación del financiamiento</w:t>
      </w:r>
      <w:r w:rsidRPr="00BB2CE7">
        <w:rPr>
          <w:rFonts w:eastAsia="Calibri" w:cs="Calibri"/>
          <w:sz w:val="24"/>
          <w:vertAlign w:val="superscript"/>
          <w:lang w:val="es-CO"/>
        </w:rPr>
        <w:footnoteReference w:id="1"/>
      </w:r>
      <w:r w:rsidRPr="00BB2CE7">
        <w:rPr>
          <w:rFonts w:eastAsia="Calibri" w:cs="Calibri"/>
          <w:sz w:val="24"/>
          <w:lang w:val="es-CO"/>
        </w:rPr>
        <w:t xml:space="preserve"> es la adecuada para el modelo de negocio y el plan estratégico. Además, tener en cuenta la volatilidad o los desfases en la combinación del financiamiento, ya que estos pueden indicar que un modelo de negocio o estrategia pueden no ser viables o sostenibles dado el entorno donde se desarrolla, aun en los casos en los que los ingresos son superiores a los costos. </w:t>
      </w:r>
    </w:p>
    <w:p w:rsidRPr="00BB2CE7" w:rsidR="00DB670B" w:rsidP="00DB670B" w:rsidRDefault="00DB670B" w14:paraId="3A3C89AC" w14:textId="77777777">
      <w:pPr>
        <w:numPr>
          <w:ilvl w:val="0"/>
          <w:numId w:val="21"/>
        </w:numPr>
        <w:spacing w:after="120" w:line="240" w:lineRule="auto"/>
        <w:ind w:left="993"/>
        <w:contextualSpacing/>
        <w:rPr>
          <w:rFonts w:eastAsia="Calibri" w:cs="Calibri"/>
          <w:sz w:val="24"/>
          <w:lang w:val="es-CO"/>
        </w:rPr>
      </w:pPr>
      <w:r w:rsidRPr="00BB2CE7">
        <w:rPr>
          <w:rFonts w:eastAsia="Calibri" w:cs="Calibri"/>
          <w:b/>
          <w:sz w:val="24"/>
          <w:lang w:val="es-CO"/>
        </w:rPr>
        <w:t>Apetito de riesgo:</w:t>
      </w:r>
      <w:r w:rsidRPr="00BB2CE7">
        <w:rPr>
          <w:rFonts w:eastAsia="Calibri" w:cs="Calibri"/>
          <w:sz w:val="24"/>
          <w:lang w:val="es-CO"/>
        </w:rPr>
        <w:t xml:space="preserve"> Se debe considerar si la estrategia o modelo de negocio se basa en riesgos individuales o a nivel general. Así mismo, este criterio debe revisarse para evaluar si los niveles de riesgos establecidos por la entidad son coherentes con su plan estratégico.</w:t>
      </w:r>
    </w:p>
    <w:p w:rsidRPr="00BB2CE7" w:rsidR="00DB670B" w:rsidP="00DB670B" w:rsidRDefault="00DB670B" w14:paraId="3F7A59EF" w14:textId="77777777">
      <w:pPr>
        <w:numPr>
          <w:ilvl w:val="0"/>
          <w:numId w:val="21"/>
        </w:numPr>
        <w:spacing w:after="120" w:line="240" w:lineRule="auto"/>
        <w:ind w:left="993"/>
        <w:contextualSpacing/>
        <w:rPr>
          <w:rFonts w:eastAsia="Calibri" w:cs="Calibri"/>
          <w:sz w:val="24"/>
          <w:lang w:val="es-CO"/>
        </w:rPr>
      </w:pPr>
      <w:r w:rsidRPr="00BB2CE7">
        <w:rPr>
          <w:rFonts w:eastAsia="Calibri" w:cs="Calibri"/>
          <w:b/>
          <w:bCs/>
          <w:sz w:val="24"/>
          <w:lang w:val="es-CO"/>
        </w:rPr>
        <w:t xml:space="preserve">Riesgos Tasa de Interés del Balance </w:t>
      </w:r>
      <w:r w:rsidRPr="00BB2CE7">
        <w:rPr>
          <w:rFonts w:eastAsia="Calibri" w:cs="Calibri"/>
          <w:sz w:val="24"/>
          <w:lang w:val="es-CO"/>
        </w:rPr>
        <w:t>(También referido como “Banking Book” o “Libro Bancario”, para distinguirlo del “Trading Book” o “Cartera de Negociación”)</w:t>
      </w:r>
      <w:r w:rsidRPr="00BB2CE7">
        <w:rPr>
          <w:rFonts w:eastAsia="Calibri" w:cs="Calibri"/>
          <w:b/>
          <w:bCs/>
          <w:sz w:val="24"/>
          <w:lang w:val="es-CO"/>
        </w:rPr>
        <w:t>:</w:t>
      </w:r>
      <w:r w:rsidRPr="00BB2CE7">
        <w:rPr>
          <w:rFonts w:eastAsia="Calibri" w:cs="Calibri"/>
          <w:sz w:val="24"/>
          <w:lang w:val="es-CO"/>
        </w:rPr>
        <w:t xml:space="preserve"> Se debe considerar si la estructura de balance en cuanto a tasas y plazos es acorde con el plan estratégico y el apetito de riesgo de la entidad.</w:t>
      </w:r>
    </w:p>
    <w:p w:rsidRPr="00BB2CE7" w:rsidR="00DB670B" w:rsidP="00DB670B" w:rsidRDefault="00DB670B" w14:paraId="53D9067B" w14:textId="77777777">
      <w:pPr>
        <w:numPr>
          <w:ilvl w:val="0"/>
          <w:numId w:val="21"/>
        </w:numPr>
        <w:spacing w:after="120" w:line="240" w:lineRule="auto"/>
        <w:ind w:left="993"/>
        <w:contextualSpacing/>
        <w:rPr>
          <w:rFonts w:eastAsia="Calibri" w:cs="Calibri"/>
          <w:sz w:val="24"/>
          <w:lang w:val="es-CO"/>
        </w:rPr>
      </w:pPr>
      <w:r w:rsidRPr="00BB2CE7">
        <w:rPr>
          <w:rFonts w:eastAsia="Calibri" w:cs="Calibri"/>
          <w:b/>
          <w:sz w:val="24"/>
          <w:lang w:val="es-CO"/>
        </w:rPr>
        <w:t>Entidades pares:</w:t>
      </w:r>
      <w:r w:rsidRPr="00BB2CE7">
        <w:rPr>
          <w:rFonts w:eastAsia="Calibri" w:cs="Calibri"/>
          <w:sz w:val="24"/>
          <w:lang w:val="es-CO"/>
        </w:rPr>
        <w:t xml:space="preserve"> Se debe considerar la situación financiera de las entidades similares, con el propósito de determinar si la problemática es generalizada o son aspectos particulares los que están impactando solamente a la entidad.</w:t>
      </w:r>
    </w:p>
    <w:p w:rsidR="00DB670B" w:rsidP="00DB670B" w:rsidRDefault="00DB670B" w14:paraId="47DA82A9" w14:textId="77777777">
      <w:pPr>
        <w:numPr>
          <w:ilvl w:val="0"/>
          <w:numId w:val="21"/>
        </w:numPr>
        <w:spacing w:after="120" w:line="240" w:lineRule="auto"/>
        <w:ind w:left="993"/>
        <w:contextualSpacing/>
        <w:rPr>
          <w:rFonts w:eastAsia="Calibri" w:cs="Calibri"/>
          <w:sz w:val="24"/>
          <w:lang w:val="es-CO"/>
        </w:rPr>
      </w:pPr>
      <w:r w:rsidRPr="00BB2CE7">
        <w:rPr>
          <w:rFonts w:eastAsia="Calibri" w:cs="Calibri"/>
          <w:b/>
          <w:sz w:val="24"/>
          <w:lang w:val="es-CO"/>
        </w:rPr>
        <w:t>Efectos de cambios normativos:</w:t>
      </w:r>
      <w:r w:rsidRPr="00BB2CE7">
        <w:rPr>
          <w:rFonts w:eastAsia="Calibri" w:cs="Calibri"/>
          <w:sz w:val="24"/>
          <w:lang w:val="es-CO"/>
        </w:rPr>
        <w:t xml:space="preserve"> Se deben tener en cuenta los cambios normativos que puedan afectar la continuidad o implementación del modelo de negocios. </w:t>
      </w:r>
    </w:p>
    <w:p w:rsidRPr="00BB2CE7" w:rsidR="00DB670B" w:rsidP="00DB670B" w:rsidRDefault="00DB670B" w14:paraId="24D36F67" w14:textId="77777777">
      <w:pPr>
        <w:spacing w:after="120" w:line="240" w:lineRule="auto"/>
        <w:ind w:left="993"/>
        <w:contextualSpacing/>
        <w:rPr>
          <w:rFonts w:eastAsia="Calibri" w:cs="Calibri"/>
          <w:sz w:val="24"/>
          <w:lang w:val="es-CO"/>
        </w:rPr>
      </w:pPr>
    </w:p>
    <w:p w:rsidR="00DB670B" w:rsidP="00DB670B" w:rsidRDefault="00DB670B" w14:paraId="5E658C5F" w14:textId="77777777">
      <w:pPr>
        <w:numPr>
          <w:ilvl w:val="0"/>
          <w:numId w:val="22"/>
        </w:numPr>
        <w:spacing w:after="120" w:line="240" w:lineRule="auto"/>
        <w:ind w:left="523"/>
        <w:contextualSpacing/>
        <w:rPr>
          <w:sz w:val="24"/>
          <w:lang w:eastAsia="es-ES"/>
        </w:rPr>
      </w:pPr>
      <w:r w:rsidRPr="00BB2CE7">
        <w:rPr>
          <w:b/>
          <w:sz w:val="24"/>
          <w:lang w:eastAsia="es-ES"/>
        </w:rPr>
        <w:t>Sostenibilidad</w:t>
      </w:r>
      <w:r w:rsidRPr="00BB2CE7">
        <w:rPr>
          <w:sz w:val="24"/>
          <w:lang w:eastAsia="es-ES"/>
        </w:rPr>
        <w:t xml:space="preserve"> </w:t>
      </w:r>
      <w:r w:rsidRPr="00BB2CE7">
        <w:rPr>
          <w:b/>
          <w:sz w:val="24"/>
          <w:lang w:eastAsia="es-ES"/>
        </w:rPr>
        <w:t>de la estrategia:</w:t>
      </w:r>
      <w:r w:rsidRPr="00BB2CE7">
        <w:rPr>
          <w:sz w:val="24"/>
          <w:lang w:eastAsia="es-ES"/>
        </w:rPr>
        <w:t xml:space="preserve"> es la capacidad que la entidad tiene para generar utilidades o excedentes durante un periodo futuro de al menos tres años, basándose en su plan estratégico y en las previsiones financieras, teniendo en cuenta el entorno, los mercados y sectores donde realiza sus negocios.</w:t>
      </w:r>
    </w:p>
    <w:p w:rsidRPr="00BB2CE7" w:rsidR="00DB670B" w:rsidP="00DB670B" w:rsidRDefault="00DB670B" w14:paraId="78C6FD10" w14:textId="77777777">
      <w:pPr>
        <w:spacing w:after="120" w:line="240" w:lineRule="auto"/>
        <w:ind w:left="523"/>
        <w:contextualSpacing/>
        <w:rPr>
          <w:sz w:val="24"/>
          <w:lang w:eastAsia="es-ES"/>
        </w:rPr>
      </w:pPr>
    </w:p>
    <w:p w:rsidR="00DB670B" w:rsidP="00DB670B" w:rsidRDefault="00DB670B" w14:paraId="04E745E1" w14:textId="77777777">
      <w:pPr>
        <w:spacing w:after="120" w:line="240" w:lineRule="auto"/>
        <w:ind w:left="523"/>
        <w:contextualSpacing/>
        <w:rPr>
          <w:rFonts w:cs="Calibri"/>
          <w:sz w:val="24"/>
          <w:lang w:val="es-CR" w:eastAsia="es-ES"/>
        </w:rPr>
      </w:pPr>
      <w:r w:rsidRPr="00BB2CE7">
        <w:rPr>
          <w:rFonts w:cs="Calibri"/>
          <w:sz w:val="24"/>
          <w:lang w:val="es-CR" w:eastAsia="es-ES"/>
        </w:rPr>
        <w:t>Con el propósito de afianzar el concepto de sostenibilidad de la estrategia se deben analizar, al menos, lo siguiente:</w:t>
      </w:r>
    </w:p>
    <w:p w:rsidRPr="00BB2CE7" w:rsidR="00DB670B" w:rsidP="00DB670B" w:rsidRDefault="00DB670B" w14:paraId="37706DFA" w14:textId="77777777">
      <w:pPr>
        <w:spacing w:after="120" w:line="240" w:lineRule="auto"/>
        <w:ind w:left="523"/>
        <w:contextualSpacing/>
        <w:rPr>
          <w:rFonts w:cs="Calibri"/>
          <w:sz w:val="24"/>
          <w:lang w:val="es-CR" w:eastAsia="es-ES"/>
        </w:rPr>
      </w:pPr>
    </w:p>
    <w:p w:rsidRPr="00BB2CE7" w:rsidR="00DB670B" w:rsidP="00DB670B" w:rsidRDefault="00DB670B" w14:paraId="6F37F439" w14:textId="77777777">
      <w:pPr>
        <w:numPr>
          <w:ilvl w:val="0"/>
          <w:numId w:val="21"/>
        </w:numPr>
        <w:spacing w:after="120" w:line="240" w:lineRule="auto"/>
        <w:ind w:left="949"/>
        <w:contextualSpacing/>
        <w:rPr>
          <w:rFonts w:eastAsia="Calibri" w:cs="Calibri"/>
          <w:sz w:val="24"/>
          <w:lang w:val="es-CO"/>
        </w:rPr>
      </w:pPr>
      <w:r w:rsidRPr="00BB2CE7">
        <w:rPr>
          <w:rFonts w:eastAsia="Calibri" w:cs="Calibri"/>
          <w:b/>
          <w:sz w:val="24"/>
          <w:lang w:val="es-CO"/>
        </w:rPr>
        <w:lastRenderedPageBreak/>
        <w:t xml:space="preserve">Consistencia de las variables utilizadas para realizar las proyecciones de la información financiera </w:t>
      </w:r>
      <w:r w:rsidRPr="00BB2CE7">
        <w:rPr>
          <w:rFonts w:eastAsia="Calibri" w:cs="Calibri"/>
          <w:sz w:val="24"/>
          <w:lang w:val="es-CO"/>
        </w:rPr>
        <w:t xml:space="preserve">previstos de la entidad con respecto al entorno de negocio actual y futuro. </w:t>
      </w:r>
    </w:p>
    <w:p w:rsidRPr="00BB2CE7" w:rsidR="00DB670B" w:rsidP="00DB670B" w:rsidRDefault="00DB670B" w14:paraId="50A117D5" w14:textId="77777777">
      <w:pPr>
        <w:numPr>
          <w:ilvl w:val="0"/>
          <w:numId w:val="21"/>
        </w:numPr>
        <w:spacing w:after="120" w:line="240" w:lineRule="auto"/>
        <w:ind w:left="949"/>
        <w:contextualSpacing/>
        <w:rPr>
          <w:rFonts w:eastAsia="Calibri" w:cs="Calibri"/>
          <w:sz w:val="24"/>
          <w:lang w:val="es-CO"/>
        </w:rPr>
      </w:pPr>
      <w:r w:rsidRPr="00BB2CE7">
        <w:rPr>
          <w:rFonts w:eastAsia="Calibri" w:cs="Calibri"/>
          <w:b/>
          <w:sz w:val="24"/>
          <w:lang w:val="es-CO"/>
        </w:rPr>
        <w:t>Impacto sobre los resultados financieros</w:t>
      </w:r>
      <w:r w:rsidRPr="00BB2CE7">
        <w:rPr>
          <w:rFonts w:eastAsia="Calibri" w:cs="Calibri"/>
          <w:sz w:val="24"/>
          <w:lang w:val="es-CO"/>
        </w:rPr>
        <w:t xml:space="preserve"> proyectados con respecto a la situación del entorno, los mercados y los sectores donde se desarrollan los negocios. </w:t>
      </w:r>
    </w:p>
    <w:p w:rsidR="00DB670B" w:rsidP="00DB670B" w:rsidRDefault="00DB670B" w14:paraId="4F1C1A39" w14:textId="77777777">
      <w:pPr>
        <w:numPr>
          <w:ilvl w:val="0"/>
          <w:numId w:val="21"/>
        </w:numPr>
        <w:spacing w:after="120" w:line="240" w:lineRule="auto"/>
        <w:ind w:left="949"/>
        <w:contextualSpacing/>
        <w:rPr>
          <w:rFonts w:cs="Arial"/>
          <w:sz w:val="24"/>
          <w:lang w:eastAsia="es-ES"/>
        </w:rPr>
      </w:pPr>
      <w:r w:rsidRPr="00BB2CE7">
        <w:rPr>
          <w:rFonts w:eastAsia="Calibri" w:cs="Calibri"/>
          <w:b/>
          <w:sz w:val="24"/>
          <w:lang w:val="es-CO"/>
        </w:rPr>
        <w:t>Nivel de riesgo de la estrategia</w:t>
      </w:r>
      <w:r w:rsidRPr="00BB2CE7">
        <w:rPr>
          <w:rFonts w:eastAsia="Calibri" w:cs="Calibri"/>
          <w:sz w:val="24"/>
          <w:lang w:val="es-CO"/>
        </w:rPr>
        <w:t>, esto es, la complejidad y ambición de la estrategia en comparación con el modelo de negocio actual, y la probabilidad de éxito en función de la capacidad de ejecución por parte de la entidad (que al menos arroje las utilidades o excedentes de la estrategia anterior), la cual es medida por el éxito de la entidad a la hora de ejecutar estrategias anteriores de la misma escala o los resultados con respecto al plan estratégico hasta la fecha.</w:t>
      </w:r>
      <w:r w:rsidRPr="00BB2CE7">
        <w:rPr>
          <w:rFonts w:cs="Arial"/>
          <w:sz w:val="24"/>
          <w:lang w:eastAsia="es-ES"/>
        </w:rPr>
        <w:t xml:space="preserve"> </w:t>
      </w:r>
    </w:p>
    <w:p w:rsidRPr="00BB2CE7" w:rsidR="00DB670B" w:rsidP="00DB670B" w:rsidRDefault="00DB670B" w14:paraId="0426E05E" w14:textId="77777777">
      <w:pPr>
        <w:spacing w:after="120" w:line="240" w:lineRule="auto"/>
        <w:ind w:left="949"/>
        <w:contextualSpacing/>
        <w:rPr>
          <w:rFonts w:cs="Arial"/>
          <w:sz w:val="24"/>
          <w:lang w:eastAsia="es-ES"/>
        </w:rPr>
      </w:pPr>
    </w:p>
    <w:p w:rsidRPr="00BB2CE7" w:rsidR="00DB670B" w:rsidP="00DB670B" w:rsidRDefault="00DB670B" w14:paraId="627A1996" w14:textId="77777777">
      <w:pPr>
        <w:numPr>
          <w:ilvl w:val="0"/>
          <w:numId w:val="22"/>
        </w:numPr>
        <w:spacing w:after="120" w:line="240" w:lineRule="auto"/>
        <w:ind w:left="523"/>
        <w:contextualSpacing/>
        <w:rPr>
          <w:strike/>
          <w:sz w:val="24"/>
          <w:lang w:val="es-CR" w:eastAsia="es-ES"/>
        </w:rPr>
      </w:pPr>
      <w:r w:rsidRPr="00BB2CE7">
        <w:rPr>
          <w:b/>
          <w:sz w:val="24"/>
          <w:lang w:eastAsia="es-ES"/>
        </w:rPr>
        <w:t xml:space="preserve">Utilidades o excedentes, </w:t>
      </w:r>
      <w:r w:rsidRPr="00BB2CE7">
        <w:rPr>
          <w:sz w:val="24"/>
          <w:lang w:eastAsia="es-ES"/>
        </w:rPr>
        <w:t>es la forma de generación interna de recursos y capital de la entidad derivado del cumplimiento del objeto social, luego de deducir los gastos</w:t>
      </w:r>
      <w:r w:rsidRPr="00BB2CE7">
        <w:rPr>
          <w:sz w:val="24"/>
          <w:vertAlign w:val="superscript"/>
          <w:lang w:eastAsia="es-ES"/>
        </w:rPr>
        <w:footnoteReference w:id="2"/>
      </w:r>
      <w:r w:rsidRPr="00BB2CE7">
        <w:rPr>
          <w:sz w:val="24"/>
          <w:lang w:eastAsia="es-ES"/>
        </w:rPr>
        <w:t xml:space="preserve"> relacionados al desarrollo del negocio.</w:t>
      </w:r>
      <w:r w:rsidRPr="00BB2CE7">
        <w:rPr>
          <w:b/>
          <w:sz w:val="24"/>
          <w:lang w:eastAsia="es-ES"/>
        </w:rPr>
        <w:t xml:space="preserve"> </w:t>
      </w:r>
    </w:p>
    <w:p w:rsidRPr="00BB2CE7" w:rsidR="00DB670B" w:rsidP="00DB670B" w:rsidRDefault="00DB670B" w14:paraId="01348C7A" w14:textId="77777777">
      <w:pPr>
        <w:spacing w:after="120" w:line="240" w:lineRule="auto"/>
        <w:ind w:left="523"/>
        <w:contextualSpacing/>
        <w:rPr>
          <w:strike/>
          <w:sz w:val="24"/>
          <w:lang w:val="es-CR" w:eastAsia="es-ES"/>
        </w:rPr>
      </w:pPr>
    </w:p>
    <w:p w:rsidR="00DB670B" w:rsidP="00DB670B" w:rsidRDefault="00DB670B" w14:paraId="57FDD6E5" w14:textId="77777777">
      <w:pPr>
        <w:spacing w:after="120" w:line="240" w:lineRule="auto"/>
        <w:contextualSpacing/>
        <w:rPr>
          <w:sz w:val="24"/>
          <w:lang w:eastAsia="es-ES"/>
        </w:rPr>
      </w:pPr>
      <w:r w:rsidRPr="00BB2CE7">
        <w:rPr>
          <w:sz w:val="24"/>
          <w:lang w:eastAsia="es-ES"/>
        </w:rPr>
        <w:t>La evaluación del análisis del modelo de negocio debe ser utilizada para soportar y complementar las conclusiones sobre una entidad, en especial, en lo relacionado con:</w:t>
      </w:r>
    </w:p>
    <w:p w:rsidRPr="00BB2CE7" w:rsidR="00DB670B" w:rsidP="00DB670B" w:rsidRDefault="00DB670B" w14:paraId="402A0056" w14:textId="77777777">
      <w:pPr>
        <w:spacing w:after="120" w:line="240" w:lineRule="auto"/>
        <w:contextualSpacing/>
        <w:rPr>
          <w:sz w:val="24"/>
          <w:lang w:eastAsia="es-ES"/>
        </w:rPr>
      </w:pPr>
    </w:p>
    <w:p w:rsidRPr="00BB2CE7" w:rsidR="00DB670B" w:rsidP="00DB670B" w:rsidRDefault="00DB670B" w14:paraId="265BACD3" w14:textId="77777777">
      <w:pPr>
        <w:numPr>
          <w:ilvl w:val="0"/>
          <w:numId w:val="31"/>
        </w:numPr>
        <w:spacing w:after="120" w:line="240" w:lineRule="auto"/>
        <w:contextualSpacing/>
        <w:rPr>
          <w:sz w:val="24"/>
          <w:lang w:eastAsia="es-ES"/>
        </w:rPr>
      </w:pPr>
      <w:r w:rsidRPr="00CF6AA1">
        <w:rPr>
          <w:b/>
          <w:bCs/>
          <w:sz w:val="24"/>
          <w:lang w:eastAsia="es-ES"/>
        </w:rPr>
        <w:t>El conocimiento del negocio</w:t>
      </w:r>
      <w:r w:rsidRPr="00BB2CE7">
        <w:rPr>
          <w:sz w:val="24"/>
          <w:lang w:eastAsia="es-ES"/>
        </w:rPr>
        <w:t xml:space="preserve"> (por ejemplo: plan estratégico, modelo de negocio, marco de apetito al riesgo).</w:t>
      </w:r>
    </w:p>
    <w:p w:rsidRPr="00BB2CE7" w:rsidR="00DB670B" w:rsidP="00DB670B" w:rsidRDefault="00DB670B" w14:paraId="2601DC5E" w14:textId="77777777">
      <w:pPr>
        <w:numPr>
          <w:ilvl w:val="0"/>
          <w:numId w:val="31"/>
        </w:numPr>
        <w:spacing w:after="120" w:line="240" w:lineRule="auto"/>
        <w:contextualSpacing/>
        <w:rPr>
          <w:strike/>
          <w:sz w:val="24"/>
          <w:lang w:val="es-CR" w:eastAsia="es-ES"/>
        </w:rPr>
      </w:pPr>
      <w:r w:rsidRPr="00CF6AA1">
        <w:rPr>
          <w:b/>
          <w:bCs/>
          <w:sz w:val="24"/>
          <w:lang w:eastAsia="es-ES"/>
        </w:rPr>
        <w:t>La evaluación de las actividades significativas</w:t>
      </w:r>
      <w:r w:rsidRPr="00BB2CE7">
        <w:rPr>
          <w:sz w:val="24"/>
          <w:lang w:eastAsia="es-ES"/>
        </w:rPr>
        <w:t xml:space="preserve"> (por ejemplo: entendiendo las fuentes y estructura de fondeo).</w:t>
      </w:r>
    </w:p>
    <w:p w:rsidRPr="00BB2CE7" w:rsidR="00DB670B" w:rsidP="00DB670B" w:rsidRDefault="00DB670B" w14:paraId="306FC117" w14:textId="77777777">
      <w:pPr>
        <w:spacing w:after="120" w:line="240" w:lineRule="auto"/>
        <w:ind w:left="523"/>
        <w:contextualSpacing/>
        <w:rPr>
          <w:strike/>
          <w:sz w:val="24"/>
          <w:lang w:val="es-CR" w:eastAsia="es-ES"/>
        </w:rPr>
      </w:pPr>
    </w:p>
    <w:p w:rsidRPr="008E5E2F" w:rsidR="00DB670B" w:rsidP="00DB670B" w:rsidRDefault="00DB670B" w14:paraId="4A4F5902" w14:textId="77777777">
      <w:pPr>
        <w:pStyle w:val="Prrafodelista"/>
        <w:widowControl w:val="0"/>
        <w:numPr>
          <w:ilvl w:val="0"/>
          <w:numId w:val="30"/>
        </w:numPr>
        <w:spacing w:after="120" w:line="240" w:lineRule="auto"/>
        <w:ind w:right="4"/>
        <w:rPr>
          <w:b/>
          <w:bCs/>
          <w:sz w:val="24"/>
          <w:lang w:val="es-CO" w:eastAsia="es-ES"/>
        </w:rPr>
      </w:pPr>
      <w:r w:rsidRPr="008E5E2F">
        <w:rPr>
          <w:b/>
          <w:bCs/>
          <w:sz w:val="24"/>
          <w:lang w:val="es-CO" w:eastAsia="es-ES"/>
        </w:rPr>
        <w:t>Gestión de la Liquidez</w:t>
      </w:r>
    </w:p>
    <w:p w:rsidR="00DB670B" w:rsidP="00DB670B" w:rsidRDefault="00DB670B" w14:paraId="611690C5" w14:textId="77777777">
      <w:pPr>
        <w:widowControl w:val="0"/>
        <w:spacing w:after="120" w:line="240" w:lineRule="auto"/>
        <w:ind w:right="4"/>
        <w:contextualSpacing/>
        <w:rPr>
          <w:sz w:val="24"/>
          <w:lang w:val="es-CO" w:eastAsia="es-ES"/>
        </w:rPr>
      </w:pPr>
      <w:r w:rsidRPr="00BB2CE7">
        <w:rPr>
          <w:sz w:val="24"/>
          <w:lang w:val="es-CO" w:eastAsia="es-ES"/>
        </w:rPr>
        <w:t>Una gestión adecuada del riesgo de liquidez es fundamental para la solidez y solvencia de una entidad. Este riesgo depende de la composición de su balance, sus fuentes de fondeo, su estrategia de liquidez, y de las condiciones y eventos del mercado. Por tanto, se espera que la entidad mantenga un nivel de riesgo de liquidez prudente y procesos adecuados para su gestión, tanto en condiciones normales como estresadas. De esta forma, la evaluación de liquidez considera la exposición al riesgo de liquidez y la calidad de su gestión por parte de la entidad, teniendo en cuenta su naturaleza, tamaño, complejidad y perfil de riesgo, así como la existencia de adecuados y efectivos planes de contingentes de liquidez.</w:t>
      </w:r>
    </w:p>
    <w:p w:rsidRPr="00BB2CE7" w:rsidR="00DB670B" w:rsidP="00DB670B" w:rsidRDefault="00DB670B" w14:paraId="39BCB6C0" w14:textId="77777777">
      <w:pPr>
        <w:widowControl w:val="0"/>
        <w:spacing w:after="120" w:line="240" w:lineRule="auto"/>
        <w:ind w:right="4"/>
        <w:contextualSpacing/>
        <w:rPr>
          <w:strike/>
          <w:sz w:val="24"/>
          <w:lang w:val="es-CR" w:eastAsia="es-ES"/>
        </w:rPr>
      </w:pPr>
    </w:p>
    <w:p w:rsidRPr="008E5E2F" w:rsidR="00DB670B" w:rsidP="00DB670B" w:rsidRDefault="00DB670B" w14:paraId="17BBADC8" w14:textId="77777777">
      <w:pPr>
        <w:pStyle w:val="Prrafodelista"/>
        <w:widowControl w:val="0"/>
        <w:numPr>
          <w:ilvl w:val="0"/>
          <w:numId w:val="30"/>
        </w:numPr>
        <w:spacing w:after="120" w:line="240" w:lineRule="auto"/>
        <w:ind w:right="4"/>
        <w:rPr>
          <w:b/>
          <w:bCs/>
          <w:sz w:val="24"/>
          <w:lang w:val="es-CO" w:eastAsia="es-ES"/>
        </w:rPr>
      </w:pPr>
      <w:r w:rsidRPr="008E5E2F">
        <w:rPr>
          <w:b/>
          <w:bCs/>
          <w:sz w:val="24"/>
          <w:lang w:val="es-CO" w:eastAsia="es-ES"/>
        </w:rPr>
        <w:t>Calidad de los Activos.</w:t>
      </w:r>
    </w:p>
    <w:p w:rsidR="00DB670B" w:rsidP="00DB670B" w:rsidRDefault="00DB670B" w14:paraId="160696D1" w14:textId="77777777">
      <w:pPr>
        <w:widowControl w:val="0"/>
        <w:spacing w:after="120" w:line="240" w:lineRule="auto"/>
        <w:ind w:right="6"/>
        <w:contextualSpacing/>
        <w:rPr>
          <w:sz w:val="24"/>
          <w:lang w:val="es-CR" w:eastAsia="es-ES"/>
        </w:rPr>
      </w:pPr>
      <w:r w:rsidRPr="00BB2CE7">
        <w:rPr>
          <w:sz w:val="24"/>
          <w:lang w:val="es-CR" w:eastAsia="es-ES"/>
        </w:rPr>
        <w:t xml:space="preserve">En relación con los activos, se debe prestar especial atención a la calidad de los activos de una entidad, ya que su deterioro afectaría a su capital y, por tanto, a su solvencia. La calidad busca que los activos se encuentren adecuadamente valorados según su riesgo, </w:t>
      </w:r>
      <w:r w:rsidRPr="00BB2CE7">
        <w:rPr>
          <w:sz w:val="24"/>
          <w:lang w:val="es-CR" w:eastAsia="es-ES"/>
        </w:rPr>
        <w:lastRenderedPageBreak/>
        <w:t xml:space="preserve">lo que conlleva el apropiado reconocimiento de estimaciones o ajustes al valor, la evolución de su composición con base en riesgos no cause preocupación a los supervisores (por ejemplo, en cuanto a la estructura de la cartera crediticia calificada según riesgos) y no existan importantes concentraciones. </w:t>
      </w:r>
    </w:p>
    <w:p w:rsidRPr="00BB2CE7" w:rsidR="00DB670B" w:rsidP="00DB670B" w:rsidRDefault="00DB670B" w14:paraId="15D49C81" w14:textId="77777777">
      <w:pPr>
        <w:widowControl w:val="0"/>
        <w:spacing w:after="120" w:line="240" w:lineRule="auto"/>
        <w:ind w:right="6"/>
        <w:contextualSpacing/>
        <w:rPr>
          <w:sz w:val="24"/>
          <w:lang w:val="es-CR" w:eastAsia="es-ES"/>
        </w:rPr>
      </w:pPr>
    </w:p>
    <w:p w:rsidRPr="00BB2CE7" w:rsidR="00DB670B" w:rsidP="00DB670B" w:rsidRDefault="00DB670B" w14:paraId="1884CCC5" w14:textId="77777777">
      <w:pPr>
        <w:keepNext/>
        <w:keepLines/>
        <w:numPr>
          <w:ilvl w:val="0"/>
          <w:numId w:val="28"/>
        </w:numPr>
        <w:spacing w:after="120" w:line="240" w:lineRule="auto"/>
        <w:contextualSpacing/>
        <w:outlineLvl w:val="1"/>
        <w:rPr>
          <w:b/>
          <w:bCs/>
          <w:sz w:val="24"/>
          <w:lang w:val="es-CR" w:eastAsia="es-CR"/>
        </w:rPr>
      </w:pPr>
      <w:bookmarkStart w:name="_Toc99545468" w:id="21"/>
      <w:bookmarkStart w:name="_Toc103279735" w:id="22"/>
      <w:r w:rsidRPr="00BB2CE7">
        <w:rPr>
          <w:b/>
          <w:bCs/>
          <w:sz w:val="24"/>
          <w:lang w:val="es-CR" w:eastAsia="es-CR"/>
        </w:rPr>
        <w:t>Elementos y criterios de evaluación</w:t>
      </w:r>
      <w:bookmarkEnd w:id="21"/>
      <w:bookmarkEnd w:id="22"/>
    </w:p>
    <w:p w:rsidRPr="00BB2CE7" w:rsidR="00DB670B" w:rsidP="00DB670B" w:rsidRDefault="00DB670B" w14:paraId="39B0551E" w14:textId="77777777">
      <w:pPr>
        <w:spacing w:after="120" w:line="240" w:lineRule="auto"/>
        <w:contextualSpacing/>
        <w:rPr>
          <w:sz w:val="24"/>
          <w:lang w:val="es-CR" w:eastAsia="es-ES"/>
        </w:rPr>
      </w:pPr>
      <w:r w:rsidRPr="00BB2CE7">
        <w:rPr>
          <w:sz w:val="24"/>
          <w:lang w:val="es-CR" w:eastAsia="es-ES"/>
        </w:rPr>
        <w:t xml:space="preserve">Seguidamente se presentan los elementos y criterios de evaluación, sin perjuicio de que la SUGEF tome en cuenta otros elementos y criterios de evaluación que considere necesarios para la evaluación de la situación económico-financiera de una entidad. </w:t>
      </w:r>
    </w:p>
    <w:p w:rsidRPr="00BB2CE7" w:rsidR="00DB670B" w:rsidP="00DB670B" w:rsidRDefault="00DB670B" w14:paraId="3CBE388A" w14:textId="77777777">
      <w:pPr>
        <w:widowControl w:val="0"/>
        <w:spacing w:after="120" w:line="240" w:lineRule="auto"/>
        <w:ind w:right="4"/>
        <w:contextualSpacing/>
        <w:rPr>
          <w:sz w:val="24"/>
          <w:lang w:val="es-CO" w:eastAsia="es-ES"/>
        </w:rPr>
      </w:pPr>
      <w:r w:rsidRPr="00BB2CE7">
        <w:rPr>
          <w:sz w:val="24"/>
          <w:lang w:val="es-CO" w:eastAsia="es-ES"/>
        </w:rPr>
        <w:t>La aplicación y ponderación de cada elemento en la evaluación de la situación económica financiera depende de la naturaleza, complejidad y perfil de riesgos de la Entidad.</w:t>
      </w:r>
    </w:p>
    <w:p w:rsidRPr="00BB2CE7" w:rsidR="00DB670B" w:rsidP="00DB670B" w:rsidRDefault="00DB670B" w14:paraId="688BDB66" w14:textId="77777777">
      <w:pPr>
        <w:widowControl w:val="0"/>
        <w:spacing w:after="120" w:line="240" w:lineRule="auto"/>
        <w:ind w:right="4"/>
        <w:contextualSpacing/>
        <w:rPr>
          <w:strike/>
          <w:color w:val="2F5496"/>
          <w:sz w:val="24"/>
          <w:lang w:val="es-CR" w:eastAsia="es-ES"/>
        </w:rPr>
      </w:pPr>
    </w:p>
    <w:p w:rsidRPr="00BB2CE7" w:rsidR="00DB670B" w:rsidP="00DB670B" w:rsidRDefault="00DB670B" w14:paraId="586CCD04" w14:textId="77777777">
      <w:pPr>
        <w:widowControl w:val="0"/>
        <w:spacing w:after="120" w:line="240" w:lineRule="auto"/>
        <w:ind w:right="4"/>
        <w:contextualSpacing/>
        <w:rPr>
          <w:strike/>
          <w:color w:val="2F5496"/>
          <w:sz w:val="24"/>
          <w:lang w:val="es-CR" w:eastAsia="es-ES"/>
        </w:rPr>
      </w:pPr>
    </w:p>
    <w:tbl>
      <w:tblPr>
        <w:tblpPr w:leftFromText="141" w:rightFromText="141" w:vertAnchor="tex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28"/>
      </w:tblGrid>
      <w:tr w:rsidRPr="00BB2CE7" w:rsidR="00DB670B" w:rsidTr="008A5BDD" w14:paraId="24EF0719" w14:textId="77777777">
        <w:tc>
          <w:tcPr>
            <w:tcW w:w="5000" w:type="pct"/>
            <w:shd w:val="clear" w:color="auto" w:fill="9CC2E5" w:themeFill="accent1" w:themeFillTint="99"/>
          </w:tcPr>
          <w:p w:rsidRPr="00BB2CE7" w:rsidR="00DB670B" w:rsidP="008A5BDD" w:rsidRDefault="00DB670B" w14:paraId="6102010C" w14:textId="77777777">
            <w:pPr>
              <w:widowControl w:val="0"/>
              <w:spacing w:line="240" w:lineRule="auto"/>
              <w:ind w:right="4"/>
              <w:contextualSpacing/>
              <w:rPr>
                <w:strike/>
                <w:color w:val="2F5496"/>
                <w:sz w:val="24"/>
                <w:lang w:val="es-CR" w:eastAsia="es-ES"/>
              </w:rPr>
            </w:pPr>
            <w:r w:rsidRPr="00BB2CE7">
              <w:rPr>
                <w:rFonts w:cs="Calibri"/>
                <w:b/>
                <w:bCs/>
                <w:sz w:val="24"/>
                <w:lang w:val="es-CR" w:eastAsia="es-ES"/>
              </w:rPr>
              <w:t>Gestión del Capital</w:t>
            </w:r>
          </w:p>
        </w:tc>
      </w:tr>
      <w:tr w:rsidRPr="00BB2CE7" w:rsidR="00DB670B" w:rsidTr="008A5BDD" w14:paraId="1335393C" w14:textId="77777777">
        <w:tc>
          <w:tcPr>
            <w:tcW w:w="5000" w:type="pct"/>
            <w:shd w:val="clear" w:color="auto" w:fill="auto"/>
          </w:tcPr>
          <w:p w:rsidRPr="00BB2CE7" w:rsidR="00DB670B" w:rsidP="008A5BDD" w:rsidRDefault="00DB670B" w14:paraId="00F0067A" w14:textId="77777777">
            <w:pPr>
              <w:spacing w:line="240" w:lineRule="auto"/>
              <w:contextualSpacing/>
              <w:rPr>
                <w:rFonts w:cs="Calibri"/>
                <w:sz w:val="24"/>
                <w:lang w:val="es-CR" w:eastAsia="es-ES"/>
              </w:rPr>
            </w:pPr>
            <w:r w:rsidRPr="00BB2CE7">
              <w:rPr>
                <w:rFonts w:cs="Calibri"/>
                <w:sz w:val="24"/>
                <w:lang w:val="es-CR" w:eastAsia="es-ES"/>
              </w:rPr>
              <w:t>Las políticas y procedimientos de gestión del capital son adecuados al perfil de riesgo de la entidad.</w:t>
            </w:r>
          </w:p>
        </w:tc>
      </w:tr>
      <w:tr w:rsidRPr="00BB2CE7" w:rsidR="00DB670B" w:rsidTr="008A5BDD" w14:paraId="124B3B07" w14:textId="77777777">
        <w:tc>
          <w:tcPr>
            <w:tcW w:w="5000" w:type="pct"/>
            <w:shd w:val="clear" w:color="auto" w:fill="auto"/>
          </w:tcPr>
          <w:p w:rsidRPr="00BB2CE7" w:rsidR="00DB670B" w:rsidP="008A5BDD" w:rsidRDefault="00DB670B" w14:paraId="7BE16E23" w14:textId="77777777">
            <w:pPr>
              <w:spacing w:line="240" w:lineRule="auto"/>
              <w:contextualSpacing/>
              <w:rPr>
                <w:rFonts w:cs="Calibri"/>
                <w:sz w:val="24"/>
                <w:lang w:val="es-CR" w:eastAsia="es-ES"/>
              </w:rPr>
            </w:pPr>
            <w:r w:rsidRPr="00BB2CE7">
              <w:rPr>
                <w:rFonts w:cs="Calibri"/>
                <w:sz w:val="24"/>
                <w:lang w:val="es-CR" w:eastAsia="es-ES"/>
              </w:rPr>
              <w:t>La entidad posee una posición patrimonial adecuada para soportar pérdidas en situaciones normales y de estrés.</w:t>
            </w:r>
          </w:p>
        </w:tc>
      </w:tr>
      <w:tr w:rsidRPr="00BB2CE7" w:rsidR="00DB670B" w:rsidTr="008A5BDD" w14:paraId="66B69E47" w14:textId="77777777">
        <w:tc>
          <w:tcPr>
            <w:tcW w:w="5000" w:type="pct"/>
            <w:shd w:val="clear" w:color="auto" w:fill="auto"/>
          </w:tcPr>
          <w:p w:rsidRPr="00BB2CE7" w:rsidR="00DB670B" w:rsidP="008A5BDD" w:rsidRDefault="00DB670B" w14:paraId="6B24329D" w14:textId="77777777">
            <w:pPr>
              <w:spacing w:line="240" w:lineRule="auto"/>
              <w:contextualSpacing/>
              <w:rPr>
                <w:rFonts w:cs="Calibri"/>
                <w:sz w:val="24"/>
                <w:lang w:val="es-CR" w:eastAsia="es-ES"/>
              </w:rPr>
            </w:pPr>
            <w:r w:rsidRPr="00BB2CE7">
              <w:rPr>
                <w:rFonts w:cs="Calibri"/>
                <w:sz w:val="24"/>
                <w:lang w:val="es-CR" w:eastAsia="es-ES"/>
              </w:rPr>
              <w:t xml:space="preserve">Sus accionistas o asociados presentan altos niveles de solvencia y poseen un fuerte compromiso con la entidad en materia de respaldo del capital. </w:t>
            </w:r>
          </w:p>
        </w:tc>
      </w:tr>
      <w:tr w:rsidRPr="00BB2CE7" w:rsidR="00DB670B" w:rsidTr="008A5BDD" w14:paraId="4E11D82C" w14:textId="77777777">
        <w:tc>
          <w:tcPr>
            <w:tcW w:w="5000" w:type="pct"/>
            <w:shd w:val="clear" w:color="auto" w:fill="auto"/>
          </w:tcPr>
          <w:p w:rsidRPr="00BB2CE7" w:rsidR="00DB670B" w:rsidP="008A5BDD" w:rsidRDefault="00DB670B" w14:paraId="06E303B5" w14:textId="77777777">
            <w:pPr>
              <w:spacing w:line="240" w:lineRule="auto"/>
              <w:contextualSpacing/>
              <w:rPr>
                <w:rFonts w:cs="Calibri"/>
                <w:sz w:val="24"/>
                <w:lang w:val="es-CR" w:eastAsia="es-ES"/>
              </w:rPr>
            </w:pPr>
            <w:r w:rsidRPr="00BB2CE7">
              <w:rPr>
                <w:rFonts w:cs="Calibri"/>
                <w:sz w:val="24"/>
                <w:lang w:val="es-CR" w:eastAsia="es-ES"/>
              </w:rPr>
              <w:t>Dispone de un proceso para pruebas de estrés ante diferentes situaciones que podrían tener un efecto adverso en la entidad.</w:t>
            </w:r>
          </w:p>
        </w:tc>
      </w:tr>
      <w:tr w:rsidRPr="00BB2CE7" w:rsidR="00DB670B" w:rsidTr="008A5BDD" w14:paraId="748E548C" w14:textId="77777777">
        <w:tc>
          <w:tcPr>
            <w:tcW w:w="5000" w:type="pct"/>
            <w:tcBorders>
              <w:bottom w:val="single" w:color="auto" w:sz="4" w:space="0"/>
            </w:tcBorders>
            <w:shd w:val="clear" w:color="auto" w:fill="auto"/>
          </w:tcPr>
          <w:p w:rsidRPr="00BB2CE7" w:rsidR="00DB670B" w:rsidP="008A5BDD" w:rsidRDefault="00DB670B" w14:paraId="1D9EEA47" w14:textId="77777777">
            <w:pPr>
              <w:spacing w:line="240" w:lineRule="auto"/>
              <w:contextualSpacing/>
              <w:rPr>
                <w:rFonts w:cs="Calibri"/>
                <w:sz w:val="24"/>
                <w:lang w:val="es-CR" w:eastAsia="es-ES"/>
              </w:rPr>
            </w:pPr>
            <w:r w:rsidRPr="00BB2CE7">
              <w:rPr>
                <w:rFonts w:cs="Calibri"/>
                <w:sz w:val="24"/>
                <w:lang w:val="es-CR" w:eastAsia="es-ES"/>
              </w:rPr>
              <w:t>El proceso de planificación del capital está integrado dentro de los planes estratégicos y de negocios de la entidad, según su perfil de riesgo y con una estrategia prospectiva para mantener sus niveles de capital a lo largo del tiempo.</w:t>
            </w:r>
          </w:p>
        </w:tc>
      </w:tr>
      <w:tr w:rsidRPr="00BB2CE7" w:rsidR="00DB670B" w:rsidTr="008A5BDD" w14:paraId="41A78603" w14:textId="77777777">
        <w:tc>
          <w:tcPr>
            <w:tcW w:w="5000" w:type="pct"/>
            <w:shd w:val="clear" w:color="auto" w:fill="9CC2E5" w:themeFill="accent1" w:themeFillTint="99"/>
          </w:tcPr>
          <w:p w:rsidRPr="00BB2CE7" w:rsidR="00DB670B" w:rsidP="008A5BDD" w:rsidRDefault="00DB670B" w14:paraId="134E65E4" w14:textId="77777777">
            <w:pPr>
              <w:widowControl w:val="0"/>
              <w:spacing w:line="240" w:lineRule="auto"/>
              <w:ind w:right="4"/>
              <w:contextualSpacing/>
              <w:rPr>
                <w:strike/>
                <w:color w:val="2F5496"/>
                <w:sz w:val="24"/>
                <w:lang w:val="es-CR" w:eastAsia="es-ES"/>
              </w:rPr>
            </w:pPr>
            <w:r w:rsidRPr="00BB2CE7">
              <w:rPr>
                <w:rFonts w:cs="Calibri"/>
                <w:b/>
                <w:bCs/>
                <w:sz w:val="24"/>
                <w:lang w:val="es-CR" w:eastAsia="es-ES"/>
              </w:rPr>
              <w:t>Evaluación de las Utilidades o Excedentes</w:t>
            </w:r>
          </w:p>
        </w:tc>
      </w:tr>
      <w:tr w:rsidRPr="00BB2CE7" w:rsidR="00DB670B" w:rsidTr="008A5BDD" w14:paraId="1E475CAD" w14:textId="77777777">
        <w:tc>
          <w:tcPr>
            <w:tcW w:w="5000" w:type="pct"/>
            <w:shd w:val="clear" w:color="auto" w:fill="auto"/>
          </w:tcPr>
          <w:p w:rsidRPr="00BB2CE7" w:rsidR="00DB670B" w:rsidP="008A5BDD" w:rsidRDefault="00DB670B" w14:paraId="52CD050B" w14:textId="77777777">
            <w:pPr>
              <w:spacing w:line="240" w:lineRule="auto"/>
              <w:contextualSpacing/>
              <w:rPr>
                <w:rFonts w:cs="Calibri"/>
                <w:sz w:val="24"/>
                <w:lang w:val="es-CR" w:eastAsia="es-ES"/>
              </w:rPr>
            </w:pPr>
            <w:r w:rsidRPr="00BB2CE7">
              <w:rPr>
                <w:rFonts w:cs="Calibri"/>
                <w:sz w:val="24"/>
                <w:lang w:val="es-CR" w:eastAsia="es-ES"/>
              </w:rPr>
              <w:t>La entidad cuenta con el nivel de utilidades para respaldar las operaciones y crecimiento patrimonial.</w:t>
            </w:r>
          </w:p>
        </w:tc>
      </w:tr>
      <w:tr w:rsidRPr="00BB2CE7" w:rsidR="00DB670B" w:rsidTr="008A5BDD" w14:paraId="4FA05D9F" w14:textId="77777777">
        <w:tc>
          <w:tcPr>
            <w:tcW w:w="5000" w:type="pct"/>
            <w:shd w:val="clear" w:color="auto" w:fill="auto"/>
          </w:tcPr>
          <w:p w:rsidRPr="00BB2CE7" w:rsidR="00DB670B" w:rsidP="008A5BDD" w:rsidRDefault="00DB670B" w14:paraId="32BB1EFB" w14:textId="77777777">
            <w:pPr>
              <w:spacing w:line="240" w:lineRule="auto"/>
              <w:contextualSpacing/>
              <w:rPr>
                <w:rFonts w:cs="Calibri"/>
                <w:sz w:val="24"/>
                <w:lang w:val="es-CR" w:eastAsia="es-ES"/>
              </w:rPr>
            </w:pPr>
            <w:r w:rsidRPr="00BB2CE7">
              <w:rPr>
                <w:rFonts w:cs="Calibri"/>
                <w:sz w:val="24"/>
                <w:lang w:val="es-CR" w:eastAsia="es-ES"/>
              </w:rPr>
              <w:t>Las fuentes principales de resultados son de alta calidad, en términos de composición, estabilidad y tendencia de acuerdo con lo planeado y no tiene dependencia de fuentes de ingresos no recurrentes.</w:t>
            </w:r>
          </w:p>
        </w:tc>
      </w:tr>
      <w:tr w:rsidRPr="00BB2CE7" w:rsidR="00DB670B" w:rsidTr="008A5BDD" w14:paraId="371853B6" w14:textId="77777777">
        <w:tc>
          <w:tcPr>
            <w:tcW w:w="5000" w:type="pct"/>
            <w:shd w:val="clear" w:color="auto" w:fill="auto"/>
          </w:tcPr>
          <w:p w:rsidRPr="00BB2CE7" w:rsidR="00DB670B" w:rsidP="008A5BDD" w:rsidRDefault="00DB670B" w14:paraId="56347FD1" w14:textId="77777777">
            <w:pPr>
              <w:spacing w:line="240" w:lineRule="auto"/>
              <w:contextualSpacing/>
              <w:rPr>
                <w:rFonts w:cs="Calibri"/>
                <w:sz w:val="24"/>
                <w:lang w:val="es-CR" w:eastAsia="es-ES"/>
              </w:rPr>
            </w:pPr>
            <w:r w:rsidRPr="00BB2CE7">
              <w:rPr>
                <w:rFonts w:cs="Calibri"/>
                <w:sz w:val="24"/>
                <w:lang w:val="es-CR" w:eastAsia="es-ES"/>
              </w:rPr>
              <w:t>La entidad posee la capacidad para generar utilidades o excedentes en los próximos doce meses, teniendo en cuenta el entorno, los mercados y los sectores donde la entidad realiza sus negocios.</w:t>
            </w:r>
          </w:p>
        </w:tc>
      </w:tr>
      <w:tr w:rsidRPr="00BB2CE7" w:rsidR="00DB670B" w:rsidTr="008A5BDD" w14:paraId="1074658D" w14:textId="77777777">
        <w:tc>
          <w:tcPr>
            <w:tcW w:w="5000" w:type="pct"/>
            <w:shd w:val="clear" w:color="auto" w:fill="auto"/>
          </w:tcPr>
          <w:p w:rsidRPr="00BB2CE7" w:rsidR="00DB670B" w:rsidP="008A5BDD" w:rsidRDefault="00DB670B" w14:paraId="3B503E57" w14:textId="77777777">
            <w:pPr>
              <w:spacing w:line="240" w:lineRule="auto"/>
              <w:contextualSpacing/>
              <w:rPr>
                <w:rFonts w:cs="Calibri"/>
                <w:sz w:val="24"/>
                <w:lang w:val="es-CR" w:eastAsia="es-ES"/>
              </w:rPr>
            </w:pPr>
            <w:r w:rsidRPr="00BB2CE7">
              <w:rPr>
                <w:rFonts w:cs="Calibri"/>
                <w:sz w:val="24"/>
                <w:lang w:val="es-CR" w:eastAsia="es-ES"/>
              </w:rPr>
              <w:t>La entidad cuenta con políticas y prácticas de gestión para corregir las debilidades en el corto plazo.</w:t>
            </w:r>
          </w:p>
        </w:tc>
      </w:tr>
      <w:tr w:rsidRPr="00BB2CE7" w:rsidR="00DB670B" w:rsidTr="008A5BDD" w14:paraId="32D4FF11" w14:textId="77777777">
        <w:tc>
          <w:tcPr>
            <w:tcW w:w="5000" w:type="pct"/>
            <w:tcBorders>
              <w:bottom w:val="single" w:color="auto" w:sz="4" w:space="0"/>
            </w:tcBorders>
            <w:shd w:val="clear" w:color="auto" w:fill="auto"/>
          </w:tcPr>
          <w:p w:rsidRPr="00BB2CE7" w:rsidR="00DB670B" w:rsidP="008A5BDD" w:rsidRDefault="00DB670B" w14:paraId="5C6892CF" w14:textId="77777777">
            <w:pPr>
              <w:spacing w:line="240" w:lineRule="auto"/>
              <w:contextualSpacing/>
              <w:rPr>
                <w:rFonts w:cs="Calibri"/>
                <w:sz w:val="24"/>
                <w:lang w:val="es-CR" w:eastAsia="es-ES"/>
              </w:rPr>
            </w:pPr>
            <w:r w:rsidRPr="00BB2CE7">
              <w:rPr>
                <w:rFonts w:cs="Calibri"/>
                <w:sz w:val="24"/>
                <w:lang w:val="es-CR" w:eastAsia="es-ES"/>
              </w:rPr>
              <w:t>La entidad genera reportes e informes que incluyen los resultados del impacto que tienen en la generación de ingresos y de gastos los diferentes riesgos a los que está expuesta la entidad y de pruebas de estrés realizadas.</w:t>
            </w:r>
          </w:p>
        </w:tc>
      </w:tr>
      <w:tr w:rsidRPr="00BB2CE7" w:rsidR="00DB670B" w:rsidTr="008A5BDD" w14:paraId="245F8395" w14:textId="77777777">
        <w:tc>
          <w:tcPr>
            <w:tcW w:w="5000" w:type="pct"/>
            <w:shd w:val="clear" w:color="auto" w:fill="9CC2E5" w:themeFill="accent1" w:themeFillTint="99"/>
          </w:tcPr>
          <w:p w:rsidRPr="00BB2CE7" w:rsidR="00DB670B" w:rsidP="008A5BDD" w:rsidRDefault="00DB670B" w14:paraId="304A1049" w14:textId="77777777">
            <w:pPr>
              <w:widowControl w:val="0"/>
              <w:spacing w:line="240" w:lineRule="auto"/>
              <w:ind w:right="4"/>
              <w:contextualSpacing/>
              <w:rPr>
                <w:strike/>
                <w:color w:val="2F5496"/>
                <w:sz w:val="24"/>
                <w:lang w:val="es-CR" w:eastAsia="es-ES"/>
              </w:rPr>
            </w:pPr>
            <w:r w:rsidRPr="00BB2CE7">
              <w:rPr>
                <w:rFonts w:cs="Calibri"/>
                <w:b/>
                <w:bCs/>
                <w:sz w:val="24"/>
                <w:lang w:val="es-CR" w:eastAsia="es-ES"/>
              </w:rPr>
              <w:t>Gestión de la Liquidez</w:t>
            </w:r>
          </w:p>
        </w:tc>
      </w:tr>
      <w:tr w:rsidRPr="00BB2CE7" w:rsidR="00DB670B" w:rsidTr="008A5BDD" w14:paraId="7CE0EC58" w14:textId="77777777">
        <w:tc>
          <w:tcPr>
            <w:tcW w:w="5000" w:type="pct"/>
            <w:shd w:val="clear" w:color="auto" w:fill="auto"/>
          </w:tcPr>
          <w:p w:rsidRPr="00BB2CE7" w:rsidR="00DB670B" w:rsidP="008A5BDD" w:rsidRDefault="00DB670B" w14:paraId="7F47B468" w14:textId="77777777">
            <w:pPr>
              <w:spacing w:line="240" w:lineRule="auto"/>
              <w:contextualSpacing/>
              <w:rPr>
                <w:rFonts w:cs="Calibri"/>
                <w:sz w:val="24"/>
                <w:lang w:val="es-CR" w:eastAsia="es-ES"/>
              </w:rPr>
            </w:pPr>
            <w:r w:rsidRPr="00BB2CE7">
              <w:rPr>
                <w:rFonts w:cs="Calibri"/>
                <w:sz w:val="24"/>
                <w:lang w:val="es-CR" w:eastAsia="es-ES"/>
              </w:rPr>
              <w:t>La entidad cuenta con un adecuado marco de gestión de liquidez</w:t>
            </w:r>
          </w:p>
        </w:tc>
      </w:tr>
      <w:tr w:rsidRPr="00BB2CE7" w:rsidR="00DB670B" w:rsidTr="008A5BDD" w14:paraId="03FF7795" w14:textId="77777777">
        <w:tc>
          <w:tcPr>
            <w:tcW w:w="5000" w:type="pct"/>
            <w:shd w:val="clear" w:color="auto" w:fill="auto"/>
          </w:tcPr>
          <w:p w:rsidRPr="00BB2CE7" w:rsidR="00DB670B" w:rsidP="008A5BDD" w:rsidRDefault="00DB670B" w14:paraId="5BD7E1D4" w14:textId="77777777">
            <w:pPr>
              <w:spacing w:line="240" w:lineRule="auto"/>
              <w:contextualSpacing/>
              <w:rPr>
                <w:rFonts w:cs="Calibri"/>
                <w:sz w:val="24"/>
                <w:lang w:val="es-CR" w:eastAsia="es-ES"/>
              </w:rPr>
            </w:pPr>
            <w:r w:rsidRPr="00BB2CE7">
              <w:rPr>
                <w:rFonts w:cs="Calibri"/>
                <w:sz w:val="24"/>
                <w:lang w:val="es-CR" w:eastAsia="es-ES"/>
              </w:rPr>
              <w:t xml:space="preserve">La entidad cuenta con una estructura de fondeo adecuada. </w:t>
            </w:r>
          </w:p>
        </w:tc>
      </w:tr>
      <w:tr w:rsidRPr="00BB2CE7" w:rsidR="00DB670B" w:rsidTr="008A5BDD" w14:paraId="314E665F" w14:textId="77777777">
        <w:tc>
          <w:tcPr>
            <w:tcW w:w="5000" w:type="pct"/>
            <w:shd w:val="clear" w:color="auto" w:fill="auto"/>
          </w:tcPr>
          <w:p w:rsidRPr="00BB2CE7" w:rsidR="00DB670B" w:rsidP="008A5BDD" w:rsidRDefault="00DB670B" w14:paraId="7A9B4260" w14:textId="77777777">
            <w:pPr>
              <w:spacing w:line="240" w:lineRule="auto"/>
              <w:contextualSpacing/>
              <w:rPr>
                <w:rFonts w:cs="Calibri"/>
                <w:sz w:val="24"/>
                <w:lang w:val="es-CR" w:eastAsia="es-ES"/>
              </w:rPr>
            </w:pPr>
            <w:r w:rsidRPr="00BB2CE7">
              <w:rPr>
                <w:rFonts w:cs="Calibri"/>
                <w:sz w:val="24"/>
                <w:lang w:val="es-CR" w:eastAsia="es-ES"/>
              </w:rPr>
              <w:lastRenderedPageBreak/>
              <w:t>La entidad posee fuentes alternativas de fondeo y no presenta concentraciones de fuentes de fondeo.</w:t>
            </w:r>
          </w:p>
        </w:tc>
      </w:tr>
      <w:tr w:rsidRPr="00BB2CE7" w:rsidR="00DB670B" w:rsidTr="008A5BDD" w14:paraId="271D8FE4" w14:textId="77777777">
        <w:tc>
          <w:tcPr>
            <w:tcW w:w="5000" w:type="pct"/>
            <w:tcBorders>
              <w:bottom w:val="single" w:color="auto" w:sz="4" w:space="0"/>
            </w:tcBorders>
            <w:shd w:val="clear" w:color="auto" w:fill="auto"/>
          </w:tcPr>
          <w:p w:rsidRPr="00BB2CE7" w:rsidR="00DB670B" w:rsidP="008A5BDD" w:rsidRDefault="00DB670B" w14:paraId="27BA09FA" w14:textId="77777777">
            <w:pPr>
              <w:spacing w:line="240" w:lineRule="auto"/>
              <w:contextualSpacing/>
              <w:rPr>
                <w:rFonts w:cs="Calibri"/>
                <w:sz w:val="24"/>
                <w:lang w:val="es-CR" w:eastAsia="es-ES"/>
              </w:rPr>
            </w:pPr>
            <w:r w:rsidRPr="00BB2CE7">
              <w:rPr>
                <w:rFonts w:cs="Calibri"/>
                <w:sz w:val="24"/>
                <w:lang w:val="es-CR" w:eastAsia="es-ES"/>
              </w:rPr>
              <w:t>La entidad posee un proceso de gestión del riesgo de liquidez, que provee una estructura, planes de contingencia y un nivel apropiado de pruebas de estrés, así como reportes e informes que incluyen los resultados del impacto en este riesgo de productos, líneas de negocios, pruebas de estrés y riesgos a los que está expuesta la entidad.</w:t>
            </w:r>
          </w:p>
        </w:tc>
      </w:tr>
      <w:tr w:rsidRPr="00BB2CE7" w:rsidR="00DB670B" w:rsidTr="008A5BDD" w14:paraId="2E75F9FC" w14:textId="77777777">
        <w:tc>
          <w:tcPr>
            <w:tcW w:w="5000" w:type="pct"/>
            <w:shd w:val="clear" w:color="auto" w:fill="9CC2E5" w:themeFill="accent1" w:themeFillTint="99"/>
          </w:tcPr>
          <w:p w:rsidRPr="00BB2CE7" w:rsidR="00DB670B" w:rsidP="008A5BDD" w:rsidRDefault="00DB670B" w14:paraId="3425F007" w14:textId="77777777">
            <w:pPr>
              <w:widowControl w:val="0"/>
              <w:spacing w:line="240" w:lineRule="auto"/>
              <w:ind w:right="4"/>
              <w:contextualSpacing/>
              <w:rPr>
                <w:strike/>
                <w:color w:val="2F5496"/>
                <w:sz w:val="24"/>
                <w:lang w:val="es-CR" w:eastAsia="es-ES"/>
              </w:rPr>
            </w:pPr>
            <w:r w:rsidRPr="00BB2CE7">
              <w:rPr>
                <w:rFonts w:cs="Calibri"/>
                <w:b/>
                <w:bCs/>
                <w:sz w:val="24"/>
                <w:lang w:val="es-CR" w:eastAsia="es-ES"/>
              </w:rPr>
              <w:t>Calidad de los Activos</w:t>
            </w:r>
          </w:p>
        </w:tc>
      </w:tr>
      <w:tr w:rsidRPr="00BB2CE7" w:rsidR="00DB670B" w:rsidTr="008A5BDD" w14:paraId="59F1B542" w14:textId="77777777">
        <w:tc>
          <w:tcPr>
            <w:tcW w:w="5000" w:type="pct"/>
            <w:shd w:val="clear" w:color="auto" w:fill="auto"/>
          </w:tcPr>
          <w:p w:rsidRPr="00BB2CE7" w:rsidR="00DB670B" w:rsidP="008A5BDD" w:rsidRDefault="00DB670B" w14:paraId="7F041049" w14:textId="77777777">
            <w:pPr>
              <w:spacing w:line="240" w:lineRule="auto"/>
              <w:contextualSpacing/>
              <w:rPr>
                <w:rFonts w:cs="Calibri"/>
                <w:sz w:val="24"/>
                <w:lang w:val="es-CR" w:eastAsia="es-ES"/>
              </w:rPr>
            </w:pPr>
            <w:r w:rsidRPr="00BB2CE7">
              <w:rPr>
                <w:rFonts w:cs="Calibri"/>
                <w:sz w:val="24"/>
                <w:lang w:val="es-CR" w:eastAsia="es-ES"/>
              </w:rPr>
              <w:t xml:space="preserve"> La entidad cuenta con un marco de gestión de los riesgos de los activos adecuado.</w:t>
            </w:r>
          </w:p>
        </w:tc>
      </w:tr>
      <w:tr w:rsidRPr="00BB2CE7" w:rsidR="00DB670B" w:rsidTr="008A5BDD" w14:paraId="6EE4E998" w14:textId="77777777">
        <w:tc>
          <w:tcPr>
            <w:tcW w:w="5000" w:type="pct"/>
            <w:shd w:val="clear" w:color="auto" w:fill="auto"/>
          </w:tcPr>
          <w:p w:rsidRPr="00BB2CE7" w:rsidR="00DB670B" w:rsidP="008A5BDD" w:rsidRDefault="00DB670B" w14:paraId="28C37ED1" w14:textId="77777777">
            <w:pPr>
              <w:spacing w:line="240" w:lineRule="auto"/>
              <w:contextualSpacing/>
              <w:rPr>
                <w:rFonts w:cs="Calibri"/>
                <w:sz w:val="24"/>
                <w:lang w:val="es-CR" w:eastAsia="es-ES"/>
              </w:rPr>
            </w:pPr>
            <w:r w:rsidRPr="00BB2CE7">
              <w:rPr>
                <w:rFonts w:cs="Calibri"/>
                <w:sz w:val="24"/>
                <w:lang w:val="es-CR" w:eastAsia="es-ES"/>
              </w:rPr>
              <w:t xml:space="preserve"> La entidad presenta niveles de cobertura de estimaciones adecuados para su modelo de negocio y perfil de riesgo. Los niveles de cobertura permiten a la entidad responder adecuadamente ante shocks externos sin afectar la continuidad de su negocio.</w:t>
            </w:r>
          </w:p>
        </w:tc>
      </w:tr>
      <w:tr w:rsidRPr="00BB2CE7" w:rsidR="00DB670B" w:rsidTr="008A5BDD" w14:paraId="2F54FDC2" w14:textId="77777777">
        <w:tc>
          <w:tcPr>
            <w:tcW w:w="5000" w:type="pct"/>
            <w:shd w:val="clear" w:color="auto" w:fill="auto"/>
          </w:tcPr>
          <w:p w:rsidRPr="00BB2CE7" w:rsidR="00DB670B" w:rsidP="008A5BDD" w:rsidRDefault="00DB670B" w14:paraId="5EE26BF8" w14:textId="77777777">
            <w:pPr>
              <w:spacing w:line="240" w:lineRule="auto"/>
              <w:contextualSpacing/>
              <w:rPr>
                <w:rFonts w:cs="Calibri"/>
                <w:sz w:val="24"/>
                <w:lang w:val="es-CR" w:eastAsia="es-ES"/>
              </w:rPr>
            </w:pPr>
            <w:r w:rsidRPr="00BB2CE7">
              <w:rPr>
                <w:rFonts w:cs="Calibri"/>
                <w:sz w:val="24"/>
                <w:lang w:val="es-CR" w:eastAsia="es-ES"/>
              </w:rPr>
              <w:t xml:space="preserve"> La entidad presenta niveles de diversificación de activos para su modelo de negocio y perfil de riesgo.  </w:t>
            </w:r>
          </w:p>
        </w:tc>
      </w:tr>
      <w:tr w:rsidRPr="00BB2CE7" w:rsidR="00DB670B" w:rsidTr="008A5BDD" w14:paraId="5CCE4262" w14:textId="77777777">
        <w:tc>
          <w:tcPr>
            <w:tcW w:w="5000" w:type="pct"/>
            <w:shd w:val="clear" w:color="auto" w:fill="auto"/>
          </w:tcPr>
          <w:p w:rsidRPr="00BB2CE7" w:rsidR="00DB670B" w:rsidP="008A5BDD" w:rsidRDefault="00DB670B" w14:paraId="6A97CE32" w14:textId="77777777">
            <w:pPr>
              <w:spacing w:line="240" w:lineRule="auto"/>
              <w:contextualSpacing/>
              <w:rPr>
                <w:rFonts w:cs="Calibri"/>
                <w:sz w:val="24"/>
                <w:lang w:val="es-CR" w:eastAsia="es-ES"/>
              </w:rPr>
            </w:pPr>
            <w:r w:rsidRPr="00BB2CE7">
              <w:rPr>
                <w:rFonts w:cs="Calibri"/>
                <w:sz w:val="24"/>
                <w:lang w:val="es-CR" w:eastAsia="es-ES"/>
              </w:rPr>
              <w:t xml:space="preserve">La calidad, estructura y niveles de concentración de activos es adecuada. </w:t>
            </w:r>
          </w:p>
        </w:tc>
      </w:tr>
    </w:tbl>
    <w:p w:rsidRPr="00BB2CE7" w:rsidR="00DB670B" w:rsidP="00DB670B" w:rsidRDefault="00DB670B" w14:paraId="6FD58ADB" w14:textId="77777777">
      <w:pPr>
        <w:widowControl w:val="0"/>
        <w:spacing w:line="240" w:lineRule="auto"/>
        <w:ind w:right="4"/>
        <w:contextualSpacing/>
        <w:rPr>
          <w:strike/>
          <w:sz w:val="24"/>
          <w:lang w:val="es-CR" w:eastAsia="es-ES"/>
        </w:rPr>
      </w:pPr>
    </w:p>
    <w:p w:rsidRPr="00BB2CE7" w:rsidR="00DB670B" w:rsidP="00DB670B" w:rsidRDefault="00DB670B" w14:paraId="6E3CEAEB" w14:textId="77777777">
      <w:pPr>
        <w:widowControl w:val="0"/>
        <w:spacing w:line="240" w:lineRule="auto"/>
        <w:ind w:right="4"/>
        <w:contextualSpacing/>
        <w:rPr>
          <w:strike/>
          <w:sz w:val="24"/>
          <w:lang w:val="es-CR" w:eastAsia="es-ES"/>
        </w:rPr>
      </w:pPr>
    </w:p>
    <w:p w:rsidRPr="00BB2CE7" w:rsidR="00DB670B" w:rsidP="00DB670B" w:rsidRDefault="00DB670B" w14:paraId="320D20D9" w14:textId="77777777">
      <w:pPr>
        <w:keepNext/>
        <w:keepLines/>
        <w:numPr>
          <w:ilvl w:val="0"/>
          <w:numId w:val="24"/>
        </w:numPr>
        <w:spacing w:after="240" w:line="240" w:lineRule="auto"/>
        <w:ind w:right="4"/>
        <w:contextualSpacing/>
        <w:outlineLvl w:val="0"/>
        <w:rPr>
          <w:b/>
          <w:strike/>
          <w:color w:val="2F5496"/>
          <w:sz w:val="24"/>
          <w:lang w:val="es-CR" w:eastAsia="es-CR"/>
        </w:rPr>
      </w:pPr>
      <w:bookmarkStart w:name="_Toc99545469" w:id="23"/>
      <w:bookmarkStart w:name="_Toc103279736" w:id="24"/>
      <w:r w:rsidRPr="00BB2CE7">
        <w:rPr>
          <w:b/>
          <w:sz w:val="24"/>
          <w:lang w:val="es-CR" w:eastAsia="es-CR"/>
        </w:rPr>
        <w:t>Calidad del Ambiente de Cumplimiento Legal y Regulatorio</w:t>
      </w:r>
      <w:bookmarkEnd w:id="23"/>
      <w:bookmarkEnd w:id="24"/>
    </w:p>
    <w:p w:rsidRPr="00BB2CE7" w:rsidR="00DB670B" w:rsidP="00DB670B" w:rsidRDefault="00DB670B" w14:paraId="3CB1F8D4" w14:textId="77777777">
      <w:pPr>
        <w:keepNext/>
        <w:keepLines/>
        <w:spacing w:after="240" w:line="240" w:lineRule="auto"/>
        <w:ind w:left="726" w:right="4"/>
        <w:contextualSpacing/>
        <w:outlineLvl w:val="0"/>
        <w:rPr>
          <w:b/>
          <w:strike/>
          <w:color w:val="2F5496"/>
          <w:sz w:val="24"/>
          <w:lang w:val="es-CR" w:eastAsia="es-CR"/>
        </w:rPr>
      </w:pPr>
    </w:p>
    <w:p w:rsidRPr="00BB2CE7" w:rsidR="00DB670B" w:rsidP="00DB670B" w:rsidRDefault="00DB670B" w14:paraId="12A3A83F" w14:textId="77777777">
      <w:pPr>
        <w:widowControl w:val="0"/>
        <w:spacing w:line="240" w:lineRule="auto"/>
        <w:ind w:right="4"/>
        <w:contextualSpacing/>
        <w:rPr>
          <w:sz w:val="24"/>
          <w:lang w:val="es-CR" w:eastAsia="es-ES"/>
        </w:rPr>
      </w:pPr>
      <w:r w:rsidRPr="00BB2CE7">
        <w:rPr>
          <w:b/>
          <w:sz w:val="24"/>
          <w:lang w:val="es-CR" w:eastAsia="es-ES"/>
        </w:rPr>
        <w:t>Objetivo</w:t>
      </w:r>
      <w:r w:rsidRPr="00BB2CE7">
        <w:rPr>
          <w:sz w:val="24"/>
          <w:lang w:val="es-CR" w:eastAsia="es-ES"/>
        </w:rPr>
        <w:t xml:space="preserve">: Exponer la expectativa de SUGEF sobre la valoración de la calidad del ambiente de cumplimiento legal y regulatorio de una entidad. </w:t>
      </w:r>
    </w:p>
    <w:p w:rsidRPr="00BB2CE7" w:rsidR="00DB670B" w:rsidP="00DB670B" w:rsidRDefault="00DB670B" w14:paraId="2B7A3A73" w14:textId="77777777">
      <w:pPr>
        <w:widowControl w:val="0"/>
        <w:spacing w:line="240" w:lineRule="auto"/>
        <w:ind w:right="4"/>
        <w:contextualSpacing/>
        <w:rPr>
          <w:strike/>
          <w:sz w:val="24"/>
          <w:lang w:val="es-CR" w:eastAsia="es-ES"/>
        </w:rPr>
      </w:pPr>
    </w:p>
    <w:p w:rsidRPr="00BB2CE7" w:rsidR="00DB670B" w:rsidP="00DB670B" w:rsidRDefault="00DB670B" w14:paraId="0B212526" w14:textId="77777777">
      <w:pPr>
        <w:keepNext/>
        <w:keepLines/>
        <w:numPr>
          <w:ilvl w:val="0"/>
          <w:numId w:val="25"/>
        </w:numPr>
        <w:spacing w:after="240" w:line="240" w:lineRule="auto"/>
        <w:contextualSpacing/>
        <w:outlineLvl w:val="1"/>
        <w:rPr>
          <w:bCs/>
          <w:sz w:val="24"/>
          <w:lang w:val="es-CR" w:eastAsia="es-CR"/>
        </w:rPr>
      </w:pPr>
      <w:bookmarkStart w:name="_Toc99545470" w:id="25"/>
      <w:bookmarkStart w:name="_Toc103279737" w:id="26"/>
      <w:r w:rsidRPr="00BB2CE7">
        <w:rPr>
          <w:b/>
          <w:bCs/>
          <w:sz w:val="24"/>
          <w:lang w:val="es-CR" w:eastAsia="es-CR"/>
        </w:rPr>
        <w:t>Consideraciones Generales.</w:t>
      </w:r>
      <w:bookmarkEnd w:id="25"/>
      <w:bookmarkEnd w:id="26"/>
    </w:p>
    <w:p w:rsidRPr="00BB2CE7" w:rsidR="00DB670B" w:rsidP="00DB670B" w:rsidRDefault="00DB670B" w14:paraId="119ACE57" w14:textId="77777777">
      <w:pPr>
        <w:keepNext/>
        <w:spacing w:after="120" w:line="240" w:lineRule="auto"/>
        <w:contextualSpacing/>
        <w:rPr>
          <w:sz w:val="24"/>
          <w:lang w:val="es-CR" w:eastAsia="es-ES"/>
        </w:rPr>
      </w:pPr>
      <w:r w:rsidRPr="00BB2CE7">
        <w:rPr>
          <w:sz w:val="24"/>
          <w:lang w:val="es-CR" w:eastAsia="es-ES"/>
        </w:rPr>
        <w:t>Este aspecto se focaliza en la evaluación de la gestión de la función de cumplimiento legal y regulatorio, dispuesta en el reglamento sobre gobierno corporativo y en el cumplimiento de leyes y reglamentos, y la regulación del Sistema de Captura, Verificación y Cargas de datos (SICVECA).</w:t>
      </w:r>
    </w:p>
    <w:p w:rsidR="00DB670B" w:rsidP="00DB670B" w:rsidRDefault="00DB670B" w14:paraId="7AEAA789" w14:textId="77777777">
      <w:pPr>
        <w:widowControl w:val="0"/>
        <w:spacing w:after="120" w:line="240" w:lineRule="auto"/>
        <w:ind w:right="4"/>
        <w:contextualSpacing/>
        <w:rPr>
          <w:sz w:val="24"/>
          <w:lang w:val="es-CR" w:eastAsia="es-ES"/>
        </w:rPr>
      </w:pPr>
    </w:p>
    <w:p w:rsidRPr="00BB2CE7" w:rsidR="00DB670B" w:rsidP="00DB670B" w:rsidRDefault="00DB670B" w14:paraId="172A1AFF" w14:textId="77777777">
      <w:pPr>
        <w:widowControl w:val="0"/>
        <w:spacing w:after="120" w:line="240" w:lineRule="auto"/>
        <w:ind w:right="4"/>
        <w:contextualSpacing/>
        <w:rPr>
          <w:sz w:val="24"/>
          <w:lang w:val="es-CR" w:eastAsia="es-ES"/>
        </w:rPr>
      </w:pPr>
      <w:r w:rsidRPr="00BB2CE7">
        <w:rPr>
          <w:sz w:val="24"/>
          <w:lang w:val="es-CR" w:eastAsia="es-ES"/>
        </w:rPr>
        <w:t>La evaluación del cumplimiento legal y regulatorio abarca no solo las regulaciones (prudenciales y otras normas), sino también los requerimientos que realice la SUGEF, mediante observaciones surgidas en los procesos de supervisión, así como planes de acción, de recuperación o saneamiento.</w:t>
      </w:r>
    </w:p>
    <w:p w:rsidR="00DB670B" w:rsidP="00DB670B" w:rsidRDefault="00DB670B" w14:paraId="455A7597" w14:textId="77777777">
      <w:pPr>
        <w:widowControl w:val="0"/>
        <w:spacing w:after="120" w:line="240" w:lineRule="auto"/>
        <w:ind w:right="4"/>
        <w:contextualSpacing/>
        <w:rPr>
          <w:sz w:val="24"/>
          <w:lang w:val="es-CR" w:eastAsia="es-ES"/>
        </w:rPr>
      </w:pPr>
    </w:p>
    <w:p w:rsidRPr="00BB2CE7" w:rsidR="00DB670B" w:rsidP="00DB670B" w:rsidRDefault="00DB670B" w14:paraId="3A5DEA3D" w14:textId="77777777">
      <w:pPr>
        <w:widowControl w:val="0"/>
        <w:spacing w:after="120" w:line="240" w:lineRule="auto"/>
        <w:ind w:right="4"/>
        <w:contextualSpacing/>
        <w:rPr>
          <w:rFonts w:eastAsia="Calibri"/>
          <w:bCs/>
          <w:sz w:val="24"/>
          <w:lang w:val="es-CR"/>
        </w:rPr>
      </w:pPr>
      <w:r w:rsidRPr="00BB2CE7">
        <w:rPr>
          <w:sz w:val="24"/>
          <w:lang w:val="es-CR" w:eastAsia="es-ES"/>
        </w:rPr>
        <w:t>La SUGEF fundamenta la evaluación de la calidad de la gestión de la función de cumplimiento legal y regulatorio en lo dispuesto en la respectiva reglamentación vigente, y en los principios y estándares de organismos internacionales sobre la función de cumplimiento.</w:t>
      </w:r>
    </w:p>
    <w:p w:rsidRPr="00BB2CE7" w:rsidR="00DB670B" w:rsidP="00DB670B" w:rsidRDefault="00DB670B" w14:paraId="3FEFEB78" w14:textId="77777777">
      <w:pPr>
        <w:widowControl w:val="0"/>
        <w:spacing w:line="240" w:lineRule="auto"/>
        <w:ind w:right="4"/>
        <w:contextualSpacing/>
        <w:rPr>
          <w:strike/>
          <w:sz w:val="24"/>
          <w:lang w:val="es-CR" w:eastAsia="es-ES"/>
        </w:rPr>
      </w:pPr>
    </w:p>
    <w:p w:rsidRPr="00BB2CE7" w:rsidR="00DB670B" w:rsidP="00DB670B" w:rsidRDefault="00DB670B" w14:paraId="7229351B" w14:textId="77777777">
      <w:pPr>
        <w:keepNext/>
        <w:keepLines/>
        <w:numPr>
          <w:ilvl w:val="0"/>
          <w:numId w:val="26"/>
        </w:numPr>
        <w:spacing w:after="240" w:line="240" w:lineRule="auto"/>
        <w:contextualSpacing/>
        <w:outlineLvl w:val="1"/>
        <w:rPr>
          <w:b/>
          <w:strike/>
          <w:color w:val="2F5496"/>
          <w:sz w:val="24"/>
          <w:lang w:val="es-CR" w:eastAsia="es-CR"/>
        </w:rPr>
      </w:pPr>
      <w:bookmarkStart w:name="_Toc99545471" w:id="27"/>
      <w:bookmarkStart w:name="_Toc103279738" w:id="28"/>
      <w:r w:rsidRPr="00BB2CE7">
        <w:rPr>
          <w:b/>
          <w:bCs/>
          <w:sz w:val="24"/>
          <w:lang w:val="es-CR" w:eastAsia="es-CR"/>
        </w:rPr>
        <w:t>Elementos y criterios de evaluación</w:t>
      </w:r>
      <w:bookmarkEnd w:id="27"/>
      <w:bookmarkEnd w:id="28"/>
    </w:p>
    <w:p w:rsidR="00DB670B" w:rsidP="00DB670B" w:rsidRDefault="00DB670B" w14:paraId="31E736D5" w14:textId="77777777">
      <w:pPr>
        <w:keepNext/>
        <w:spacing w:after="120" w:line="240" w:lineRule="auto"/>
        <w:contextualSpacing/>
        <w:rPr>
          <w:sz w:val="24"/>
          <w:lang w:val="es-CR" w:eastAsia="es-ES"/>
        </w:rPr>
      </w:pPr>
      <w:r w:rsidRPr="00BB2CE7">
        <w:rPr>
          <w:sz w:val="24"/>
          <w:lang w:val="es-CR" w:eastAsia="es-ES"/>
        </w:rPr>
        <w:t xml:space="preserve">Seguidamente se presentan los elementos y criterios de evaluación, sin perjuicio de que la SUGEF tome en cuenta otros elementos y criterios de evaluación que considere necesarios para la valoración de la calidad de la gestión del ambiente de cumplimiento legal y regulatorio de una entidad. Además, en la evaluación de la calidad de este </w:t>
      </w:r>
      <w:r w:rsidRPr="00BB2CE7">
        <w:rPr>
          <w:sz w:val="24"/>
          <w:lang w:val="es-CR" w:eastAsia="es-ES"/>
        </w:rPr>
        <w:lastRenderedPageBreak/>
        <w:t>aspecto se incluye el cumplimiento de leyes y reglamentos, la regulación del Sistema de Captura, Verificación y Cargas de datos (SICVECA) y los requerimientos que realice la SUGEF, mediante observaciones surgidas en los procesos de supervisión, así como planes de acción, de recuperación o saneamiento.</w:t>
      </w:r>
    </w:p>
    <w:p w:rsidRPr="00BB2CE7" w:rsidR="00DB670B" w:rsidP="00DB670B" w:rsidRDefault="00DB670B" w14:paraId="0E2F641F" w14:textId="77777777">
      <w:pPr>
        <w:keepNext/>
        <w:spacing w:after="120" w:line="240" w:lineRule="auto"/>
        <w:contextualSpacing/>
        <w:rPr>
          <w:sz w:val="24"/>
          <w:lang w:val="es-CR" w:eastAsia="es-ES"/>
        </w:rPr>
      </w:pPr>
    </w:p>
    <w:p w:rsidRPr="00BB2CE7" w:rsidR="00DB670B" w:rsidP="00DB670B" w:rsidRDefault="00DB670B" w14:paraId="4B20AB77" w14:textId="77777777">
      <w:pPr>
        <w:widowControl w:val="0"/>
        <w:spacing w:after="120" w:line="240" w:lineRule="auto"/>
        <w:ind w:right="4"/>
        <w:contextualSpacing/>
        <w:rPr>
          <w:sz w:val="24"/>
          <w:lang w:val="es-CO" w:eastAsia="es-ES"/>
        </w:rPr>
      </w:pPr>
      <w:r w:rsidRPr="00BB2CE7">
        <w:rPr>
          <w:sz w:val="24"/>
          <w:lang w:val="es-CO" w:eastAsia="es-ES"/>
        </w:rPr>
        <w:t>La aplicación y ponderación de cada elemento en la evaluación de la gestión del ambiente de cumplimiento legal y regulatorio depende de la naturaleza, complejidad y perfil de riesgos de la Entidad, así como de la extensión geográfica de sus negocios y el marco legal en el que opera.</w:t>
      </w:r>
    </w:p>
    <w:p w:rsidRPr="00BB2CE7" w:rsidR="00DB670B" w:rsidP="00DB670B" w:rsidRDefault="00DB670B" w14:paraId="3F5EC288" w14:textId="77777777">
      <w:pPr>
        <w:widowControl w:val="0"/>
        <w:spacing w:line="240" w:lineRule="auto"/>
        <w:ind w:right="4"/>
        <w:contextualSpacing/>
        <w:rPr>
          <w:strike/>
          <w:sz w:val="24"/>
          <w:lang w:val="es-CR" w:eastAsia="es-ES"/>
        </w:rPr>
      </w:pPr>
    </w:p>
    <w:tbl>
      <w:tblPr>
        <w:tblpPr w:leftFromText="141" w:rightFromText="141" w:vertAnchor="tex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28"/>
      </w:tblGrid>
      <w:tr w:rsidRPr="00BB2CE7" w:rsidR="00DB670B" w:rsidTr="008A5BDD" w14:paraId="5879EFD8" w14:textId="77777777">
        <w:tc>
          <w:tcPr>
            <w:tcW w:w="5000" w:type="pct"/>
            <w:shd w:val="clear" w:color="auto" w:fill="9CC2E5" w:themeFill="accent1" w:themeFillTint="99"/>
          </w:tcPr>
          <w:p w:rsidRPr="00BB2CE7" w:rsidR="00DB670B" w:rsidP="008A5BDD" w:rsidRDefault="00DB670B" w14:paraId="3159AE21" w14:textId="77777777">
            <w:pPr>
              <w:widowControl w:val="0"/>
              <w:spacing w:line="240" w:lineRule="auto"/>
              <w:ind w:right="4"/>
              <w:contextualSpacing/>
              <w:rPr>
                <w:strike/>
                <w:color w:val="2F5496"/>
                <w:sz w:val="24"/>
                <w:lang w:val="es-CR" w:eastAsia="es-ES"/>
              </w:rPr>
            </w:pPr>
            <w:r w:rsidRPr="00BB2CE7">
              <w:rPr>
                <w:b/>
                <w:bCs/>
                <w:sz w:val="24"/>
                <w:lang w:val="es-CR" w:eastAsia="es-ES"/>
              </w:rPr>
              <w:t>Funciones y Responsabilidades</w:t>
            </w:r>
          </w:p>
        </w:tc>
      </w:tr>
      <w:tr w:rsidRPr="00BB2CE7" w:rsidR="00DB670B" w:rsidTr="008A5BDD" w14:paraId="00223A92" w14:textId="77777777">
        <w:tc>
          <w:tcPr>
            <w:tcW w:w="5000" w:type="pct"/>
            <w:shd w:val="clear" w:color="auto" w:fill="auto"/>
          </w:tcPr>
          <w:p w:rsidRPr="00BB2CE7" w:rsidR="00DB670B" w:rsidP="008A5BDD" w:rsidRDefault="00DB670B" w14:paraId="58F312B9" w14:textId="77777777">
            <w:pPr>
              <w:spacing w:line="240" w:lineRule="auto"/>
              <w:contextualSpacing/>
              <w:rPr>
                <w:rFonts w:cs="Calibri"/>
                <w:sz w:val="24"/>
                <w:lang w:val="es-CR" w:eastAsia="es-ES"/>
              </w:rPr>
            </w:pPr>
            <w:r w:rsidRPr="00BB2CE7">
              <w:rPr>
                <w:rFonts w:cs="Calibri"/>
                <w:sz w:val="24"/>
                <w:lang w:val="es-CR" w:eastAsia="es-ES"/>
              </w:rPr>
              <w:t>Las funciones y responsabilidades de Cumplimiento Legal y Regulatorio están definidas y se cumplen.</w:t>
            </w:r>
          </w:p>
        </w:tc>
      </w:tr>
      <w:tr w:rsidRPr="00BB2CE7" w:rsidR="00DB670B" w:rsidTr="008A5BDD" w14:paraId="40623038" w14:textId="77777777">
        <w:tc>
          <w:tcPr>
            <w:tcW w:w="5000" w:type="pct"/>
            <w:shd w:val="clear" w:color="auto" w:fill="auto"/>
          </w:tcPr>
          <w:p w:rsidRPr="00BB2CE7" w:rsidR="00DB670B" w:rsidP="008A5BDD" w:rsidRDefault="00DB670B" w14:paraId="3C2DB414" w14:textId="77777777">
            <w:pPr>
              <w:spacing w:line="240" w:lineRule="auto"/>
              <w:contextualSpacing/>
              <w:rPr>
                <w:rFonts w:cs="Calibri"/>
                <w:sz w:val="24"/>
                <w:lang w:val="es-CR" w:eastAsia="es-ES"/>
              </w:rPr>
            </w:pPr>
            <w:r w:rsidRPr="00BB2CE7">
              <w:rPr>
                <w:rFonts w:cs="Calibri"/>
                <w:sz w:val="24"/>
                <w:lang w:val="es-CR" w:eastAsia="es-ES"/>
              </w:rPr>
              <w:t>La función de Cumplimiento Legal y Regulatorio le da seguimiento al cumplimiento de la legislación y regulaciones aplicables en la entidad.</w:t>
            </w:r>
          </w:p>
        </w:tc>
      </w:tr>
      <w:tr w:rsidRPr="00BB2CE7" w:rsidR="00DB670B" w:rsidTr="008A5BDD" w14:paraId="7311380C" w14:textId="77777777">
        <w:tc>
          <w:tcPr>
            <w:tcW w:w="5000" w:type="pct"/>
            <w:shd w:val="clear" w:color="auto" w:fill="auto"/>
          </w:tcPr>
          <w:p w:rsidRPr="00BB2CE7" w:rsidR="00DB670B" w:rsidP="008A5BDD" w:rsidRDefault="00DB670B" w14:paraId="11E0AB1D" w14:textId="77777777">
            <w:pPr>
              <w:spacing w:line="240" w:lineRule="auto"/>
              <w:contextualSpacing/>
              <w:rPr>
                <w:rFonts w:cs="Calibri"/>
                <w:sz w:val="24"/>
                <w:lang w:val="es-CR" w:eastAsia="es-ES"/>
              </w:rPr>
            </w:pPr>
            <w:r w:rsidRPr="00BB2CE7">
              <w:rPr>
                <w:rFonts w:cs="Calibri"/>
                <w:sz w:val="24"/>
                <w:lang w:val="es-CR" w:eastAsia="es-ES"/>
              </w:rPr>
              <w:t>Existe documentación y comunicación de las funciones y responsabilidad del Cumplimiento Legal y Regulatorio y están integradas a las actividades del negocio y se cumplen las funciones y responsabilidades del Cumplimiento Legal y Regulatorio.</w:t>
            </w:r>
          </w:p>
        </w:tc>
      </w:tr>
      <w:tr w:rsidRPr="00BB2CE7" w:rsidR="00DB670B" w:rsidTr="008A5BDD" w14:paraId="75298234" w14:textId="77777777">
        <w:tc>
          <w:tcPr>
            <w:tcW w:w="5000" w:type="pct"/>
            <w:tcBorders>
              <w:bottom w:val="single" w:color="auto" w:sz="4" w:space="0"/>
            </w:tcBorders>
            <w:shd w:val="clear" w:color="auto" w:fill="auto"/>
          </w:tcPr>
          <w:p w:rsidRPr="00BB2CE7" w:rsidR="00DB670B" w:rsidP="008A5BDD" w:rsidRDefault="00DB670B" w14:paraId="76A00D42" w14:textId="77777777">
            <w:pPr>
              <w:spacing w:line="240" w:lineRule="auto"/>
              <w:contextualSpacing/>
              <w:rPr>
                <w:rFonts w:cs="Calibri"/>
                <w:sz w:val="24"/>
                <w:lang w:val="es-CR" w:eastAsia="es-ES"/>
              </w:rPr>
            </w:pPr>
            <w:r w:rsidRPr="00BB2CE7">
              <w:rPr>
                <w:rFonts w:cs="Calibri"/>
                <w:sz w:val="24"/>
                <w:lang w:val="es-CR" w:eastAsia="es-ES"/>
              </w:rPr>
              <w:t xml:space="preserve"> El Cumplimiento Legal y Regulatorio realiza un seguimiento oportuno para asegurar que las debilidades significativas detectadas sean solucionadas de manera oportuna.</w:t>
            </w:r>
          </w:p>
        </w:tc>
      </w:tr>
      <w:tr w:rsidRPr="00BB2CE7" w:rsidR="00DB670B" w:rsidTr="008A5BDD" w14:paraId="24DBE34D" w14:textId="77777777">
        <w:tc>
          <w:tcPr>
            <w:tcW w:w="5000" w:type="pct"/>
            <w:shd w:val="clear" w:color="auto" w:fill="9CC2E5" w:themeFill="accent1" w:themeFillTint="99"/>
          </w:tcPr>
          <w:p w:rsidRPr="00BB2CE7" w:rsidR="00DB670B" w:rsidP="008A5BDD" w:rsidRDefault="00DB670B" w14:paraId="5474EE04" w14:textId="77777777">
            <w:pPr>
              <w:widowControl w:val="0"/>
              <w:spacing w:line="240" w:lineRule="auto"/>
              <w:ind w:right="4"/>
              <w:contextualSpacing/>
              <w:rPr>
                <w:strike/>
                <w:color w:val="2F5496"/>
                <w:sz w:val="24"/>
                <w:lang w:val="es-CR" w:eastAsia="es-ES"/>
              </w:rPr>
            </w:pPr>
            <w:r w:rsidRPr="00BB2CE7">
              <w:rPr>
                <w:b/>
                <w:bCs/>
                <w:sz w:val="24"/>
                <w:lang w:val="es-CR" w:eastAsia="es-ES"/>
              </w:rPr>
              <w:t>Estructura organizacional</w:t>
            </w:r>
          </w:p>
        </w:tc>
      </w:tr>
      <w:tr w:rsidRPr="00BB2CE7" w:rsidR="00DB670B" w:rsidTr="008A5BDD" w14:paraId="31AF0082" w14:textId="77777777">
        <w:tc>
          <w:tcPr>
            <w:tcW w:w="5000" w:type="pct"/>
            <w:shd w:val="clear" w:color="auto" w:fill="auto"/>
          </w:tcPr>
          <w:p w:rsidRPr="00BB2CE7" w:rsidR="00DB670B" w:rsidP="008A5BDD" w:rsidRDefault="00DB670B" w14:paraId="22ABBE44" w14:textId="77777777">
            <w:pPr>
              <w:spacing w:line="240" w:lineRule="auto"/>
              <w:contextualSpacing/>
              <w:rPr>
                <w:rFonts w:cs="Calibri"/>
                <w:sz w:val="24"/>
                <w:lang w:val="es-CR" w:eastAsia="es-ES"/>
              </w:rPr>
            </w:pPr>
            <w:r w:rsidRPr="00BB2CE7">
              <w:rPr>
                <w:rFonts w:cs="Calibri"/>
                <w:sz w:val="24"/>
                <w:lang w:val="es-CR" w:eastAsia="es-ES"/>
              </w:rPr>
              <w:t>El Cumplimiento Legal y Regulatorio de la entidad cuenta con una estructura, autoridad, personal idóneo, recursos, acceso a registros, información, y funcionarios, incluido el Órgano de Dirección y la Alta Gerencia, y su función es independiente de las líneas de negocio de la entidad y de los procesos diarios.</w:t>
            </w:r>
          </w:p>
        </w:tc>
      </w:tr>
      <w:tr w:rsidRPr="00BB2CE7" w:rsidR="00DB670B" w:rsidTr="008A5BDD" w14:paraId="7757A468" w14:textId="77777777">
        <w:tc>
          <w:tcPr>
            <w:tcW w:w="5000" w:type="pct"/>
            <w:tcBorders>
              <w:bottom w:val="single" w:color="auto" w:sz="4" w:space="0"/>
            </w:tcBorders>
            <w:shd w:val="clear" w:color="auto" w:fill="auto"/>
          </w:tcPr>
          <w:p w:rsidRPr="00BB2CE7" w:rsidR="00DB670B" w:rsidP="008A5BDD" w:rsidRDefault="00DB670B" w14:paraId="21B351D9" w14:textId="77777777">
            <w:pPr>
              <w:spacing w:line="240" w:lineRule="auto"/>
              <w:contextualSpacing/>
              <w:rPr>
                <w:rFonts w:cs="Calibri"/>
                <w:sz w:val="24"/>
                <w:lang w:val="es-CR" w:eastAsia="es-ES"/>
              </w:rPr>
            </w:pPr>
            <w:r w:rsidRPr="00BB2CE7">
              <w:rPr>
                <w:rFonts w:cs="Calibri"/>
                <w:sz w:val="24"/>
                <w:lang w:val="es-CR" w:eastAsia="es-ES"/>
              </w:rPr>
              <w:t>El Cumplimiento Legal y Regulatorio tiene autoridad, independencia de la Alta Gerencia, recursos y brindar reportes directamente al Órgano de Dirección.</w:t>
            </w:r>
          </w:p>
        </w:tc>
      </w:tr>
      <w:tr w:rsidRPr="00BB2CE7" w:rsidR="00DB670B" w:rsidTr="008A5BDD" w14:paraId="7454B45C" w14:textId="77777777">
        <w:tc>
          <w:tcPr>
            <w:tcW w:w="5000" w:type="pct"/>
            <w:shd w:val="clear" w:color="auto" w:fill="9CC2E5" w:themeFill="accent1" w:themeFillTint="99"/>
          </w:tcPr>
          <w:p w:rsidRPr="00BB2CE7" w:rsidR="00DB670B" w:rsidP="008A5BDD" w:rsidRDefault="00DB670B" w14:paraId="784B1AEB" w14:textId="77777777">
            <w:pPr>
              <w:widowControl w:val="0"/>
              <w:spacing w:line="240" w:lineRule="auto"/>
              <w:ind w:right="4"/>
              <w:contextualSpacing/>
              <w:rPr>
                <w:strike/>
                <w:color w:val="2F5496"/>
                <w:sz w:val="24"/>
                <w:lang w:val="es-CR" w:eastAsia="es-ES"/>
              </w:rPr>
            </w:pPr>
            <w:r w:rsidRPr="00BB2CE7">
              <w:rPr>
                <w:b/>
                <w:bCs/>
                <w:sz w:val="24"/>
                <w:lang w:val="es-CR" w:eastAsia="es-ES"/>
              </w:rPr>
              <w:t>Recursos</w:t>
            </w:r>
          </w:p>
        </w:tc>
      </w:tr>
      <w:tr w:rsidRPr="00BB2CE7" w:rsidR="00DB670B" w:rsidTr="008A5BDD" w14:paraId="199BA3D0" w14:textId="77777777">
        <w:tc>
          <w:tcPr>
            <w:tcW w:w="5000" w:type="pct"/>
            <w:shd w:val="clear" w:color="auto" w:fill="auto"/>
          </w:tcPr>
          <w:p w:rsidRPr="00BB2CE7" w:rsidR="00DB670B" w:rsidP="008A5BDD" w:rsidRDefault="00DB670B" w14:paraId="70982B86" w14:textId="77777777">
            <w:pPr>
              <w:spacing w:line="240" w:lineRule="auto"/>
              <w:contextualSpacing/>
              <w:rPr>
                <w:rFonts w:cs="Calibri"/>
                <w:sz w:val="24"/>
                <w:lang w:val="es-CR" w:eastAsia="es-ES"/>
              </w:rPr>
            </w:pPr>
            <w:r w:rsidRPr="00BB2CE7">
              <w:rPr>
                <w:rFonts w:cs="Calibri"/>
                <w:sz w:val="24"/>
                <w:lang w:val="es-CR" w:eastAsia="es-ES"/>
              </w:rPr>
              <w:t xml:space="preserve">El Cumplimiento Legal y Regulatorio cuenta con políticas y prácticas de la función para determinar: </w:t>
            </w:r>
          </w:p>
          <w:p w:rsidRPr="00BB2CE7" w:rsidR="00DB670B" w:rsidP="008A5BDD" w:rsidRDefault="00DB670B" w14:paraId="18CAA87F" w14:textId="77777777">
            <w:pPr>
              <w:spacing w:line="240" w:lineRule="auto"/>
              <w:contextualSpacing/>
              <w:rPr>
                <w:rFonts w:cs="Calibri"/>
                <w:sz w:val="24"/>
                <w:lang w:val="es-CR" w:eastAsia="es-ES"/>
              </w:rPr>
            </w:pPr>
            <w:r w:rsidRPr="00BB2CE7">
              <w:rPr>
                <w:rFonts w:cs="Calibri"/>
                <w:sz w:val="24"/>
                <w:lang w:val="es-CR" w:eastAsia="es-ES"/>
              </w:rPr>
              <w:t>a) El nivel de recursos para llevar a cabo sus responsabilidades sea suficiente y apropiado.</w:t>
            </w:r>
            <w:r w:rsidRPr="00BB2CE7">
              <w:rPr>
                <w:rFonts w:cs="Calibri"/>
                <w:sz w:val="24"/>
                <w:lang w:val="es-CR" w:eastAsia="es-ES"/>
              </w:rPr>
              <w:br/>
              <w:t>b) La calificación y competencias del personal.</w:t>
            </w:r>
          </w:p>
          <w:p w:rsidRPr="00BB2CE7" w:rsidR="00DB670B" w:rsidP="008A5BDD" w:rsidRDefault="00DB670B" w14:paraId="31AECA82" w14:textId="77777777">
            <w:pPr>
              <w:widowControl w:val="0"/>
              <w:spacing w:line="240" w:lineRule="auto"/>
              <w:ind w:right="4"/>
              <w:contextualSpacing/>
              <w:rPr>
                <w:rFonts w:cs="Calibri"/>
                <w:sz w:val="24"/>
                <w:lang w:val="es-CR" w:eastAsia="es-ES"/>
              </w:rPr>
            </w:pPr>
            <w:r w:rsidRPr="00BB2CE7">
              <w:rPr>
                <w:rFonts w:cs="Calibri"/>
                <w:sz w:val="24"/>
                <w:lang w:val="es-CR" w:eastAsia="es-ES"/>
              </w:rPr>
              <w:t>c) Las necesidades de desarrollo profesional para mejorar las competencias del personal.</w:t>
            </w:r>
          </w:p>
        </w:tc>
      </w:tr>
      <w:tr w:rsidRPr="00BB2CE7" w:rsidR="00DB670B" w:rsidTr="008A5BDD" w14:paraId="1D3D8853" w14:textId="77777777">
        <w:tc>
          <w:tcPr>
            <w:tcW w:w="5000" w:type="pct"/>
            <w:shd w:val="clear" w:color="auto" w:fill="auto"/>
          </w:tcPr>
          <w:p w:rsidRPr="00BB2CE7" w:rsidR="00DB670B" w:rsidP="008A5BDD" w:rsidRDefault="00DB670B" w14:paraId="02E81A17" w14:textId="77777777">
            <w:pPr>
              <w:spacing w:line="240" w:lineRule="auto"/>
              <w:contextualSpacing/>
              <w:rPr>
                <w:rFonts w:cs="Calibri"/>
                <w:sz w:val="24"/>
                <w:lang w:val="es-CR" w:eastAsia="es-ES"/>
              </w:rPr>
            </w:pPr>
            <w:r w:rsidRPr="00BB2CE7">
              <w:rPr>
                <w:rFonts w:cs="Calibri"/>
                <w:sz w:val="24"/>
                <w:lang w:val="es-CR" w:eastAsia="es-ES"/>
              </w:rPr>
              <w:t>El Cumplimiento Legal y Regulatorio cuenta con calificaciones, competencias colectivas del personal y suficiencia de los recursos de la función para el desarrollo de sus funciones y responsabilidades.</w:t>
            </w:r>
          </w:p>
        </w:tc>
      </w:tr>
      <w:tr w:rsidRPr="00BB2CE7" w:rsidR="00DB670B" w:rsidTr="008A5BDD" w14:paraId="0A447BC0" w14:textId="77777777">
        <w:tc>
          <w:tcPr>
            <w:tcW w:w="5000" w:type="pct"/>
            <w:tcBorders>
              <w:bottom w:val="single" w:color="auto" w:sz="4" w:space="0"/>
            </w:tcBorders>
            <w:shd w:val="clear" w:color="auto" w:fill="auto"/>
          </w:tcPr>
          <w:p w:rsidRPr="00BB2CE7" w:rsidR="00DB670B" w:rsidP="008A5BDD" w:rsidRDefault="00DB670B" w14:paraId="5CA392D2" w14:textId="77777777">
            <w:pPr>
              <w:spacing w:line="240" w:lineRule="auto"/>
              <w:contextualSpacing/>
              <w:rPr>
                <w:rFonts w:cs="Calibri"/>
                <w:sz w:val="24"/>
                <w:lang w:val="es-CR" w:eastAsia="es-ES"/>
              </w:rPr>
            </w:pPr>
            <w:r w:rsidRPr="00BB2CE7">
              <w:rPr>
                <w:rFonts w:cs="Calibri"/>
                <w:sz w:val="24"/>
                <w:lang w:val="es-CR" w:eastAsia="es-ES"/>
              </w:rPr>
              <w:t>El Cumplimiento Legal y Regulatorio cuenta con adecuados programas de desarrollo del personal.</w:t>
            </w:r>
          </w:p>
        </w:tc>
      </w:tr>
      <w:tr w:rsidRPr="00BB2CE7" w:rsidR="00DB670B" w:rsidTr="008A5BDD" w14:paraId="0736CDA6" w14:textId="77777777">
        <w:tc>
          <w:tcPr>
            <w:tcW w:w="5000" w:type="pct"/>
            <w:shd w:val="clear" w:color="auto" w:fill="9CC2E5" w:themeFill="accent1" w:themeFillTint="99"/>
          </w:tcPr>
          <w:p w:rsidRPr="00BB2CE7" w:rsidR="00DB670B" w:rsidP="008A5BDD" w:rsidRDefault="00DB670B" w14:paraId="004C3917" w14:textId="77777777">
            <w:pPr>
              <w:widowControl w:val="0"/>
              <w:spacing w:line="240" w:lineRule="auto"/>
              <w:ind w:right="4"/>
              <w:contextualSpacing/>
              <w:rPr>
                <w:strike/>
                <w:color w:val="2F5496"/>
                <w:sz w:val="24"/>
                <w:lang w:val="es-CR" w:eastAsia="es-ES"/>
              </w:rPr>
            </w:pPr>
            <w:r w:rsidRPr="00BB2CE7">
              <w:rPr>
                <w:b/>
                <w:bCs/>
                <w:sz w:val="24"/>
                <w:lang w:val="es-CR" w:eastAsia="es-ES"/>
              </w:rPr>
              <w:t>Políticas y procedimientos</w:t>
            </w:r>
          </w:p>
        </w:tc>
      </w:tr>
      <w:tr w:rsidRPr="00BB2CE7" w:rsidR="00DB670B" w:rsidTr="008A5BDD" w14:paraId="1CF7E0BC" w14:textId="77777777">
        <w:tc>
          <w:tcPr>
            <w:tcW w:w="5000" w:type="pct"/>
            <w:shd w:val="clear" w:color="auto" w:fill="auto"/>
          </w:tcPr>
          <w:p w:rsidRPr="00BB2CE7" w:rsidR="00DB670B" w:rsidP="008A5BDD" w:rsidRDefault="00DB670B" w14:paraId="5C7C05D0" w14:textId="77777777">
            <w:pPr>
              <w:spacing w:line="240" w:lineRule="auto"/>
              <w:contextualSpacing/>
              <w:rPr>
                <w:rFonts w:cs="Calibri"/>
                <w:sz w:val="24"/>
                <w:lang w:val="es-CR" w:eastAsia="es-ES"/>
              </w:rPr>
            </w:pPr>
            <w:r w:rsidRPr="00BB2CE7">
              <w:rPr>
                <w:rFonts w:cs="Calibri"/>
                <w:sz w:val="24"/>
                <w:lang w:val="es-CR" w:eastAsia="es-ES"/>
              </w:rPr>
              <w:lastRenderedPageBreak/>
              <w:t>Las políticas y procedimientos del Cumplimiento Legal y Regulatorio permiten una adecuada gestión para verificar el cumplimiento legal y regulatorio aplicables a la entidad.</w:t>
            </w:r>
          </w:p>
        </w:tc>
      </w:tr>
      <w:tr w:rsidRPr="00BB2CE7" w:rsidR="00DB670B" w:rsidTr="008A5BDD" w14:paraId="6BBA2277" w14:textId="77777777">
        <w:tc>
          <w:tcPr>
            <w:tcW w:w="5000" w:type="pct"/>
            <w:tcBorders>
              <w:bottom w:val="single" w:color="auto" w:sz="4" w:space="0"/>
            </w:tcBorders>
            <w:shd w:val="clear" w:color="auto" w:fill="auto"/>
          </w:tcPr>
          <w:p w:rsidRPr="00BB2CE7" w:rsidR="00DB670B" w:rsidP="008A5BDD" w:rsidRDefault="00DB670B" w14:paraId="6C75513B" w14:textId="77777777">
            <w:pPr>
              <w:spacing w:line="240" w:lineRule="auto"/>
              <w:contextualSpacing/>
              <w:rPr>
                <w:rFonts w:cs="Calibri"/>
                <w:sz w:val="24"/>
                <w:lang w:val="es-CR" w:eastAsia="es-ES"/>
              </w:rPr>
            </w:pPr>
            <w:r w:rsidRPr="00BB2CE7">
              <w:rPr>
                <w:rFonts w:cs="Calibri"/>
                <w:sz w:val="24"/>
                <w:lang w:val="es-CR" w:eastAsia="es-ES"/>
              </w:rPr>
              <w:t>La función Cumplimiento Legal y Regulatorio posee suficientes políticas y procedimientos para documentar las nuevas políticas de cumplimiento o las que se modifiquen y comunicarlas de forma oportuna a toda la Entidad</w:t>
            </w:r>
          </w:p>
        </w:tc>
      </w:tr>
      <w:tr w:rsidRPr="00BB2CE7" w:rsidR="00DB670B" w:rsidTr="008A5BDD" w14:paraId="66F409A8" w14:textId="77777777">
        <w:tc>
          <w:tcPr>
            <w:tcW w:w="5000" w:type="pct"/>
            <w:shd w:val="clear" w:color="auto" w:fill="9CC2E5" w:themeFill="accent1" w:themeFillTint="99"/>
          </w:tcPr>
          <w:p w:rsidRPr="00BB2CE7" w:rsidR="00DB670B" w:rsidP="008A5BDD" w:rsidRDefault="00DB670B" w14:paraId="5EC92DEF" w14:textId="77777777">
            <w:pPr>
              <w:widowControl w:val="0"/>
              <w:spacing w:line="240" w:lineRule="auto"/>
              <w:ind w:right="4"/>
              <w:contextualSpacing/>
              <w:rPr>
                <w:strike/>
                <w:color w:val="2F5496"/>
                <w:sz w:val="24"/>
                <w:lang w:val="es-CR" w:eastAsia="es-ES"/>
              </w:rPr>
            </w:pPr>
            <w:r w:rsidRPr="00BB2CE7">
              <w:rPr>
                <w:b/>
                <w:bCs/>
                <w:sz w:val="24"/>
                <w:lang w:val="es-CR" w:eastAsia="es-ES"/>
              </w:rPr>
              <w:t>Sistema de Información Gerencial</w:t>
            </w:r>
          </w:p>
        </w:tc>
      </w:tr>
      <w:tr w:rsidRPr="00BB2CE7" w:rsidR="00DB670B" w:rsidTr="008A5BDD" w14:paraId="55F7069A" w14:textId="77777777">
        <w:tc>
          <w:tcPr>
            <w:tcW w:w="5000" w:type="pct"/>
            <w:shd w:val="clear" w:color="auto" w:fill="auto"/>
          </w:tcPr>
          <w:p w:rsidRPr="00BB2CE7" w:rsidR="00DB670B" w:rsidP="008A5BDD" w:rsidRDefault="00DB670B" w14:paraId="3B235816" w14:textId="77777777">
            <w:pPr>
              <w:spacing w:line="240" w:lineRule="auto"/>
              <w:contextualSpacing/>
              <w:rPr>
                <w:rFonts w:cs="Calibri"/>
                <w:sz w:val="24"/>
                <w:lang w:val="es-CR" w:eastAsia="es-ES"/>
              </w:rPr>
            </w:pPr>
            <w:r w:rsidRPr="00BB2CE7">
              <w:rPr>
                <w:rFonts w:cs="Calibri"/>
                <w:sz w:val="24"/>
                <w:lang w:val="es-CR" w:eastAsia="es-ES"/>
              </w:rPr>
              <w:t xml:space="preserve">El Cumplimiento Legal y Regulatorio de la entidad cuenta con sistemas de información para la gestión del cumplimiento legal y regulatorio y para el reporte permanente y formal con los órganos tomadores de decisiones de manera oportuna, completa y comprensible, que alerte sobre incumplimientos a que está expuesta la entidad. </w:t>
            </w:r>
          </w:p>
        </w:tc>
      </w:tr>
      <w:tr w:rsidRPr="00BB2CE7" w:rsidR="00DB670B" w:rsidTr="008A5BDD" w14:paraId="27880002" w14:textId="77777777">
        <w:tc>
          <w:tcPr>
            <w:tcW w:w="5000" w:type="pct"/>
            <w:tcBorders>
              <w:bottom w:val="single" w:color="auto" w:sz="4" w:space="0"/>
            </w:tcBorders>
            <w:shd w:val="clear" w:color="auto" w:fill="auto"/>
          </w:tcPr>
          <w:p w:rsidRPr="00BB2CE7" w:rsidR="00DB670B" w:rsidP="008A5BDD" w:rsidRDefault="00DB670B" w14:paraId="00C52E25" w14:textId="77777777">
            <w:pPr>
              <w:spacing w:line="240" w:lineRule="auto"/>
              <w:contextualSpacing/>
              <w:rPr>
                <w:rFonts w:cs="Calibri"/>
                <w:sz w:val="24"/>
                <w:lang w:val="es-CR" w:eastAsia="es-ES"/>
              </w:rPr>
            </w:pPr>
            <w:r w:rsidRPr="00BB2CE7">
              <w:rPr>
                <w:rFonts w:cs="Calibri"/>
                <w:sz w:val="24"/>
                <w:lang w:val="es-CR" w:eastAsia="es-ES"/>
              </w:rPr>
              <w:t>El cumplimiento legal y regulatorio comunica a la Alta Gerencia y al Órgano de Dirección sobre las debilidades significativas respecto del cumplimiento.</w:t>
            </w:r>
          </w:p>
        </w:tc>
      </w:tr>
      <w:tr w:rsidRPr="00BB2CE7" w:rsidR="00DB670B" w:rsidTr="008A5BDD" w14:paraId="526F9BB4" w14:textId="77777777">
        <w:tc>
          <w:tcPr>
            <w:tcW w:w="5000" w:type="pct"/>
            <w:shd w:val="clear" w:color="auto" w:fill="9CC2E5" w:themeFill="accent1" w:themeFillTint="99"/>
          </w:tcPr>
          <w:p w:rsidRPr="00BB2CE7" w:rsidR="00DB670B" w:rsidP="008A5BDD" w:rsidRDefault="00DB670B" w14:paraId="277519E8" w14:textId="77777777">
            <w:pPr>
              <w:widowControl w:val="0"/>
              <w:spacing w:line="240" w:lineRule="auto"/>
              <w:ind w:right="4"/>
              <w:contextualSpacing/>
              <w:rPr>
                <w:strike/>
                <w:color w:val="2F5496"/>
                <w:sz w:val="24"/>
                <w:lang w:val="es-CR" w:eastAsia="es-ES"/>
              </w:rPr>
            </w:pPr>
            <w:r w:rsidRPr="00BB2CE7">
              <w:rPr>
                <w:b/>
                <w:bCs/>
                <w:sz w:val="24"/>
                <w:lang w:val="es-CR" w:eastAsia="es-ES"/>
              </w:rPr>
              <w:t>Supervisión del Órgano de Dirección y Alta Gerencia</w:t>
            </w:r>
          </w:p>
        </w:tc>
      </w:tr>
      <w:tr w:rsidRPr="00BB2CE7" w:rsidR="00DB670B" w:rsidTr="008A5BDD" w14:paraId="28F2D059" w14:textId="77777777">
        <w:tc>
          <w:tcPr>
            <w:tcW w:w="5000" w:type="pct"/>
            <w:shd w:val="clear" w:color="auto" w:fill="auto"/>
          </w:tcPr>
          <w:p w:rsidRPr="00BB2CE7" w:rsidR="00DB670B" w:rsidP="008A5BDD" w:rsidRDefault="00DB670B" w14:paraId="1EB5365A" w14:textId="77777777">
            <w:pPr>
              <w:spacing w:line="240" w:lineRule="auto"/>
              <w:contextualSpacing/>
              <w:rPr>
                <w:rFonts w:cs="Calibri"/>
                <w:sz w:val="24"/>
                <w:lang w:val="es-CR" w:eastAsia="es-ES"/>
              </w:rPr>
            </w:pPr>
            <w:r w:rsidRPr="00BB2CE7">
              <w:rPr>
                <w:rFonts w:cs="Calibri"/>
                <w:sz w:val="24"/>
                <w:lang w:val="es-CR" w:eastAsia="es-ES"/>
              </w:rPr>
              <w:t>El Órgano de Dirección y la Alta Gerencia son los responsables del nombramiento o destitución, así como de la evaluación de desempeño del responsable de la función y en el establecimiento de las funciones, responsabilidades y recursos de la función de cumplimiento.</w:t>
            </w:r>
          </w:p>
        </w:tc>
      </w:tr>
      <w:tr w:rsidRPr="00BB2CE7" w:rsidR="00DB670B" w:rsidTr="008A5BDD" w14:paraId="6B7CE83F" w14:textId="77777777">
        <w:tc>
          <w:tcPr>
            <w:tcW w:w="5000" w:type="pct"/>
            <w:shd w:val="clear" w:color="auto" w:fill="auto"/>
          </w:tcPr>
          <w:p w:rsidRPr="00BB2CE7" w:rsidR="00DB670B" w:rsidP="008A5BDD" w:rsidRDefault="00DB670B" w14:paraId="062F9BE9" w14:textId="77777777">
            <w:pPr>
              <w:spacing w:line="240" w:lineRule="auto"/>
              <w:contextualSpacing/>
              <w:rPr>
                <w:rFonts w:cs="Calibri"/>
                <w:sz w:val="24"/>
                <w:lang w:val="es-CR" w:eastAsia="es-ES"/>
              </w:rPr>
            </w:pPr>
            <w:r w:rsidRPr="00BB2CE7">
              <w:rPr>
                <w:rFonts w:cs="Calibri"/>
                <w:sz w:val="24"/>
                <w:lang w:val="es-CR" w:eastAsia="es-ES"/>
              </w:rPr>
              <w:t>El Órgano de Dirección (o alguno de sus comités) realiza una evaluación del grado en que la entidad está administrando su riesgo de cumplimiento efectivamente; y hace seguimiento a las recomendaciones de la función.</w:t>
            </w:r>
          </w:p>
        </w:tc>
      </w:tr>
      <w:tr w:rsidRPr="00BB2CE7" w:rsidR="00DB670B" w:rsidTr="008A5BDD" w14:paraId="7B3ABA64" w14:textId="77777777">
        <w:tc>
          <w:tcPr>
            <w:tcW w:w="5000" w:type="pct"/>
            <w:shd w:val="clear" w:color="auto" w:fill="auto"/>
          </w:tcPr>
          <w:p w:rsidRPr="00BB2CE7" w:rsidR="00DB670B" w:rsidP="008A5BDD" w:rsidRDefault="00DB670B" w14:paraId="31E6B857" w14:textId="77777777">
            <w:pPr>
              <w:spacing w:line="240" w:lineRule="auto"/>
              <w:contextualSpacing/>
              <w:rPr>
                <w:rFonts w:cs="Calibri"/>
                <w:sz w:val="24"/>
                <w:lang w:val="es-CR" w:eastAsia="es-ES"/>
              </w:rPr>
            </w:pPr>
            <w:r w:rsidRPr="00BB2CE7">
              <w:rPr>
                <w:rFonts w:cs="Calibri"/>
                <w:sz w:val="24"/>
                <w:lang w:val="es-CR" w:eastAsia="es-ES"/>
              </w:rPr>
              <w:t>Las políticas y procedimientos para informar periódicamente a la Alta Gerencia y al Órgano de Dirección (o alguno de sus Comités) sobre problemas, recomendaciones y la condición de cumplimiento de la entidad son adecuados.</w:t>
            </w:r>
          </w:p>
        </w:tc>
      </w:tr>
    </w:tbl>
    <w:p w:rsidRPr="00BB2CE7" w:rsidR="00DB670B" w:rsidP="00DB670B" w:rsidRDefault="00DB670B" w14:paraId="170D97E6" w14:textId="77777777">
      <w:pPr>
        <w:spacing w:line="240" w:lineRule="auto"/>
        <w:contextualSpacing/>
        <w:rPr>
          <w:rFonts w:cs="Calibri"/>
          <w:sz w:val="24"/>
          <w:lang w:val="es-CR" w:eastAsia="es-ES"/>
        </w:rPr>
      </w:pPr>
    </w:p>
    <w:p w:rsidRPr="00BB2CE7" w:rsidR="00DB670B" w:rsidP="00DB670B" w:rsidRDefault="00DB670B" w14:paraId="7F8918E9" w14:textId="77777777">
      <w:pPr>
        <w:keepNext/>
        <w:keepLines/>
        <w:numPr>
          <w:ilvl w:val="0"/>
          <w:numId w:val="27"/>
        </w:numPr>
        <w:spacing w:after="240" w:line="240" w:lineRule="auto"/>
        <w:contextualSpacing/>
        <w:outlineLvl w:val="1"/>
        <w:rPr>
          <w:b/>
          <w:strike/>
          <w:color w:val="2F5496"/>
          <w:sz w:val="24"/>
          <w:lang w:val="es-CR" w:eastAsia="es-CR"/>
        </w:rPr>
      </w:pPr>
      <w:bookmarkStart w:name="_Toc99545472" w:id="29"/>
      <w:bookmarkStart w:name="_Toc103279739" w:id="30"/>
      <w:r w:rsidRPr="00BB2CE7">
        <w:rPr>
          <w:b/>
          <w:bCs/>
          <w:sz w:val="24"/>
          <w:lang w:val="es-CR" w:eastAsia="es-CR"/>
        </w:rPr>
        <w:t>El desempeño de la función de cumplimiento legal y regulatorio</w:t>
      </w:r>
      <w:bookmarkEnd w:id="29"/>
      <w:bookmarkEnd w:id="30"/>
    </w:p>
    <w:p w:rsidR="00DB670B" w:rsidP="00DB670B" w:rsidRDefault="00DB670B" w14:paraId="498D91FD" w14:textId="77777777">
      <w:pPr>
        <w:keepNext/>
        <w:tabs>
          <w:tab w:val="left" w:pos="7187"/>
        </w:tabs>
        <w:spacing w:after="120" w:line="240" w:lineRule="auto"/>
        <w:contextualSpacing/>
        <w:rPr>
          <w:sz w:val="24"/>
          <w:lang w:val="es-CR" w:eastAsia="es-ES"/>
        </w:rPr>
      </w:pPr>
      <w:r w:rsidRPr="00BB2CE7">
        <w:rPr>
          <w:sz w:val="24"/>
          <w:lang w:val="es-CR" w:eastAsia="es-ES"/>
        </w:rPr>
        <w:t>La evaluación de la efectividad de la función considera no solo la opinión que el supervisor se forme a partir de las consideraciones generales y criterios de evaluación antes señalados; sino que su análisis considera, además, la calidad del desempeño de dicha función en la entidad, según se demuestra a partir de los análisis e informes de los resultados operacionales y financieros que apoyan la toma de decisiones de la Alta Gerencia y el Órgano de Dirección.</w:t>
      </w:r>
    </w:p>
    <w:p w:rsidRPr="00BB2CE7" w:rsidR="00DB670B" w:rsidP="00DB670B" w:rsidRDefault="00DB670B" w14:paraId="57266DC0" w14:textId="77777777">
      <w:pPr>
        <w:keepNext/>
        <w:tabs>
          <w:tab w:val="left" w:pos="7187"/>
        </w:tabs>
        <w:spacing w:after="120" w:line="240" w:lineRule="auto"/>
        <w:contextualSpacing/>
        <w:rPr>
          <w:sz w:val="24"/>
          <w:lang w:val="es-CR" w:eastAsia="es-ES"/>
        </w:rPr>
      </w:pPr>
    </w:p>
    <w:p w:rsidRPr="00BB2CE7" w:rsidR="00DB670B" w:rsidP="00DB670B" w:rsidRDefault="00DB670B" w14:paraId="784D4C97" w14:textId="77777777">
      <w:pPr>
        <w:widowControl w:val="0"/>
        <w:spacing w:after="120" w:line="240" w:lineRule="auto"/>
        <w:ind w:right="4"/>
        <w:contextualSpacing/>
        <w:rPr>
          <w:strike/>
          <w:color w:val="2F5496"/>
          <w:sz w:val="24"/>
          <w:lang w:val="es-CR" w:eastAsia="es-ES"/>
        </w:rPr>
      </w:pPr>
      <w:r w:rsidRPr="00BB2CE7">
        <w:rPr>
          <w:sz w:val="24"/>
          <w:lang w:val="es-CR" w:eastAsia="es-ES"/>
        </w:rPr>
        <w:t>El supervisor también considera elementos de carácter cualitativo, asociados al desempeño, para guiar su juicio en la realización de las actividades de supervisión.  Estas actividades pueden incluir: discusiones y reuniones con los miembros del Órgano de Dirección y la Alta Gerencia; con los auditores externos; y revisión de la información remitida a la Alta Gerencia y al Órgano de Dirección, entre otras.</w:t>
      </w:r>
    </w:p>
    <w:p w:rsidRPr="00BB2CE7" w:rsidR="00DB670B" w:rsidP="00DB670B" w:rsidRDefault="00DB670B" w14:paraId="488047FF" w14:textId="77777777">
      <w:pPr>
        <w:widowControl w:val="0"/>
        <w:spacing w:line="240" w:lineRule="auto"/>
        <w:ind w:right="4"/>
        <w:contextualSpacing/>
        <w:rPr>
          <w:b/>
          <w:bCs/>
          <w:sz w:val="24"/>
          <w:lang w:val="es-CR" w:eastAsia="es-ES"/>
        </w:rPr>
      </w:pPr>
    </w:p>
    <w:p w:rsidRPr="00BB2CE7" w:rsidR="00DB670B" w:rsidP="00DB670B" w:rsidRDefault="00DB670B" w14:paraId="7C56E750" w14:textId="77777777">
      <w:pPr>
        <w:keepNext/>
        <w:keepLines/>
        <w:numPr>
          <w:ilvl w:val="0"/>
          <w:numId w:val="24"/>
        </w:numPr>
        <w:spacing w:after="240" w:line="240" w:lineRule="auto"/>
        <w:ind w:right="4"/>
        <w:contextualSpacing/>
        <w:outlineLvl w:val="0"/>
        <w:rPr>
          <w:b/>
          <w:sz w:val="24"/>
          <w:lang w:val="es-CR" w:eastAsia="es-CR"/>
        </w:rPr>
      </w:pPr>
      <w:bookmarkStart w:name="_Toc99545473" w:id="31"/>
      <w:bookmarkStart w:name="_Toc103279740" w:id="32"/>
      <w:r w:rsidRPr="00BB2CE7">
        <w:rPr>
          <w:b/>
          <w:sz w:val="24"/>
          <w:lang w:val="es-CR" w:eastAsia="es-CR"/>
        </w:rPr>
        <w:lastRenderedPageBreak/>
        <w:t>Esquema de la metodología de calificación de una entidad</w:t>
      </w:r>
      <w:bookmarkEnd w:id="31"/>
      <w:bookmarkEnd w:id="32"/>
    </w:p>
    <w:p w:rsidRPr="00BB2CE7" w:rsidR="00DB670B" w:rsidP="00DB670B" w:rsidRDefault="00DB670B" w14:paraId="2CF4D48F" w14:textId="77777777">
      <w:pPr>
        <w:keepNext/>
        <w:widowControl w:val="0"/>
        <w:spacing w:line="240" w:lineRule="auto"/>
        <w:ind w:right="6"/>
        <w:contextualSpacing/>
        <w:rPr>
          <w:sz w:val="24"/>
          <w:lang w:val="es-CR" w:eastAsia="es-ES"/>
        </w:rPr>
      </w:pPr>
      <w:r w:rsidRPr="00BB2CE7">
        <w:rPr>
          <w:noProof/>
          <w:sz w:val="24"/>
          <w:lang w:val="es-CR" w:eastAsia="es-CR"/>
        </w:rPr>
        <w:drawing>
          <wp:inline distT="0" distB="0" distL="0" distR="0" wp14:anchorId="17D22F91" wp14:editId="75778E43">
            <wp:extent cx="5612130" cy="3096895"/>
            <wp:effectExtent l="0" t="0" r="7620" b="8255"/>
            <wp:docPr id="12" name="Imagen 11">
              <a:extLst xmlns:a="http://schemas.openxmlformats.org/drawingml/2006/main">
                <a:ext uri="{FF2B5EF4-FFF2-40B4-BE49-F238E27FC236}">
                  <a16:creationId xmlns:a16="http://schemas.microsoft.com/office/drawing/2014/main" id="{44655A9C-567C-4C49-9FD5-C80EEBFD19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44655A9C-567C-4C49-9FD5-C80EEBFD19B2}"/>
                        </a:ext>
                      </a:extLst>
                    </pic:cNvPr>
                    <pic:cNvPicPr>
                      <a:picLocks noChangeAspect="1"/>
                    </pic:cNvPicPr>
                  </pic:nvPicPr>
                  <pic:blipFill>
                    <a:blip r:embed="rId14"/>
                    <a:stretch>
                      <a:fillRect/>
                    </a:stretch>
                  </pic:blipFill>
                  <pic:spPr>
                    <a:xfrm>
                      <a:off x="0" y="0"/>
                      <a:ext cx="5612130" cy="3096895"/>
                    </a:xfrm>
                    <a:prstGeom prst="rect">
                      <a:avLst/>
                    </a:prstGeom>
                  </pic:spPr>
                </pic:pic>
              </a:graphicData>
            </a:graphic>
          </wp:inline>
        </w:drawing>
      </w:r>
    </w:p>
    <w:p w:rsidRPr="00BB2CE7" w:rsidR="00DB670B" w:rsidP="00DB670B" w:rsidRDefault="00DB670B" w14:paraId="478B4C63" w14:textId="77777777">
      <w:pPr>
        <w:keepNext/>
        <w:widowControl w:val="0"/>
        <w:spacing w:line="240" w:lineRule="auto"/>
        <w:ind w:right="6"/>
        <w:contextualSpacing/>
        <w:rPr>
          <w:sz w:val="24"/>
          <w:lang w:val="es-CR" w:eastAsia="es-ES"/>
        </w:rPr>
      </w:pPr>
      <w:r w:rsidRPr="008E5E2F">
        <w:rPr>
          <w:b/>
          <w:bCs/>
          <w:sz w:val="24"/>
          <w:lang w:val="es-CR" w:eastAsia="es-ES"/>
        </w:rPr>
        <w:t>Fuente</w:t>
      </w:r>
      <w:r w:rsidRPr="00BB2CE7">
        <w:rPr>
          <w:sz w:val="24"/>
          <w:lang w:val="es-CR" w:eastAsia="es-ES"/>
        </w:rPr>
        <w:t>: Diseño propio</w:t>
      </w:r>
    </w:p>
    <w:p w:rsidRPr="00BB2CE7" w:rsidR="00DB670B" w:rsidP="00DB670B" w:rsidRDefault="00DB670B" w14:paraId="45FE5505" w14:textId="77777777">
      <w:pPr>
        <w:widowControl w:val="0"/>
        <w:spacing w:line="240" w:lineRule="auto"/>
        <w:ind w:right="4"/>
        <w:contextualSpacing/>
        <w:rPr>
          <w:sz w:val="24"/>
          <w:lang w:val="es-CR" w:eastAsia="es-ES"/>
        </w:rPr>
      </w:pPr>
    </w:p>
    <w:p w:rsidRPr="00BB2CE7" w:rsidR="00DB670B" w:rsidP="00DB670B" w:rsidRDefault="00DB670B" w14:paraId="49107F9A" w14:textId="77777777">
      <w:pPr>
        <w:widowControl w:val="0"/>
        <w:spacing w:line="240" w:lineRule="auto"/>
        <w:ind w:right="4"/>
        <w:contextualSpacing/>
        <w:rPr>
          <w:sz w:val="24"/>
          <w:lang w:val="es-CR" w:eastAsia="es-ES"/>
        </w:rPr>
      </w:pPr>
    </w:p>
    <w:p w:rsidRPr="00BB2CE7" w:rsidR="00DB670B" w:rsidP="00DB670B" w:rsidRDefault="00DB670B" w14:paraId="18FC082C" w14:textId="77777777">
      <w:pPr>
        <w:widowControl w:val="0"/>
        <w:spacing w:line="240" w:lineRule="auto"/>
        <w:ind w:right="4"/>
        <w:contextualSpacing/>
        <w:rPr>
          <w:strike/>
          <w:color w:val="2F5496"/>
          <w:sz w:val="24"/>
          <w:lang w:val="es-CR" w:eastAsia="es-ES"/>
        </w:rPr>
      </w:pPr>
      <w:r w:rsidRPr="00BB2CE7">
        <w:rPr>
          <w:sz w:val="24"/>
          <w:lang w:val="es-CR" w:eastAsia="es-ES"/>
        </w:rPr>
        <w:t xml:space="preserve">Rige a partir del 1 de enero de 2023. </w:t>
      </w:r>
    </w:p>
    <w:p w:rsidRPr="00BB2CE7" w:rsidR="00E86EFE" w:rsidP="00BB2CE7" w:rsidRDefault="00E86EFE" w14:paraId="38A41A0E" w14:textId="77777777">
      <w:pPr>
        <w:tabs>
          <w:tab w:val="left" w:pos="7187"/>
        </w:tabs>
        <w:spacing w:line="240" w:lineRule="auto"/>
        <w:contextualSpacing/>
        <w:rPr>
          <w:sz w:val="24"/>
          <w:lang w:val="es-CR" w:eastAsia="es-ES"/>
        </w:rPr>
      </w:pPr>
    </w:p>
    <w:p w:rsidRPr="00BB2CE7" w:rsidR="00E86EFE" w:rsidP="00BB2CE7" w:rsidRDefault="00E86EFE" w14:paraId="0A884BFA" w14:textId="560B67F9">
      <w:pPr>
        <w:tabs>
          <w:tab w:val="left" w:pos="7187"/>
        </w:tabs>
        <w:spacing w:line="240" w:lineRule="auto"/>
        <w:contextualSpacing/>
        <w:rPr>
          <w:sz w:val="24"/>
          <w:lang w:val="es-CR" w:eastAsia="es-ES"/>
        </w:rPr>
      </w:pPr>
      <w:r w:rsidRPr="00BB2CE7">
        <w:rPr>
          <w:sz w:val="24"/>
          <w:lang w:val="es-CR" w:eastAsia="es-ES"/>
        </w:rPr>
        <w:t xml:space="preserve">Atentamente, </w:t>
      </w:r>
    </w:p>
    <w:p w:rsidRPr="00BB2CE7" w:rsidR="00E86EFE" w:rsidP="00BB2CE7" w:rsidRDefault="00BB2CE7" w14:paraId="29D774D6" w14:textId="6EC711A4">
      <w:pPr>
        <w:tabs>
          <w:tab w:val="left" w:pos="7187"/>
        </w:tabs>
        <w:spacing w:line="240" w:lineRule="auto"/>
        <w:contextualSpacing/>
        <w:rPr>
          <w:sz w:val="24"/>
          <w:lang w:val="es-CR" w:eastAsia="es-ES"/>
        </w:rPr>
      </w:pPr>
      <w:r>
        <w:rPr>
          <w:noProof/>
          <w:lang w:val="es-CR" w:eastAsia="es-CR"/>
        </w:rPr>
        <w:drawing>
          <wp:anchor distT="0" distB="0" distL="114300" distR="114300" simplePos="0" relativeHeight="251659264" behindDoc="1" locked="0" layoutInCell="1" allowOverlap="1" wp14:editId="0ED53EAB" wp14:anchorId="7348ECE6">
            <wp:simplePos x="0" y="0"/>
            <wp:positionH relativeFrom="column">
              <wp:posOffset>-47625</wp:posOffset>
            </wp:positionH>
            <wp:positionV relativeFrom="paragraph">
              <wp:posOffset>34290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B2CE7" w:rsidR="00E86EFE" w:rsidP="00BB2CE7" w:rsidRDefault="00E86EFE" w14:paraId="1AC308B6" w14:textId="1A70A718">
      <w:pPr>
        <w:tabs>
          <w:tab w:val="left" w:pos="7187"/>
        </w:tabs>
        <w:spacing w:line="240" w:lineRule="auto"/>
        <w:contextualSpacing/>
        <w:rPr>
          <w:sz w:val="24"/>
          <w:lang w:val="es-CR" w:eastAsia="es-ES"/>
        </w:rPr>
      </w:pPr>
    </w:p>
    <w:p w:rsidRPr="00BB2CE7" w:rsidR="00E86EFE" w:rsidP="00BB2CE7" w:rsidRDefault="00E86EFE" w14:paraId="4731E94F" w14:textId="77777777">
      <w:pPr>
        <w:tabs>
          <w:tab w:val="left" w:pos="7187"/>
        </w:tabs>
        <w:spacing w:line="240" w:lineRule="auto"/>
        <w:contextualSpacing/>
        <w:rPr>
          <w:sz w:val="24"/>
          <w:lang w:val="es-CR" w:eastAsia="es-ES"/>
        </w:rPr>
      </w:pPr>
    </w:p>
    <w:p w:rsidR="00E86EFE" w:rsidP="00BB2CE7" w:rsidRDefault="00E86EFE" w14:paraId="60D06891" w14:textId="0592041F">
      <w:pPr>
        <w:tabs>
          <w:tab w:val="left" w:pos="7187"/>
        </w:tabs>
        <w:spacing w:line="240" w:lineRule="auto"/>
        <w:contextualSpacing/>
        <w:rPr>
          <w:sz w:val="24"/>
          <w:lang w:val="es-CR" w:eastAsia="es-ES"/>
        </w:rPr>
      </w:pPr>
      <w:r w:rsidRPr="00BB2CE7">
        <w:rPr>
          <w:sz w:val="24"/>
          <w:lang w:val="es-CR" w:eastAsia="es-ES"/>
        </w:rPr>
        <w:t xml:space="preserve">Rocío Aguilar Montoya </w:t>
      </w:r>
    </w:p>
    <w:p w:rsidRPr="00BB2CE7" w:rsidR="00BB2CE7" w:rsidP="00BB2CE7" w:rsidRDefault="00BB2CE7" w14:paraId="4DB4C8C4" w14:textId="688F0271">
      <w:pPr>
        <w:tabs>
          <w:tab w:val="left" w:pos="7187"/>
        </w:tabs>
        <w:spacing w:line="240" w:lineRule="auto"/>
        <w:contextualSpacing/>
        <w:rPr>
          <w:b/>
          <w:bCs/>
          <w:sz w:val="24"/>
          <w:lang w:val="es-CR" w:eastAsia="es-ES"/>
        </w:rPr>
      </w:pPr>
      <w:r w:rsidRPr="00BB2CE7">
        <w:rPr>
          <w:b/>
          <w:bCs/>
          <w:sz w:val="24"/>
          <w:lang w:val="es-CR" w:eastAsia="es-ES"/>
        </w:rPr>
        <w:t>Superintendente General</w:t>
      </w:r>
    </w:p>
    <w:p w:rsidRPr="00BB2CE7" w:rsidR="00E86EFE" w:rsidP="00BB2CE7" w:rsidRDefault="00E86EFE" w14:paraId="36487FF5" w14:textId="77777777">
      <w:pPr>
        <w:tabs>
          <w:tab w:val="left" w:pos="7187"/>
        </w:tabs>
        <w:spacing w:line="240" w:lineRule="auto"/>
        <w:contextualSpacing/>
        <w:rPr>
          <w:sz w:val="24"/>
          <w:lang w:val="es-CR" w:eastAsia="es-ES"/>
        </w:rPr>
      </w:pPr>
    </w:p>
    <w:p w:rsidRPr="00BB2CE7" w:rsidR="00E86EFE" w:rsidP="00BB2CE7" w:rsidRDefault="00E86EFE" w14:paraId="1661A875" w14:textId="77777777">
      <w:pPr>
        <w:tabs>
          <w:tab w:val="left" w:pos="7187"/>
        </w:tabs>
        <w:spacing w:line="240" w:lineRule="auto"/>
        <w:contextualSpacing/>
        <w:rPr>
          <w:b/>
          <w:bCs/>
          <w:sz w:val="24"/>
          <w:lang w:val="es-CR" w:eastAsia="es-ES"/>
        </w:rPr>
      </w:pPr>
      <w:r w:rsidRPr="00BB2CE7">
        <w:rPr>
          <w:b/>
          <w:bCs/>
          <w:sz w:val="24"/>
          <w:lang w:val="es-CR" w:eastAsia="es-ES"/>
        </w:rPr>
        <w:t>GSC/GAA/ILL/gvl*</w:t>
      </w:r>
    </w:p>
    <w:p w:rsidRPr="00BB2CE7" w:rsidR="00E86EFE" w:rsidP="00BB2CE7" w:rsidRDefault="00E86EFE" w14:paraId="3B884ACC" w14:textId="77777777">
      <w:pPr>
        <w:spacing w:line="240" w:lineRule="auto"/>
        <w:contextualSpacing/>
        <w:rPr>
          <w:sz w:val="24"/>
        </w:rPr>
      </w:pPr>
    </w:p>
    <w:p w:rsidRPr="00BB2CE7" w:rsidR="00E86EFE" w:rsidP="00BB2CE7" w:rsidRDefault="00E86EFE" w14:paraId="76AA5A15" w14:textId="77777777">
      <w:pPr>
        <w:tabs>
          <w:tab w:val="left" w:pos="7187"/>
        </w:tabs>
        <w:spacing w:line="240" w:lineRule="auto"/>
        <w:contextualSpacing/>
        <w:rPr>
          <w:sz w:val="24"/>
        </w:rPr>
      </w:pPr>
      <w:r w:rsidRPr="00BB2CE7">
        <w:rPr>
          <w:sz w:val="24"/>
        </w:rPr>
        <w:tab/>
      </w:r>
    </w:p>
    <w:p w:rsidRPr="00BB2CE7" w:rsidR="00AF06C5" w:rsidP="00BB2CE7" w:rsidRDefault="00AF06C5" w14:paraId="09141446" w14:textId="35543633">
      <w:pPr>
        <w:spacing w:line="240" w:lineRule="auto"/>
        <w:contextualSpacing/>
        <w:rPr>
          <w:sz w:val="24"/>
        </w:rPr>
      </w:pPr>
    </w:p>
    <w:sectPr w:rsidRPr="00BB2CE7"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B89E" w14:textId="77777777" w:rsidR="00D50506" w:rsidRDefault="00D50506" w:rsidP="009349F3">
      <w:pPr>
        <w:spacing w:line="240" w:lineRule="auto"/>
      </w:pPr>
      <w:r>
        <w:separator/>
      </w:r>
    </w:p>
  </w:endnote>
  <w:endnote w:type="continuationSeparator" w:id="0">
    <w:p w14:paraId="5DA740D9" w14:textId="77777777" w:rsidR="00D50506" w:rsidRDefault="00D5050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506" w:rsidRDefault="00D50506" w14:paraId="7FA0D96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D50506" w:rsidTr="00D50506" w14:paraId="26EDE909" w14:textId="77777777">
      <w:tc>
        <w:tcPr>
          <w:tcW w:w="2942" w:type="dxa"/>
        </w:tcPr>
        <w:p w:rsidR="00D50506" w:rsidRDefault="00D50506" w14:paraId="1C639F6A"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D50506" w:rsidRDefault="00D50506" w14:paraId="34E75E01"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D50506" w:rsidRDefault="00D50506" w14:paraId="2B0E248E" w14:textId="77777777">
          <w:pPr>
            <w:pStyle w:val="Piedepgina"/>
            <w:rPr>
              <w:b/>
              <w:color w:val="7F7F7F" w:themeColor="text1" w:themeTint="80"/>
              <w:sz w:val="16"/>
              <w:szCs w:val="16"/>
            </w:rPr>
          </w:pPr>
        </w:p>
      </w:tc>
      <w:tc>
        <w:tcPr>
          <w:tcW w:w="2943" w:type="dxa"/>
        </w:tcPr>
        <w:p w:rsidRPr="009349F3" w:rsidR="00D50506" w:rsidP="00855792" w:rsidRDefault="00D50506" w14:paraId="589D2D6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D50506" w:rsidRDefault="00D50506" w14:paraId="20E3D61C"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D50506" w:rsidP="00517D62" w:rsidRDefault="00D50506" w14:paraId="5F99B62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4A20F7">
            <w:rPr>
              <w:b/>
              <w:noProof/>
              <w:color w:val="7F7F7F" w:themeColor="text1" w:themeTint="80"/>
              <w:sz w:val="16"/>
              <w:szCs w:val="16"/>
            </w:rPr>
            <w:t>17</w:t>
          </w:r>
          <w:r w:rsidRPr="006972C9">
            <w:rPr>
              <w:b/>
              <w:color w:val="7F7F7F" w:themeColor="text1" w:themeTint="80"/>
              <w:sz w:val="16"/>
              <w:szCs w:val="16"/>
            </w:rPr>
            <w:fldChar w:fldCharType="end"/>
          </w:r>
        </w:p>
      </w:tc>
    </w:tr>
  </w:tbl>
  <w:p w:rsidR="00D50506" w:rsidRDefault="00D50506" w14:paraId="1011C33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506" w:rsidRDefault="00D50506" w14:paraId="650E499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EECFD" w14:textId="77777777" w:rsidR="00D50506" w:rsidRDefault="00D50506" w:rsidP="009349F3">
      <w:pPr>
        <w:spacing w:line="240" w:lineRule="auto"/>
      </w:pPr>
      <w:r>
        <w:separator/>
      </w:r>
    </w:p>
  </w:footnote>
  <w:footnote w:type="continuationSeparator" w:id="0">
    <w:p w14:paraId="177638C2" w14:textId="77777777" w:rsidR="00D50506" w:rsidRDefault="00D50506" w:rsidP="009349F3">
      <w:pPr>
        <w:spacing w:line="240" w:lineRule="auto"/>
      </w:pPr>
      <w:r>
        <w:continuationSeparator/>
      </w:r>
    </w:p>
  </w:footnote>
  <w:footnote w:id="1">
    <w:p w14:paraId="06999036" w14:textId="77777777" w:rsidR="00DB670B" w:rsidRPr="00846AB5" w:rsidRDefault="00DB670B" w:rsidP="00DB670B">
      <w:pPr>
        <w:pStyle w:val="Textonotapie"/>
        <w:jc w:val="both"/>
        <w:rPr>
          <w:lang w:val="es-CO"/>
        </w:rPr>
      </w:pPr>
      <w:r w:rsidRPr="00846AB5">
        <w:rPr>
          <w:rStyle w:val="Refdenotaalpie"/>
        </w:rPr>
        <w:footnoteRef/>
      </w:r>
      <w:r w:rsidRPr="00846AB5">
        <w:rPr>
          <w:sz w:val="16"/>
        </w:rPr>
        <w:t xml:space="preserve"> Fuentes de fondeo (determinar si los GAP entre activos y pasivos, costos, índices de renovación, estabilidad de los recursos a la vista, entre otros),</w:t>
      </w:r>
      <w:r>
        <w:rPr>
          <w:sz w:val="16"/>
        </w:rPr>
        <w:t xml:space="preserve"> c</w:t>
      </w:r>
      <w:r w:rsidRPr="00846AB5">
        <w:rPr>
          <w:sz w:val="16"/>
        </w:rPr>
        <w:t>réditos con casa matriz</w:t>
      </w:r>
      <w:r>
        <w:rPr>
          <w:sz w:val="16"/>
        </w:rPr>
        <w:t xml:space="preserve"> y/o vinculados, </w:t>
      </w:r>
      <w:r w:rsidRPr="00846AB5">
        <w:rPr>
          <w:sz w:val="16"/>
        </w:rPr>
        <w:t>Operaciones de Mercados Monetarios</w:t>
      </w:r>
      <w:r>
        <w:rPr>
          <w:sz w:val="16"/>
        </w:rPr>
        <w:t>, etc</w:t>
      </w:r>
      <w:r w:rsidRPr="00846AB5">
        <w:rPr>
          <w:sz w:val="16"/>
        </w:rPr>
        <w:t xml:space="preserve">. </w:t>
      </w:r>
    </w:p>
  </w:footnote>
  <w:footnote w:id="2">
    <w:p w14:paraId="4C3E226F" w14:textId="77777777" w:rsidR="00DB670B" w:rsidRPr="00BA04BB" w:rsidRDefault="00DB670B" w:rsidP="00DB670B">
      <w:pPr>
        <w:pStyle w:val="Textonotapie"/>
        <w:jc w:val="both"/>
      </w:pPr>
      <w:r w:rsidRPr="00BA04BB">
        <w:rPr>
          <w:rStyle w:val="Refdenotaalpie"/>
          <w:sz w:val="16"/>
        </w:rPr>
        <w:footnoteRef/>
      </w:r>
      <w:r w:rsidRPr="00BA04BB">
        <w:rPr>
          <w:sz w:val="16"/>
        </w:rPr>
        <w:t xml:space="preserve"> Operativos</w:t>
      </w:r>
      <w:r>
        <w:rPr>
          <w:sz w:val="16"/>
        </w:rPr>
        <w:t xml:space="preserve">, no operativos, financieros, </w:t>
      </w:r>
      <w:r w:rsidRPr="00BA04BB">
        <w:rPr>
          <w:sz w:val="16"/>
        </w:rPr>
        <w:t>tributarios</w:t>
      </w:r>
      <w:r>
        <w:rPr>
          <w:sz w:val="16"/>
        </w:rPr>
        <w:t>, entre otros</w:t>
      </w:r>
      <w:r w:rsidRPr="00BA04BB">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506" w:rsidRDefault="00D50506" w14:paraId="7CE1533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506" w:rsidRDefault="00D50506" w14:paraId="6F137817" w14:textId="77777777">
    <w:pPr>
      <w:pStyle w:val="Encabezado"/>
    </w:pPr>
    <w:r>
      <w:ptab w:alignment="center" w:relativeTo="margin" w:leader="none"/>
    </w:r>
    <w:r>
      <w:rPr>
        <w:noProof/>
        <w:lang w:val="es-CR" w:eastAsia="es-CR"/>
      </w:rPr>
      <w:drawing>
        <wp:inline distT="0" distB="0" distL="0" distR="0" wp14:anchorId="6902164E" wp14:editId="101E9C2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506" w:rsidRDefault="00D50506" w14:paraId="3A8A7F5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D89"/>
    <w:multiLevelType w:val="hybridMultilevel"/>
    <w:tmpl w:val="7974D622"/>
    <w:lvl w:ilvl="0" w:tplc="AE0C85CA">
      <w:start w:val="1"/>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8626AB"/>
    <w:multiLevelType w:val="hybridMultilevel"/>
    <w:tmpl w:val="667E5E56"/>
    <w:lvl w:ilvl="0" w:tplc="BFFA5F5E">
      <w:start w:val="2"/>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E0049E5"/>
    <w:multiLevelType w:val="hybridMultilevel"/>
    <w:tmpl w:val="3134EBA8"/>
    <w:lvl w:ilvl="0" w:tplc="79BC8552">
      <w:start w:val="5"/>
      <w:numFmt w:val="upperRoman"/>
      <w:lvlText w:val="%1."/>
      <w:lvlJc w:val="right"/>
      <w:pPr>
        <w:ind w:left="3534" w:hanging="840"/>
      </w:pPr>
      <w:rPr>
        <w:rFonts w:hint="default"/>
        <w:b w:val="0"/>
        <w:bCs w:val="0"/>
        <w:i w:val="0"/>
        <w:strike w:val="0"/>
        <w:dstrike w:val="0"/>
        <w:color w:val="000000"/>
        <w:sz w:val="20"/>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18256FBA"/>
    <w:multiLevelType w:val="hybridMultilevel"/>
    <w:tmpl w:val="F34EA7EA"/>
    <w:lvl w:ilvl="0" w:tplc="25EA008A">
      <w:start w:val="4"/>
      <w:numFmt w:val="upperLetter"/>
      <w:lvlText w:val="%1."/>
      <w:lvlJc w:val="left"/>
      <w:pPr>
        <w:ind w:left="726" w:hanging="360"/>
      </w:pPr>
      <w:rPr>
        <w:rFonts w:ascii="Times New Roman" w:eastAsia="Times New Roman" w:hAnsi="Times New Roman" w:cs="Times New Roman" w:hint="default"/>
        <w:b/>
        <w:i w:val="0"/>
        <w:strike w:val="0"/>
        <w:dstrike w:val="0"/>
        <w:color w:val="000000"/>
        <w:sz w:val="24"/>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6705CB"/>
    <w:multiLevelType w:val="hybridMultilevel"/>
    <w:tmpl w:val="812AA422"/>
    <w:lvl w:ilvl="0" w:tplc="11AA2B32">
      <w:start w:val="1"/>
      <w:numFmt w:val="upperRoman"/>
      <w:lvlText w:val="%1."/>
      <w:lvlJc w:val="right"/>
      <w:pPr>
        <w:ind w:left="3534" w:hanging="840"/>
      </w:pPr>
      <w:rPr>
        <w:rFonts w:hint="default"/>
        <w:b w:val="0"/>
        <w:bCs w:val="0"/>
        <w:i w:val="0"/>
        <w:strike w:val="0"/>
        <w:dstrike w:val="0"/>
        <w:color w:val="000000"/>
        <w:sz w:val="20"/>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BB4859"/>
    <w:multiLevelType w:val="hybridMultilevel"/>
    <w:tmpl w:val="F62229A2"/>
    <w:lvl w:ilvl="0" w:tplc="B8A0647A">
      <w:start w:val="1"/>
      <w:numFmt w:val="lowerRoman"/>
      <w:lvlText w:val="%1)"/>
      <w:lvlJc w:val="right"/>
      <w:pPr>
        <w:ind w:left="1068" w:hanging="360"/>
      </w:pPr>
      <w:rPr>
        <w:rFonts w:hint="default"/>
        <w:strike w:val="0"/>
        <w:dstrike w:val="0"/>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2F1E61"/>
    <w:multiLevelType w:val="hybridMultilevel"/>
    <w:tmpl w:val="592ECF34"/>
    <w:lvl w:ilvl="0" w:tplc="367A417A">
      <w:start w:val="2"/>
      <w:numFmt w:val="lowerLetter"/>
      <w:lvlText w:val="%1)"/>
      <w:lvlJc w:val="left"/>
      <w:pPr>
        <w:ind w:left="720" w:hanging="360"/>
      </w:pPr>
      <w:rPr>
        <w:rFonts w:ascii="Cambria" w:eastAsia="Times New Roman" w:hAnsi="Cambria"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A9B296A"/>
    <w:multiLevelType w:val="hybridMultilevel"/>
    <w:tmpl w:val="3826725A"/>
    <w:lvl w:ilvl="0" w:tplc="F6E684D4">
      <w:start w:val="1"/>
      <w:numFmt w:val="lowerRoman"/>
      <w:lvlText w:val="%1)"/>
      <w:lvlJc w:val="right"/>
      <w:pPr>
        <w:ind w:left="1068" w:hanging="360"/>
      </w:pPr>
      <w:rPr>
        <w:rFonts w:hint="default"/>
        <w:strike w:val="0"/>
        <w:dstrike w:val="0"/>
        <w:color w:val="auto"/>
        <w:u w:val="none"/>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2B813F23"/>
    <w:multiLevelType w:val="hybridMultilevel"/>
    <w:tmpl w:val="B79A1F84"/>
    <w:lvl w:ilvl="0" w:tplc="6D6C6342">
      <w:start w:val="1"/>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DCC215B"/>
    <w:multiLevelType w:val="hybridMultilevel"/>
    <w:tmpl w:val="BAE20AFE"/>
    <w:lvl w:ilvl="0" w:tplc="ED14B6D4">
      <w:start w:val="1"/>
      <w:numFmt w:val="lowerLetter"/>
      <w:lvlText w:val="%1)"/>
      <w:lvlJc w:val="left"/>
      <w:pPr>
        <w:ind w:left="720" w:hanging="360"/>
      </w:pPr>
      <w:rPr>
        <w:rFonts w:hint="default"/>
        <w:b w:val="0"/>
        <w:bCs w:val="0"/>
        <w:i w:val="0"/>
        <w:strike w:val="0"/>
        <w:dstrike w:val="0"/>
        <w:color w:val="auto"/>
        <w:sz w:val="22"/>
        <w:szCs w:val="20"/>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0AF5849"/>
    <w:multiLevelType w:val="hybridMultilevel"/>
    <w:tmpl w:val="5D645A6A"/>
    <w:lvl w:ilvl="0" w:tplc="C23E745C">
      <w:start w:val="1"/>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31F78EB"/>
    <w:multiLevelType w:val="hybridMultilevel"/>
    <w:tmpl w:val="6930B1D6"/>
    <w:lvl w:ilvl="0" w:tplc="FA1461C6">
      <w:start w:val="3"/>
      <w:numFmt w:val="lowerLetter"/>
      <w:lvlText w:val="%1)"/>
      <w:lvlJc w:val="left"/>
      <w:pPr>
        <w:ind w:left="720" w:hanging="360"/>
      </w:pPr>
      <w:rPr>
        <w:rFonts w:ascii="Cambria" w:eastAsia="Times New Roman" w:hAnsi="Cambria"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6E95725"/>
    <w:multiLevelType w:val="hybridMultilevel"/>
    <w:tmpl w:val="4A46E324"/>
    <w:lvl w:ilvl="0" w:tplc="8A6613EC">
      <w:start w:val="1"/>
      <w:numFmt w:val="lowerLetter"/>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F5675C9"/>
    <w:multiLevelType w:val="hybridMultilevel"/>
    <w:tmpl w:val="CB506EDA"/>
    <w:lvl w:ilvl="0" w:tplc="6D3ADF64">
      <w:start w:val="4"/>
      <w:numFmt w:val="upperRoman"/>
      <w:lvlText w:val="%1."/>
      <w:lvlJc w:val="right"/>
      <w:pPr>
        <w:ind w:left="3534" w:hanging="840"/>
      </w:pPr>
      <w:rPr>
        <w:rFonts w:hint="default"/>
        <w:b w:val="0"/>
        <w:bCs w:val="0"/>
        <w:i w:val="0"/>
        <w:strike w:val="0"/>
        <w:dstrike w:val="0"/>
        <w:color w:val="000000"/>
        <w:sz w:val="20"/>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C6A41C0"/>
    <w:multiLevelType w:val="hybridMultilevel"/>
    <w:tmpl w:val="488CA4FC"/>
    <w:lvl w:ilvl="0" w:tplc="A4389E12">
      <w:start w:val="1"/>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7" w15:restartNumberingAfterBreak="0">
    <w:nsid w:val="55462B54"/>
    <w:multiLevelType w:val="hybridMultilevel"/>
    <w:tmpl w:val="D1AA1736"/>
    <w:lvl w:ilvl="0" w:tplc="ED14B6D4">
      <w:start w:val="1"/>
      <w:numFmt w:val="lowerLetter"/>
      <w:lvlText w:val="%1)"/>
      <w:lvlJc w:val="left"/>
      <w:pPr>
        <w:ind w:left="786" w:hanging="360"/>
      </w:pPr>
      <w:rPr>
        <w:rFonts w:hint="default"/>
        <w:b w:val="0"/>
        <w:bCs w:val="0"/>
        <w:i w:val="0"/>
        <w:strike w:val="0"/>
        <w:dstrike w:val="0"/>
        <w:color w:val="auto"/>
        <w:sz w:val="22"/>
        <w:szCs w:val="20"/>
        <w:u w:val="none" w:color="000000"/>
        <w:vertAlign w:val="baseline"/>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8" w15:restartNumberingAfterBreak="0">
    <w:nsid w:val="555E3704"/>
    <w:multiLevelType w:val="hybridMultilevel"/>
    <w:tmpl w:val="93606D98"/>
    <w:lvl w:ilvl="0" w:tplc="B812FD4A">
      <w:start w:val="3"/>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C6149B3"/>
    <w:multiLevelType w:val="hybridMultilevel"/>
    <w:tmpl w:val="19529F24"/>
    <w:lvl w:ilvl="0" w:tplc="819CAF40">
      <w:start w:val="1"/>
      <w:numFmt w:val="lowerLetter"/>
      <w:lvlText w:val="%1)"/>
      <w:lvlJc w:val="left"/>
      <w:pPr>
        <w:ind w:left="720" w:hanging="360"/>
      </w:pPr>
      <w:rPr>
        <w:rFonts w:ascii="Cambria" w:eastAsia="Times New Roman" w:hAnsi="Cambria"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5B34DD5"/>
    <w:multiLevelType w:val="hybridMultilevel"/>
    <w:tmpl w:val="2EC22C68"/>
    <w:lvl w:ilvl="0" w:tplc="25BE31B8">
      <w:start w:val="3"/>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6F071E"/>
    <w:multiLevelType w:val="hybridMultilevel"/>
    <w:tmpl w:val="64DCD902"/>
    <w:lvl w:ilvl="0" w:tplc="16FC2528">
      <w:start w:val="3"/>
      <w:numFmt w:val="upperLetter"/>
      <w:lvlText w:val="%1."/>
      <w:lvlJc w:val="left"/>
      <w:pPr>
        <w:ind w:left="720" w:hanging="360"/>
      </w:pPr>
      <w:rPr>
        <w:rFonts w:ascii="Times New Roman" w:eastAsia="Times New Roman" w:hAnsi="Times New Roman" w:cs="Times New Roman" w:hint="default"/>
        <w:b/>
        <w:i w:val="0"/>
        <w:strike w:val="0"/>
        <w:dstrike w:val="0"/>
        <w:color w:val="000000"/>
        <w:sz w:val="24"/>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82B78FE"/>
    <w:multiLevelType w:val="hybridMultilevel"/>
    <w:tmpl w:val="6ECA9690"/>
    <w:lvl w:ilvl="0" w:tplc="3CDAD276">
      <w:start w:val="1"/>
      <w:numFmt w:val="bullet"/>
      <w:lvlText w:val="-"/>
      <w:lvlJc w:val="left"/>
      <w:pPr>
        <w:ind w:left="1068" w:hanging="360"/>
      </w:pPr>
      <w:rPr>
        <w:rFonts w:ascii="Calibri" w:eastAsiaTheme="minorHAnsi"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699E27E0"/>
    <w:multiLevelType w:val="hybridMultilevel"/>
    <w:tmpl w:val="116A8D3C"/>
    <w:lvl w:ilvl="0" w:tplc="922AE5A0">
      <w:start w:val="1"/>
      <w:numFmt w:val="upperLetter"/>
      <w:lvlText w:val="%1."/>
      <w:lvlJc w:val="left"/>
      <w:pPr>
        <w:ind w:left="726" w:hanging="360"/>
      </w:pPr>
      <w:rPr>
        <w:rFonts w:ascii="Times New Roman" w:eastAsia="Times New Roman" w:hAnsi="Times New Roman" w:cs="Times New Roman" w:hint="default"/>
        <w:b/>
        <w:i w:val="0"/>
        <w:strike w:val="0"/>
        <w:dstrike w:val="0"/>
        <w:color w:val="000000"/>
        <w:sz w:val="24"/>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E5031F6"/>
    <w:multiLevelType w:val="hybridMultilevel"/>
    <w:tmpl w:val="CF266702"/>
    <w:lvl w:ilvl="0" w:tplc="C924212C">
      <w:start w:val="2"/>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E9C2D98"/>
    <w:multiLevelType w:val="hybridMultilevel"/>
    <w:tmpl w:val="CF9E8BCC"/>
    <w:lvl w:ilvl="0" w:tplc="9B103334">
      <w:start w:val="1"/>
      <w:numFmt w:val="lowerLetter"/>
      <w:lvlText w:val="%1)"/>
      <w:lvlJc w:val="left"/>
      <w:pPr>
        <w:tabs>
          <w:tab w:val="num" w:pos="720"/>
        </w:tabs>
        <w:ind w:left="720" w:hanging="360"/>
      </w:pPr>
      <w:rPr>
        <w:rFonts w:hint="default"/>
        <w:b w:val="0"/>
        <w:bCs w:val="0"/>
        <w:i w:val="0"/>
        <w:strike w:val="0"/>
        <w:dstrike w:val="0"/>
        <w:color w:val="auto"/>
        <w:sz w:val="22"/>
        <w:szCs w:val="20"/>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4134670"/>
    <w:multiLevelType w:val="hybridMultilevel"/>
    <w:tmpl w:val="01845D36"/>
    <w:lvl w:ilvl="0" w:tplc="B23E770E">
      <w:start w:val="3"/>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4227A3F"/>
    <w:multiLevelType w:val="hybridMultilevel"/>
    <w:tmpl w:val="2EC0E3C4"/>
    <w:lvl w:ilvl="0" w:tplc="6E1A4AB2">
      <w:start w:val="2"/>
      <w:numFmt w:val="decimal"/>
      <w:lvlText w:val="%1)"/>
      <w:lvlJc w:val="left"/>
      <w:pPr>
        <w:ind w:left="720" w:hanging="360"/>
      </w:pPr>
      <w:rPr>
        <w:rFonts w:hint="default"/>
        <w:b/>
        <w:bCs w:val="0"/>
        <w:i w:val="0"/>
        <w:strike w:val="0"/>
        <w:dstrike w:val="0"/>
        <w:color w:val="auto"/>
        <w:sz w:val="22"/>
        <w:szCs w:val="2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9" w15:restartNumberingAfterBreak="0">
    <w:nsid w:val="778736AA"/>
    <w:multiLevelType w:val="hybridMultilevel"/>
    <w:tmpl w:val="8A00B1FC"/>
    <w:lvl w:ilvl="0" w:tplc="2B7A4540">
      <w:start w:val="14"/>
      <w:numFmt w:val="bullet"/>
      <w:lvlText w:val="-"/>
      <w:lvlJc w:val="left"/>
      <w:pPr>
        <w:ind w:left="1068" w:hanging="360"/>
      </w:pPr>
      <w:rPr>
        <w:rFonts w:ascii="Times New Roman" w:eastAsiaTheme="minorHAnsi" w:hAnsi="Times New Roman" w:cs="Times New Roman" w:hint="default"/>
        <w:strike w:val="0"/>
        <w:dstrike w:val="0"/>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8842D2A"/>
    <w:multiLevelType w:val="hybridMultilevel"/>
    <w:tmpl w:val="9DA2F214"/>
    <w:lvl w:ilvl="0" w:tplc="97F88E70">
      <w:start w:val="2"/>
      <w:numFmt w:val="upperLetter"/>
      <w:lvlText w:val="%1."/>
      <w:lvlJc w:val="left"/>
      <w:pPr>
        <w:ind w:left="726" w:hanging="360"/>
      </w:pPr>
      <w:rPr>
        <w:rFonts w:ascii="Times New Roman" w:eastAsia="Times New Roman" w:hAnsi="Times New Roman" w:cs="Times New Roman" w:hint="default"/>
        <w:b/>
        <w:i w:val="0"/>
        <w:strike w:val="0"/>
        <w:dstrike w:val="0"/>
        <w:color w:val="000000"/>
        <w:sz w:val="24"/>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16"/>
  </w:num>
  <w:num w:numId="3">
    <w:abstractNumId w:val="28"/>
  </w:num>
  <w:num w:numId="4">
    <w:abstractNumId w:val="23"/>
  </w:num>
  <w:num w:numId="5">
    <w:abstractNumId w:val="15"/>
  </w:num>
  <w:num w:numId="6">
    <w:abstractNumId w:val="24"/>
  </w:num>
  <w:num w:numId="7">
    <w:abstractNumId w:val="5"/>
  </w:num>
  <w:num w:numId="8">
    <w:abstractNumId w:val="14"/>
  </w:num>
  <w:num w:numId="9">
    <w:abstractNumId w:val="19"/>
  </w:num>
  <w:num w:numId="10">
    <w:abstractNumId w:val="7"/>
  </w:num>
  <w:num w:numId="11">
    <w:abstractNumId w:val="12"/>
  </w:num>
  <w:num w:numId="12">
    <w:abstractNumId w:val="2"/>
  </w:num>
  <w:num w:numId="13">
    <w:abstractNumId w:val="26"/>
  </w:num>
  <w:num w:numId="14">
    <w:abstractNumId w:val="30"/>
  </w:num>
  <w:num w:numId="15">
    <w:abstractNumId w:val="11"/>
  </w:num>
  <w:num w:numId="16">
    <w:abstractNumId w:val="10"/>
  </w:num>
  <w:num w:numId="17">
    <w:abstractNumId w:val="25"/>
  </w:num>
  <w:num w:numId="18">
    <w:abstractNumId w:val="1"/>
  </w:num>
  <w:num w:numId="19">
    <w:abstractNumId w:val="18"/>
  </w:num>
  <w:num w:numId="20">
    <w:abstractNumId w:val="17"/>
  </w:num>
  <w:num w:numId="21">
    <w:abstractNumId w:val="22"/>
  </w:num>
  <w:num w:numId="22">
    <w:abstractNumId w:val="8"/>
  </w:num>
  <w:num w:numId="23">
    <w:abstractNumId w:val="6"/>
  </w:num>
  <w:num w:numId="24">
    <w:abstractNumId w:val="4"/>
  </w:num>
  <w:num w:numId="25">
    <w:abstractNumId w:val="0"/>
  </w:num>
  <w:num w:numId="26">
    <w:abstractNumId w:val="27"/>
  </w:num>
  <w:num w:numId="27">
    <w:abstractNumId w:val="20"/>
  </w:num>
  <w:num w:numId="28">
    <w:abstractNumId w:val="9"/>
  </w:num>
  <w:num w:numId="29">
    <w:abstractNumId w:val="21"/>
  </w:num>
  <w:num w:numId="30">
    <w:abstractNumId w:val="1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C6"/>
    <w:rsid w:val="001155A7"/>
    <w:rsid w:val="004313B1"/>
    <w:rsid w:val="004512CD"/>
    <w:rsid w:val="004A20F7"/>
    <w:rsid w:val="004A73E3"/>
    <w:rsid w:val="00517D62"/>
    <w:rsid w:val="00613F9B"/>
    <w:rsid w:val="006972C9"/>
    <w:rsid w:val="007A77CF"/>
    <w:rsid w:val="007E1380"/>
    <w:rsid w:val="007E1EC2"/>
    <w:rsid w:val="008200B7"/>
    <w:rsid w:val="00845103"/>
    <w:rsid w:val="00855792"/>
    <w:rsid w:val="008748CC"/>
    <w:rsid w:val="008B0595"/>
    <w:rsid w:val="008E1275"/>
    <w:rsid w:val="008E5E2F"/>
    <w:rsid w:val="00900B79"/>
    <w:rsid w:val="009349F3"/>
    <w:rsid w:val="00970B96"/>
    <w:rsid w:val="00982DD6"/>
    <w:rsid w:val="00993D0F"/>
    <w:rsid w:val="009949B3"/>
    <w:rsid w:val="00A6770B"/>
    <w:rsid w:val="00AD4065"/>
    <w:rsid w:val="00AD5B5C"/>
    <w:rsid w:val="00AF06C5"/>
    <w:rsid w:val="00B026C6"/>
    <w:rsid w:val="00B733C6"/>
    <w:rsid w:val="00B7752A"/>
    <w:rsid w:val="00BB2CE7"/>
    <w:rsid w:val="00C51C37"/>
    <w:rsid w:val="00C824E4"/>
    <w:rsid w:val="00C826DE"/>
    <w:rsid w:val="00D50506"/>
    <w:rsid w:val="00D74338"/>
    <w:rsid w:val="00DB415F"/>
    <w:rsid w:val="00DB670B"/>
    <w:rsid w:val="00DE2D06"/>
    <w:rsid w:val="00E86EFE"/>
    <w:rsid w:val="00EE12EE"/>
    <w:rsid w:val="00F42836"/>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5A2204"/>
  <w15:chartTrackingRefBased/>
  <w15:docId w15:val="{71EED4E1-4AED-4E03-A348-5CCFD231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E86EFE"/>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Textonotapie">
    <w:name w:val="footnote text"/>
    <w:basedOn w:val="Normal"/>
    <w:link w:val="TextonotapieCar"/>
    <w:uiPriority w:val="99"/>
    <w:rsid w:val="00D50506"/>
    <w:pPr>
      <w:spacing w:line="240" w:lineRule="auto"/>
      <w:jc w:val="left"/>
    </w:pPr>
    <w:rPr>
      <w:rFonts w:ascii="Times New Roman" w:hAnsi="Times New Roman"/>
      <w:sz w:val="20"/>
      <w:szCs w:val="20"/>
      <w:lang w:eastAsia="es-ES"/>
    </w:rPr>
  </w:style>
  <w:style w:type="character" w:customStyle="1" w:styleId="TextonotapieCar">
    <w:name w:val="Texto nota pie Car"/>
    <w:basedOn w:val="Fuentedeprrafopredeter"/>
    <w:link w:val="Textonotapie"/>
    <w:uiPriority w:val="99"/>
    <w:rsid w:val="00D50506"/>
    <w:rPr>
      <w:rFonts w:ascii="Times New Roman" w:eastAsia="Times New Roman" w:hAnsi="Times New Roman" w:cs="Times New Roman"/>
      <w:sz w:val="20"/>
      <w:szCs w:val="20"/>
      <w:lang w:val="es-ES" w:eastAsia="es-ES"/>
    </w:rPr>
  </w:style>
  <w:style w:type="character" w:styleId="Refdenotaalpie">
    <w:name w:val="footnote reference"/>
    <w:aliases w:val="titulo 2"/>
    <w:uiPriority w:val="99"/>
    <w:semiHidden/>
    <w:unhideWhenUsed/>
    <w:rsid w:val="00D50506"/>
    <w:rPr>
      <w:vertAlign w:val="superscript"/>
    </w:rPr>
  </w:style>
  <w:style w:type="paragraph" w:styleId="TDC1">
    <w:name w:val="toc 1"/>
    <w:basedOn w:val="Normal"/>
    <w:next w:val="Normal"/>
    <w:autoRedefine/>
    <w:uiPriority w:val="39"/>
    <w:unhideWhenUsed/>
    <w:rsid w:val="00C826DE"/>
    <w:pPr>
      <w:spacing w:after="100"/>
    </w:pPr>
  </w:style>
  <w:style w:type="paragraph" w:styleId="TDC2">
    <w:name w:val="toc 2"/>
    <w:basedOn w:val="Normal"/>
    <w:next w:val="Normal"/>
    <w:autoRedefine/>
    <w:uiPriority w:val="39"/>
    <w:unhideWhenUsed/>
    <w:rsid w:val="00C826DE"/>
    <w:pPr>
      <w:spacing w:after="100"/>
      <w:ind w:left="220"/>
    </w:pPr>
  </w:style>
  <w:style w:type="paragraph" w:styleId="Prrafodelista">
    <w:name w:val="List Paragraph"/>
    <w:basedOn w:val="Normal"/>
    <w:uiPriority w:val="34"/>
    <w:qFormat/>
    <w:rsid w:val="008E5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informacion_relevante/supervision_basada_en_riesgo.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34D2F521E44E9CACF6087DDCBBC2AB"/>
        <w:category>
          <w:name w:val="General"/>
          <w:gallery w:val="placeholder"/>
        </w:category>
        <w:types>
          <w:type w:val="bbPlcHdr"/>
        </w:types>
        <w:behaviors>
          <w:behavior w:val="content"/>
        </w:behaviors>
        <w:guid w:val="{BA047D49-904C-4ADA-AD99-AF8626643F86}"/>
      </w:docPartPr>
      <w:docPartBody>
        <w:p w:rsidR="00B40536" w:rsidRDefault="003D1191" w:rsidP="003D1191">
          <w:pPr>
            <w:pStyle w:val="F734D2F521E44E9CACF6087DDCBBC2AB"/>
          </w:pPr>
          <w:r w:rsidRPr="001E0779">
            <w:rPr>
              <w:rStyle w:val="Textodelmarcadordeposicin"/>
            </w:rPr>
            <w:t>Haga clic aquí para escribir texto.</w:t>
          </w:r>
        </w:p>
      </w:docPartBody>
    </w:docPart>
    <w:docPart>
      <w:docPartPr>
        <w:name w:val="CE57274060C648C8BC486F34C5FB2530"/>
        <w:category>
          <w:name w:val="General"/>
          <w:gallery w:val="placeholder"/>
        </w:category>
        <w:types>
          <w:type w:val="bbPlcHdr"/>
        </w:types>
        <w:behaviors>
          <w:behavior w:val="content"/>
        </w:behaviors>
        <w:guid w:val="{AE292218-3BCF-47D8-979D-713B07B59780}"/>
      </w:docPartPr>
      <w:docPartBody>
        <w:p w:rsidR="00B40536" w:rsidRDefault="003D1191" w:rsidP="003D1191">
          <w:pPr>
            <w:pStyle w:val="CE57274060C648C8BC486F34C5FB253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7C"/>
    <w:rsid w:val="000B4F7C"/>
    <w:rsid w:val="003D1191"/>
    <w:rsid w:val="00B405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1191"/>
  </w:style>
  <w:style w:type="paragraph" w:customStyle="1" w:styleId="F734D2F521E44E9CACF6087DDCBBC2AB">
    <w:name w:val="F734D2F521E44E9CACF6087DDCBBC2AB"/>
    <w:rsid w:val="003D1191"/>
  </w:style>
  <w:style w:type="paragraph" w:customStyle="1" w:styleId="CE57274060C648C8BC486F34C5FB2530">
    <w:name w:val="CE57274060C648C8BC486F34C5FB2530"/>
    <w:rsid w:val="003D1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woRnESauBJ/D3tENFppisEjS9WhM+Jj8nOqUJJgnOAI=</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ZuhuvvAhQONs21J8ZupZx07OIGE2HkpKrB5g7rG2Ako=</DigestValue>
    </Reference>
  </SignedInfo>
  <SignatureValue>gmQGrppAzQsHlFrqFJndEhNojqOCONZ0ZdrwFaS2IjTXU7aVTIsC2knixQ171nfyulOQ+OC2cIxB
Pn+a83/zpvVtJ3ouPjBDyk+gs96PdozwHJkyyauYStItelcAZV9kqMKdvTseE8p4tGhZgtRzAgLI
NbQoiauMOiVZxBR7nkbERKiZjm/LqWCd718gMW0zWVjuJGYRtCAtXEs3i/rtasrmXua+ok1LxvCW
I83J7QaX/DBYUPbtoE1QD9uZry3gj8tPS6f0o5C1/zeSgC7LcBbGmJfESorNiiI+Xrp3rOik/pNu
l9XUXrlUzhizWKsRZAuAeqB4xWOj6P8z7y66EQ==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yCYgmF9haWh7rBfIZxkgxfQ7jKebH6hroFwC7VOMKnc=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G4ebvG/Zw3LSL767UFBfRF3rAqbkMixy/WDzfWkq/zM=</DigestValue>
      </Reference>
      <Reference URI="/word/endnotes.xml?ContentType=application/vnd.openxmlformats-officedocument.wordprocessingml.endnotes+xml">
        <DigestMethod Algorithm="http://www.w3.org/2001/04/xmlenc#sha256"/>
        <DigestValue>yv8smcBXqCdN3oIPqOWptMrp4mkOX1j4kBAOdfZc3aQ=</DigestValue>
      </Reference>
      <Reference URI="/word/fontTable.xml?ContentType=application/vnd.openxmlformats-officedocument.wordprocessingml.fontTable+xml">
        <DigestMethod Algorithm="http://www.w3.org/2001/04/xmlenc#sha256"/>
        <DigestValue>IsR9d73NG7i90MOw5XhTp8+kA+c4uB/2Dyu5aoDxNek=</DigestValue>
      </Reference>
      <Reference URI="/word/footer1.xml?ContentType=application/vnd.openxmlformats-officedocument.wordprocessingml.footer+xml">
        <DigestMethod Algorithm="http://www.w3.org/2001/04/xmlenc#sha256"/>
        <DigestValue>TN2ptB/MfoYFAkJUndsEZTlehSO3EE2Vmyg7xvtzWpo=</DigestValue>
      </Reference>
      <Reference URI="/word/footer2.xml?ContentType=application/vnd.openxmlformats-officedocument.wordprocessingml.footer+xml">
        <DigestMethod Algorithm="http://www.w3.org/2001/04/xmlenc#sha256"/>
        <DigestValue>FGMJQss3/49iAvIiaae+Sgh7G1CCjeyp1UTduDTKMJA=</DigestValue>
      </Reference>
      <Reference URI="/word/footer3.xml?ContentType=application/vnd.openxmlformats-officedocument.wordprocessingml.footer+xml">
        <DigestMethod Algorithm="http://www.w3.org/2001/04/xmlenc#sha256"/>
        <DigestValue>w/JCrQUmB/ArxZ397MfSclZ2lMU+KPd197Wl1lBI/TA=</DigestValue>
      </Reference>
      <Reference URI="/word/footnotes.xml?ContentType=application/vnd.openxmlformats-officedocument.wordprocessingml.footnotes+xml">
        <DigestMethod Algorithm="http://www.w3.org/2001/04/xmlenc#sha256"/>
        <DigestValue>zJwPyJ8YLfAqE0+AwxbOd2FGRrMQrp5pIFgwAUoHjkg=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tekdHZbZtio6mpizccgAuHOGW2BEOKMuKbBVu8tMujU=</DigestValue>
      </Reference>
      <Reference URI="/word/glossary/fontTable.xml?ContentType=application/vnd.openxmlformats-officedocument.wordprocessingml.fontTable+xml">
        <DigestMethod Algorithm="http://www.w3.org/2001/04/xmlenc#sha256"/>
        <DigestValue>IsR9d73NG7i90MOw5XhTp8+kA+c4uB/2Dyu5aoDxNek=</DigestValue>
      </Reference>
      <Reference URI="/word/glossary/settings.xml?ContentType=application/vnd.openxmlformats-officedocument.wordprocessingml.settings+xml">
        <DigestMethod Algorithm="http://www.w3.org/2001/04/xmlenc#sha256"/>
        <DigestValue>du9+x+Elur9hM4ivYqURfY2JSvOgXLBlBXspn1MysOY=</DigestValue>
      </Reference>
      <Reference URI="/word/glossary/styles.xml?ContentType=application/vnd.openxmlformats-officedocument.wordprocessingml.styles+xml">
        <DigestMethod Algorithm="http://www.w3.org/2001/04/xmlenc#sha256"/>
        <DigestValue>ljHHhpkIHcGpNhjpvp/Z2Fg3YFJ5goNvEAf4AMoY6vA=</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C/1TdfsCVwIIfeGEpY/o/S3+pYsUlwota64eVWAfJmM=</DigestValue>
      </Reference>
      <Reference URI="/word/header2.xml?ContentType=application/vnd.openxmlformats-officedocument.wordprocessingml.header+xml">
        <DigestMethod Algorithm="http://www.w3.org/2001/04/xmlenc#sha256"/>
        <DigestValue>lFY2/yJ46v3kz7D87L6MQ3X6+04Ay+wROMCQfMgESt8=</DigestValue>
      </Reference>
      <Reference URI="/word/header3.xml?ContentType=application/vnd.openxmlformats-officedocument.wordprocessingml.header+xml">
        <DigestMethod Algorithm="http://www.w3.org/2001/04/xmlenc#sha256"/>
        <DigestValue>Uek2j5WnOoBPLfnFRSttSp0+pQl31IiaF0C6nQtFyHA=</DigestValue>
      </Reference>
      <Reference URI="/word/media/image1.png?ContentType=image/png">
        <DigestMethod Algorithm="http://www.w3.org/2001/04/xmlenc#sha256"/>
        <DigestValue>XUJ0b79hwYdFAGo4p9bLHsH1jO6KjNmHVSgNz9YoDUg=</DigestValue>
      </Reference>
      <Reference URI="/word/media/image2.jpeg?ContentType=image/jpeg">
        <DigestMethod Algorithm="http://www.w3.org/2001/04/xmlenc#sha256"/>
        <DigestValue>xyj69l3DW8glKu5smMXAwtOjzbX6e4vINW9rhAbhtrc=</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4Cl9EPHMQSV/V1ajHLKEiHHadhbYVb7XPvxzaWOKvk4=</DigestValue>
      </Reference>
      <Reference URI="/word/settings.xml?ContentType=application/vnd.openxmlformats-officedocument.wordprocessingml.settings+xml">
        <DigestMethod Algorithm="http://www.w3.org/2001/04/xmlenc#sha256"/>
        <DigestValue>a/QORWO7FUTc6iZiXYB7GZ5e9PmpKXvcN4gzrxeA8OM=</DigestValue>
      </Reference>
      <Reference URI="/word/styles.xml?ContentType=application/vnd.openxmlformats-officedocument.wordprocessingml.styles+xml">
        <DigestMethod Algorithm="http://www.w3.org/2001/04/xmlenc#sha256"/>
        <DigestValue>uDu5iSQNvv4PxuGsvYKjBzxOtmFP9Ox/NSqYcGSYsO8=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2022-05-17T17:50:36Z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2022-05-17T17:50:36Z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hs2IE5GMrz4LdAXVvWH+dOVTgnRP4Tm+GwvhfGHZI0CBA8mTCgYDzIwMjIwNTE3MTc1MD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cd/qNkWm9EwpjfgczxVdxzEwfgw=</xd:ByKey>
                  </xd:ResponderID>
                  <xd:ProducedAt>2022-05-17T17:50:34Z</xd:ProducedAt>
                </xd:OCSPIdentifier>
                <xd:DigestAlgAndValue>
                  <DigestMethod Algorithm="http://www.w3.org/2001/04/xmlenc#sha256"/>
                  <DigestValue>KW1QlX5Uyh6Fm+6jptx+LTmOjaRUQjg7ghSjC5HJ7EA=</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</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Y745Pbk1dsWRvQlQA7nto2gPwdWmiVUfzmrTqaA8asACBA8mTCoYDzIwMjIwNTE3MTc1MD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130</Value>
      <Value>109</Value>
      <Value>3</Value>
      <Value>2</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Sin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la Entrante de Administrativo para que realice la publicación en La Gaceta.
Lineamientos Generales al Reglamento para Calificar a las Entidades Supervisadas, Acuerdo 24-22.
Copiar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sobre los Lineamientos al Reglamento para Calificar Entidades Supervisadas, Acuerdo SUGEF 24-22</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1" ma:contentTypeDescription="Crear nuevo documento." ma:contentTypeScope="" ma:versionID="cfb21e0e9dc3589e9925e586f4e579f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FB7B0-B425-4B89-A5C1-7E9987DC47BE}">
  <ds:schemaRefs>
    <ds:schemaRef ds:uri="http://purl.org/dc/dcmitype/"/>
    <ds:schemaRef ds:uri="b875e23b-67d9-4b2e-bdec-edacbf90b326"/>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3.xml><?xml version="1.0" encoding="utf-8"?>
<ds:datastoreItem xmlns:ds="http://schemas.openxmlformats.org/officeDocument/2006/customXml" ds:itemID="{F8F3393A-794F-4538-89BA-389CED8343E4}">
  <ds:schemaRefs>
    <ds:schemaRef ds:uri="http://schemas.microsoft.com/sharepoint/v3/contenttype/forms"/>
  </ds:schemaRefs>
</ds:datastoreItem>
</file>

<file path=customXml/itemProps4.xml><?xml version="1.0" encoding="utf-8"?>
<ds:datastoreItem xmlns:ds="http://schemas.openxmlformats.org/officeDocument/2006/customXml" ds:itemID="{8DC9249C-7A35-4D06-81B8-DA26424F96B8}">
  <ds:schemaRefs>
    <ds:schemaRef ds:uri="office.server.policy"/>
  </ds:schemaRefs>
</ds:datastoreItem>
</file>

<file path=customXml/itemProps5.xml><?xml version="1.0" encoding="utf-8"?>
<ds:datastoreItem xmlns:ds="http://schemas.openxmlformats.org/officeDocument/2006/customXml" ds:itemID="{15D6F30D-D71F-495A-83F9-6226655AA661}">
  <ds:schemaRefs>
    <ds:schemaRef ds:uri="http://schemas.microsoft.com/sharepoint/events"/>
  </ds:schemaRefs>
</ds:datastoreItem>
</file>

<file path=customXml/itemProps6.xml><?xml version="1.0" encoding="utf-8"?>
<ds:datastoreItem xmlns:ds="http://schemas.openxmlformats.org/officeDocument/2006/customXml" ds:itemID="{CCD3FE5E-33AD-41B0-BEF9-A840AC532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plantillas-SGF-13-Normas</Template>
  <TotalTime>76</TotalTime>
  <Pages>19</Pages>
  <Words>6965</Words>
  <Characters>38312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LARA ISAIAS</dc:creator>
  <cp:keywords/>
  <dc:description/>
  <cp:lastModifiedBy>VARGAS LEAL MARIA GABRIELA</cp:lastModifiedBy>
  <cp:revision>22</cp:revision>
  <dcterms:created xsi:type="dcterms:W3CDTF">2022-05-03T20:14:00Z</dcterms:created>
  <dcterms:modified xsi:type="dcterms:W3CDTF">2022-05-16T20:01:00Z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109;#Área Coordinación Administrativa|39ce7748-92aa-4572-8334-49785789cb1c</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95800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58129e4d-2a7c-4442-ab86-f4288b01d5ff,6;7dedacbb-5c77-4a35-8847-40abd1245d4d,8;</vt:lpwstr>
  </property>
</Properties>
</file>