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B414D" w:rsidR="00776B79" w:rsidP="006972C9" w:rsidRDefault="00776B79" w14:paraId="5D4EF48D" w14:textId="77777777">
      <w:pPr>
        <w:pStyle w:val="Texto"/>
        <w:spacing w:before="0" w:after="0" w:line="240" w:lineRule="auto"/>
        <w:rPr>
          <w:szCs w:val="22"/>
        </w:rPr>
      </w:pPr>
    </w:p>
    <w:p w:rsidRPr="008B414D" w:rsidR="00776B79" w:rsidP="006972C9" w:rsidRDefault="00776B79" w14:paraId="3908BCA9" w14:textId="77777777">
      <w:pPr>
        <w:pStyle w:val="Texto"/>
        <w:spacing w:before="0" w:after="0" w:line="240" w:lineRule="auto"/>
        <w:rPr>
          <w:szCs w:val="22"/>
        </w:rPr>
      </w:pPr>
    </w:p>
    <w:p w:rsidRPr="008B414D" w:rsidR="00776B79" w:rsidP="00776B79" w:rsidRDefault="00776B79" w14:paraId="1F3A6767" w14:textId="77777777">
      <w:pPr>
        <w:pStyle w:val="Texto"/>
        <w:spacing w:before="0" w:after="0" w:line="240" w:lineRule="auto"/>
        <w:jc w:val="center"/>
        <w:rPr>
          <w:b/>
          <w:szCs w:val="22"/>
        </w:rPr>
      </w:pPr>
      <w:r w:rsidRPr="008B414D">
        <w:rPr>
          <w:b/>
          <w:szCs w:val="22"/>
        </w:rPr>
        <w:t>Resolución</w:t>
      </w:r>
    </w:p>
    <w:p w:rsidRPr="008B414D" w:rsidR="006972C9" w:rsidP="00776B79" w:rsidRDefault="00F578C0" w14:paraId="1E9DA340" w14:textId="097A31D3">
      <w:pPr>
        <w:pStyle w:val="Texto"/>
        <w:spacing w:before="0" w:after="0" w:line="240" w:lineRule="auto"/>
        <w:jc w:val="center"/>
        <w:rPr>
          <w:szCs w:val="22"/>
        </w:rPr>
      </w:pPr>
      <w:r w:rsidRPr="008B414D">
        <w:rPr>
          <w:szCs w:val="22"/>
        </w:rPr>
        <w:t>20</w:t>
      </w:r>
      <w:r w:rsidRPr="008B414D" w:rsidR="00776B79">
        <w:rPr>
          <w:szCs w:val="22"/>
        </w:rPr>
        <w:t xml:space="preserve"> de marzo del 2020</w:t>
      </w:r>
    </w:p>
    <w:sdt>
      <w:sdtPr>
        <w:rPr>
          <w:szCs w:val="22"/>
        </w:rPr>
        <w:alias w:val="Consecutivo"/>
        <w:tag w:val="Consecutivo"/>
        <w:id w:val="2052717023"/>
        <w:placeholder>
          <w:docPart w:val="72FA65D5AC83416A97DAF7192D032801"/>
        </w:placeholder>
        <w:text/>
      </w:sdtPr>
      <w:sdtEndPr/>
      <w:sdtContent>
        <w:p w:rsidRPr="008B414D" w:rsidR="006972C9" w:rsidP="00776B79" w:rsidRDefault="006972C9" w14:paraId="208C9702" w14:textId="77777777">
          <w:pPr>
            <w:tabs>
              <w:tab w:val="left" w:pos="2843"/>
            </w:tabs>
            <w:spacing w:line="240" w:lineRule="auto"/>
            <w:jc w:val="center"/>
            <w:rPr>
              <w:szCs w:val="22"/>
            </w:rPr>
          </w:pPr>
          <w:r>
            <w:t>SGF-0971-2020</w:t>
          </w:r>
        </w:p>
      </w:sdtContent>
    </w:sdt>
    <w:p w:rsidRPr="008B414D" w:rsidR="006972C9" w:rsidP="00776B79" w:rsidRDefault="008B414D" w14:paraId="4C89E983" w14:textId="77777777">
      <w:pPr>
        <w:tabs>
          <w:tab w:val="left" w:pos="2843"/>
        </w:tabs>
        <w:spacing w:line="240" w:lineRule="auto"/>
        <w:jc w:val="center"/>
        <w:rPr>
          <w:szCs w:val="22"/>
        </w:rPr>
      </w:pPr>
      <w:sdt>
        <w:sdtPr>
          <w:rPr>
            <w:szCs w:val="22"/>
          </w:rPr>
          <w:alias w:val="Confidencialidad"/>
          <w:tag w:val="Confidencialidad"/>
          <w:id w:val="1447896894"/>
          <w:placeholder>
            <w:docPart w:val="0002686F391D4241B00B2547DDF21DB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8B414D" w:rsidR="00776B79">
            <w:rPr>
              <w:szCs w:val="22"/>
            </w:rPr>
            <w:t>SGF-PUBLICO</w:t>
          </w:r>
        </w:sdtContent>
      </w:sdt>
    </w:p>
    <w:p w:rsidRPr="008B414D" w:rsidR="00776B79" w:rsidP="00776B79" w:rsidRDefault="00776B79" w14:paraId="0B3C0DD2" w14:textId="77777777">
      <w:pPr>
        <w:spacing w:line="240" w:lineRule="auto"/>
        <w:contextualSpacing/>
        <w:rPr>
          <w:b/>
          <w:szCs w:val="22"/>
        </w:rPr>
      </w:pPr>
      <w:r w:rsidRPr="008B414D">
        <w:rPr>
          <w:b/>
          <w:szCs w:val="22"/>
        </w:rPr>
        <w:t>Dirigida a:</w:t>
      </w:r>
    </w:p>
    <w:p w:rsidRPr="008B414D" w:rsidR="00776B79" w:rsidP="00776B79" w:rsidRDefault="00776B79" w14:paraId="19EAFA59" w14:textId="77777777">
      <w:pPr>
        <w:spacing w:line="240" w:lineRule="auto"/>
        <w:contextualSpacing/>
        <w:rPr>
          <w:szCs w:val="22"/>
        </w:rPr>
      </w:pPr>
    </w:p>
    <w:p w:rsidRPr="008B414D" w:rsidR="00776B79" w:rsidP="00776B79" w:rsidRDefault="00776B79" w14:paraId="6692DFA1" w14:textId="77777777">
      <w:pPr>
        <w:pStyle w:val="Prrafodelista"/>
        <w:numPr>
          <w:ilvl w:val="0"/>
          <w:numId w:val="3"/>
        </w:numPr>
        <w:spacing w:after="0" w:line="240" w:lineRule="auto"/>
        <w:rPr>
          <w:rFonts w:ascii="Cambria" w:hAnsi="Cambria" w:cs="Times New Roman"/>
        </w:rPr>
      </w:pPr>
      <w:r w:rsidRPr="008B414D">
        <w:rPr>
          <w:rFonts w:ascii="Cambria" w:hAnsi="Cambria" w:cs="Times New Roman"/>
        </w:rPr>
        <w:t>Bancos Comerciales del Estado.</w:t>
      </w:r>
    </w:p>
    <w:p w:rsidRPr="008B414D" w:rsidR="00776B79" w:rsidP="00776B79" w:rsidRDefault="00776B79" w14:paraId="2B99FF47" w14:textId="77777777">
      <w:pPr>
        <w:pStyle w:val="Prrafodelista"/>
        <w:numPr>
          <w:ilvl w:val="0"/>
          <w:numId w:val="3"/>
        </w:numPr>
        <w:spacing w:after="0" w:line="240" w:lineRule="auto"/>
        <w:rPr>
          <w:rFonts w:ascii="Cambria" w:hAnsi="Cambria" w:cs="Times New Roman"/>
        </w:rPr>
      </w:pPr>
      <w:r w:rsidRPr="008B414D">
        <w:rPr>
          <w:rFonts w:ascii="Cambria" w:hAnsi="Cambria" w:cs="Times New Roman"/>
        </w:rPr>
        <w:t>Bancos Creados por Leyes Especiales.</w:t>
      </w:r>
    </w:p>
    <w:p w:rsidRPr="008B414D" w:rsidR="00776B79" w:rsidP="00776B79" w:rsidRDefault="00776B79" w14:paraId="4DE30DD3" w14:textId="77777777">
      <w:pPr>
        <w:pStyle w:val="Prrafodelista"/>
        <w:numPr>
          <w:ilvl w:val="0"/>
          <w:numId w:val="3"/>
        </w:numPr>
        <w:spacing w:after="0" w:line="240" w:lineRule="auto"/>
        <w:rPr>
          <w:rFonts w:ascii="Cambria" w:hAnsi="Cambria" w:cs="Times New Roman"/>
        </w:rPr>
      </w:pPr>
      <w:r w:rsidRPr="008B414D">
        <w:rPr>
          <w:rFonts w:ascii="Cambria" w:hAnsi="Cambria" w:cs="Times New Roman"/>
        </w:rPr>
        <w:t>Bancos Privados.</w:t>
      </w:r>
    </w:p>
    <w:p w:rsidRPr="008B414D" w:rsidR="00776B79" w:rsidP="00776B79" w:rsidRDefault="00776B79" w14:paraId="1A9638FD" w14:textId="77777777">
      <w:pPr>
        <w:pStyle w:val="Prrafodelista"/>
        <w:numPr>
          <w:ilvl w:val="0"/>
          <w:numId w:val="3"/>
        </w:numPr>
        <w:spacing w:after="0" w:line="240" w:lineRule="auto"/>
        <w:rPr>
          <w:rFonts w:ascii="Cambria" w:hAnsi="Cambria" w:cs="Times New Roman"/>
        </w:rPr>
      </w:pPr>
      <w:r w:rsidRPr="008B414D">
        <w:rPr>
          <w:rFonts w:ascii="Cambria" w:hAnsi="Cambria" w:cs="Times New Roman"/>
        </w:rPr>
        <w:t>Empresas Financieras no Bancarias.</w:t>
      </w:r>
    </w:p>
    <w:p w:rsidRPr="008B414D" w:rsidR="00776B79" w:rsidP="00776B79" w:rsidRDefault="00776B79" w14:paraId="1014F384" w14:textId="77777777">
      <w:pPr>
        <w:pStyle w:val="Prrafodelista"/>
        <w:numPr>
          <w:ilvl w:val="0"/>
          <w:numId w:val="3"/>
        </w:numPr>
        <w:spacing w:after="0" w:line="240" w:lineRule="auto"/>
        <w:rPr>
          <w:rFonts w:ascii="Cambria" w:hAnsi="Cambria" w:cs="Times New Roman"/>
        </w:rPr>
      </w:pPr>
      <w:r w:rsidRPr="008B414D">
        <w:rPr>
          <w:rFonts w:ascii="Cambria" w:hAnsi="Cambria" w:cs="Times New Roman"/>
        </w:rPr>
        <w:t>Otras Entidades Financieras.</w:t>
      </w:r>
    </w:p>
    <w:p w:rsidRPr="008B414D" w:rsidR="00776B79" w:rsidP="00776B79" w:rsidRDefault="00776B79" w14:paraId="0ECECBE0" w14:textId="77777777">
      <w:pPr>
        <w:pStyle w:val="Prrafodelista"/>
        <w:numPr>
          <w:ilvl w:val="0"/>
          <w:numId w:val="3"/>
        </w:numPr>
        <w:spacing w:after="0" w:line="240" w:lineRule="auto"/>
        <w:rPr>
          <w:rFonts w:ascii="Cambria" w:hAnsi="Cambria" w:cs="Times New Roman"/>
        </w:rPr>
      </w:pPr>
      <w:r w:rsidRPr="008B414D">
        <w:rPr>
          <w:rFonts w:ascii="Cambria" w:hAnsi="Cambria" w:cs="Times New Roman"/>
        </w:rPr>
        <w:t>Organizaciones Cooperativas de Ahorro y Crédito.</w:t>
      </w:r>
    </w:p>
    <w:p w:rsidRPr="008B414D" w:rsidR="00776B79" w:rsidP="00776B79" w:rsidRDefault="00776B79" w14:paraId="2E6FF757" w14:textId="77777777">
      <w:pPr>
        <w:pStyle w:val="Prrafodelista"/>
        <w:numPr>
          <w:ilvl w:val="0"/>
          <w:numId w:val="3"/>
        </w:numPr>
        <w:spacing w:after="0" w:line="240" w:lineRule="auto"/>
        <w:rPr>
          <w:rFonts w:ascii="Cambria" w:hAnsi="Cambria" w:cs="Times New Roman"/>
        </w:rPr>
      </w:pPr>
      <w:r w:rsidRPr="008B414D">
        <w:rPr>
          <w:rFonts w:ascii="Cambria" w:hAnsi="Cambria" w:cs="Times New Roman"/>
        </w:rPr>
        <w:t>Entidades Autorizadas del Sistema Financiera Nacional para la Vivienda.</w:t>
      </w:r>
    </w:p>
    <w:p w:rsidRPr="008B414D" w:rsidR="00776B79" w:rsidP="00776B79" w:rsidRDefault="00776B79" w14:paraId="18708978" w14:textId="77777777">
      <w:pPr>
        <w:spacing w:line="240" w:lineRule="auto"/>
        <w:contextualSpacing/>
        <w:rPr>
          <w:szCs w:val="22"/>
        </w:rPr>
      </w:pPr>
    </w:p>
    <w:p w:rsidRPr="008B414D" w:rsidR="00A85B57" w:rsidP="00A85B57" w:rsidRDefault="00A85B57" w14:paraId="1222BDDA" w14:textId="42320BF2">
      <w:pPr>
        <w:spacing w:line="240" w:lineRule="auto"/>
        <w:contextualSpacing/>
        <w:rPr>
          <w:szCs w:val="22"/>
        </w:rPr>
      </w:pPr>
      <w:r w:rsidRPr="008B414D">
        <w:rPr>
          <w:b/>
          <w:szCs w:val="22"/>
        </w:rPr>
        <w:t>Asunto:</w:t>
      </w:r>
      <w:r w:rsidRPr="008B414D">
        <w:rPr>
          <w:szCs w:val="22"/>
        </w:rPr>
        <w:t xml:space="preserve"> Disminución del factor </w:t>
      </w:r>
      <w:r w:rsidRPr="008B414D" w:rsidR="008370A1">
        <w:rPr>
          <w:szCs w:val="22"/>
        </w:rPr>
        <w:t>“</w:t>
      </w:r>
      <w:r w:rsidRPr="008B414D">
        <w:rPr>
          <w:szCs w:val="22"/>
        </w:rPr>
        <w:t>M</w:t>
      </w:r>
      <w:r w:rsidRPr="008B414D" w:rsidR="008370A1">
        <w:rPr>
          <w:szCs w:val="22"/>
        </w:rPr>
        <w:t>”</w:t>
      </w:r>
      <w:r w:rsidRPr="008B414D">
        <w:rPr>
          <w:szCs w:val="22"/>
        </w:rPr>
        <w:t xml:space="preserve"> de la fórmula de la estimación contra cíclica. (Acuerdo SUGEF 19-16).</w:t>
      </w:r>
    </w:p>
    <w:p w:rsidRPr="008B414D" w:rsidR="008B414D" w:rsidP="00F578C0" w:rsidRDefault="008B414D" w14:paraId="767705FA" w14:textId="77777777">
      <w:pPr>
        <w:spacing w:line="240" w:lineRule="auto"/>
        <w:contextualSpacing/>
        <w:rPr>
          <w:b/>
          <w:szCs w:val="22"/>
        </w:rPr>
      </w:pPr>
    </w:p>
    <w:p w:rsidRPr="008B414D" w:rsidR="00F578C0" w:rsidP="00F578C0" w:rsidRDefault="00F578C0" w14:paraId="049F31FB" w14:textId="77777777">
      <w:pPr>
        <w:spacing w:line="240" w:lineRule="auto"/>
        <w:contextualSpacing/>
        <w:rPr>
          <w:b/>
          <w:szCs w:val="22"/>
        </w:rPr>
      </w:pPr>
      <w:r w:rsidRPr="008B414D">
        <w:rPr>
          <w:b/>
          <w:szCs w:val="22"/>
        </w:rPr>
        <w:t>El Superintendente General de Entidades Financieras,</w:t>
      </w:r>
    </w:p>
    <w:p w:rsidRPr="008B414D" w:rsidR="008B414D" w:rsidP="00F578C0" w:rsidRDefault="008B414D" w14:paraId="670821B2" w14:textId="77777777">
      <w:pPr>
        <w:spacing w:line="240" w:lineRule="auto"/>
        <w:contextualSpacing/>
        <w:rPr>
          <w:b/>
          <w:szCs w:val="22"/>
        </w:rPr>
      </w:pPr>
    </w:p>
    <w:p w:rsidRPr="008B414D" w:rsidR="00F578C0" w:rsidP="00F578C0" w:rsidRDefault="00F578C0" w14:paraId="298C242F" w14:textId="77777777">
      <w:pPr>
        <w:spacing w:line="240" w:lineRule="auto"/>
        <w:contextualSpacing/>
        <w:rPr>
          <w:b/>
          <w:szCs w:val="22"/>
        </w:rPr>
      </w:pPr>
      <w:r w:rsidRPr="008B414D">
        <w:rPr>
          <w:b/>
          <w:szCs w:val="22"/>
        </w:rPr>
        <w:t>Considerando que:</w:t>
      </w:r>
    </w:p>
    <w:p w:rsidRPr="008B414D" w:rsidR="00F578C0" w:rsidP="00F578C0" w:rsidRDefault="00F578C0" w14:paraId="0054E044" w14:textId="77777777">
      <w:pPr>
        <w:spacing w:line="240" w:lineRule="auto"/>
        <w:contextualSpacing/>
        <w:rPr>
          <w:szCs w:val="22"/>
        </w:rPr>
      </w:pPr>
    </w:p>
    <w:p w:rsidRPr="008B414D" w:rsidR="00F578C0" w:rsidP="00F578C0" w:rsidRDefault="00F578C0" w14:paraId="532C453A" w14:textId="77777777">
      <w:pPr>
        <w:pStyle w:val="Prrafodelista"/>
        <w:numPr>
          <w:ilvl w:val="0"/>
          <w:numId w:val="4"/>
        </w:numPr>
        <w:spacing w:after="0" w:line="240" w:lineRule="auto"/>
        <w:ind w:left="0" w:firstLine="0"/>
        <w:jc w:val="both"/>
        <w:rPr>
          <w:rFonts w:ascii="Cambria" w:hAnsi="Cambria" w:cs="Times New Roman"/>
        </w:rPr>
      </w:pPr>
      <w:r w:rsidRPr="008B414D">
        <w:rPr>
          <w:rFonts w:ascii="Cambria" w:hAnsi="Cambria" w:cs="Times New Roman"/>
        </w:rPr>
        <w:t xml:space="preserve">El </w:t>
      </w:r>
      <w:r w:rsidRPr="008B414D">
        <w:rPr>
          <w:rFonts w:ascii="Cambria" w:hAnsi="Cambria" w:cs="Times New Roman"/>
          <w:i/>
        </w:rPr>
        <w:t>Reglamento para la determinación y el registro de estimaciones contra cíclicas</w:t>
      </w:r>
      <w:r w:rsidRPr="008B414D">
        <w:rPr>
          <w:rFonts w:ascii="Cambria" w:hAnsi="Cambria" w:cs="Times New Roman"/>
        </w:rPr>
        <w:t>, Acuerdo SUGEF 19-16, fue aprobado por el Consejo Nacional de Supervisión del Sistema Financiero (CONASSIF) mediante artículo 6 del acta de la sesión 1258-2016, del 7 de junio del 2016 con el objeto de cuantificar y constituir las estimaciones contra cíclicas.</w:t>
      </w:r>
    </w:p>
    <w:p w:rsidRPr="008B414D" w:rsidR="00F578C0" w:rsidP="00F578C0" w:rsidRDefault="00F578C0" w14:paraId="6468A892" w14:textId="77777777">
      <w:pPr>
        <w:pStyle w:val="Prrafodelista"/>
        <w:spacing w:after="0" w:line="240" w:lineRule="auto"/>
        <w:ind w:left="0"/>
        <w:jc w:val="both"/>
        <w:rPr>
          <w:rFonts w:ascii="Cambria" w:hAnsi="Cambria" w:cs="Times New Roman"/>
        </w:rPr>
      </w:pPr>
    </w:p>
    <w:p w:rsidRPr="008B414D" w:rsidR="00F578C0" w:rsidP="00F578C0" w:rsidRDefault="00F578C0" w14:paraId="1E17E3D9" w14:textId="77777777">
      <w:pPr>
        <w:pStyle w:val="Prrafodelista"/>
        <w:numPr>
          <w:ilvl w:val="0"/>
          <w:numId w:val="4"/>
        </w:numPr>
        <w:spacing w:after="0" w:line="240" w:lineRule="auto"/>
        <w:ind w:left="0" w:firstLine="0"/>
        <w:jc w:val="both"/>
        <w:rPr>
          <w:rFonts w:ascii="Cambria" w:hAnsi="Cambria" w:cs="Times New Roman"/>
        </w:rPr>
      </w:pPr>
      <w:r w:rsidRPr="008B414D">
        <w:rPr>
          <w:rFonts w:ascii="Cambria" w:hAnsi="Cambria" w:cs="Times New Roman"/>
        </w:rPr>
        <w:t>El artículo 6 “Nivel porcentual mínimo requerido de estimación contracíclica” del Acuerdo SUGEF 19-16 dispone que el nivel porcentual mínimo requerido de estimación contracíclica “M” será definido y modificado por el Superintendente, con base en elementos de riesgos sistémicos o temas de interés macroprudenciales. La modificación del nivel porcentual se puede realizar, principalmente, en periodos de recesión, con el propósito de reducirlo o eliminarlo e incentivar la recuperación.</w:t>
      </w:r>
    </w:p>
    <w:p w:rsidRPr="008B414D" w:rsidR="00F578C0" w:rsidP="00F578C0" w:rsidRDefault="00F578C0" w14:paraId="158CCA82" w14:textId="77777777">
      <w:pPr>
        <w:pStyle w:val="Prrafodelista"/>
        <w:rPr>
          <w:rFonts w:ascii="Cambria" w:hAnsi="Cambria" w:cs="Times New Roman"/>
        </w:rPr>
      </w:pPr>
    </w:p>
    <w:p w:rsidRPr="008B414D" w:rsidR="00F578C0" w:rsidP="00F578C0" w:rsidRDefault="00F578C0" w14:paraId="5541AC6D" w14:textId="77777777">
      <w:pPr>
        <w:pStyle w:val="Prrafodelista"/>
        <w:numPr>
          <w:ilvl w:val="0"/>
          <w:numId w:val="4"/>
        </w:numPr>
        <w:spacing w:after="0" w:line="240" w:lineRule="auto"/>
        <w:ind w:left="0" w:firstLine="0"/>
        <w:jc w:val="both"/>
        <w:rPr>
          <w:rFonts w:ascii="Cambria" w:hAnsi="Cambria" w:cs="Times New Roman"/>
        </w:rPr>
      </w:pPr>
      <w:r w:rsidRPr="008B414D">
        <w:rPr>
          <w:rFonts w:ascii="Cambria" w:hAnsi="Cambria" w:cs="Times New Roman"/>
        </w:rPr>
        <w:t>Después de la entrada en vigencia del Acuerdo SUGEF 19-16 en junio 2016, el crecimiento del crédito del sector financiero experimentó incrementos interanuales de dos dígitos. Posterior a ello, los crecimientos interanuales han decrecido de manera contundente, lo que se confirma con la cifra de variación interanual de crédito total (ponderado por moneda) de 0,5% a diciembre 2019, la menor en los últimos nueve años.</w:t>
      </w:r>
    </w:p>
    <w:p w:rsidRPr="008B414D" w:rsidR="00F578C0" w:rsidP="00F578C0" w:rsidRDefault="00F578C0" w14:paraId="5380AB36" w14:textId="77777777">
      <w:pPr>
        <w:pStyle w:val="Prrafodelista"/>
        <w:rPr>
          <w:rFonts w:ascii="Cambria" w:hAnsi="Cambria" w:cs="Times New Roman"/>
        </w:rPr>
      </w:pPr>
    </w:p>
    <w:p w:rsidRPr="008B414D" w:rsidR="00F578C0" w:rsidP="00F578C0" w:rsidRDefault="00F578C0" w14:paraId="0A3519C0" w14:textId="77777777">
      <w:pPr>
        <w:pStyle w:val="Prrafodelista"/>
        <w:numPr>
          <w:ilvl w:val="0"/>
          <w:numId w:val="4"/>
        </w:numPr>
        <w:spacing w:after="0" w:line="240" w:lineRule="auto"/>
        <w:ind w:left="0" w:firstLine="0"/>
        <w:jc w:val="both"/>
        <w:rPr>
          <w:rFonts w:ascii="Cambria" w:hAnsi="Cambria" w:cs="Times New Roman"/>
        </w:rPr>
      </w:pPr>
      <w:r w:rsidRPr="008B414D">
        <w:rPr>
          <w:rFonts w:ascii="Cambria" w:hAnsi="Cambria" w:cs="Times New Roman"/>
        </w:rPr>
        <w:t>El Índice de Auges Crediticios del Banco Central de Costa Rica, que permite determinar si la razón Crédito al Sector Privado a Producto Interno Bruto se aleja de su tendencia de largo plazo y cuya lectura favorece la toma de decisiones relacionadas con estabilidad financiera, muestra que el indicador se mantiene por debajo de su propensión de largo plazo desde mediados de 2017, pese a fluctuaciones experimentadas durante el periodo 2018-2019.</w:t>
      </w:r>
    </w:p>
    <w:p w:rsidRPr="008B414D" w:rsidR="00F578C0" w:rsidP="00F578C0" w:rsidRDefault="00F578C0" w14:paraId="32299A24" w14:textId="77777777">
      <w:pPr>
        <w:pStyle w:val="Prrafodelista"/>
        <w:spacing w:after="0" w:line="240" w:lineRule="auto"/>
        <w:ind w:left="0"/>
        <w:jc w:val="both"/>
        <w:rPr>
          <w:rFonts w:ascii="Cambria" w:hAnsi="Cambria" w:cs="Times New Roman"/>
        </w:rPr>
      </w:pPr>
    </w:p>
    <w:p w:rsidRPr="008B414D" w:rsidR="00F578C0" w:rsidP="00F578C0" w:rsidRDefault="00F578C0" w14:paraId="010B242F" w14:textId="77777777">
      <w:pPr>
        <w:pStyle w:val="Prrafodelista"/>
        <w:numPr>
          <w:ilvl w:val="0"/>
          <w:numId w:val="4"/>
        </w:numPr>
        <w:spacing w:after="0" w:line="240" w:lineRule="auto"/>
        <w:ind w:left="0" w:firstLine="0"/>
        <w:jc w:val="both"/>
        <w:rPr>
          <w:rFonts w:ascii="Cambria" w:hAnsi="Cambria" w:cs="Times New Roman"/>
        </w:rPr>
      </w:pPr>
      <w:r w:rsidRPr="008B414D">
        <w:rPr>
          <w:rFonts w:ascii="Cambria" w:hAnsi="Cambria" w:cs="Times New Roman"/>
        </w:rPr>
        <w:lastRenderedPageBreak/>
        <w:t>Con el objetivo de velar por la estabilidad financiera y en el marco de prever elementos que podrían deteriorar de manera adicional la evolución de los agregados crediticios, como lo son el posible efecto económico adverso del COVID-19, las tensiones comerciales internacionales, las decaídas expectativas económico-financieras y el elevado desempleo que enfrenta la fuerza laboral del país, es prudente ejercerla facultad conferida al Superintendente General para modificar ciertos parámetros de la formula contracíclica.</w:t>
      </w:r>
    </w:p>
    <w:p w:rsidRPr="008B414D" w:rsidR="00F578C0" w:rsidP="00F578C0" w:rsidRDefault="00F578C0" w14:paraId="2377CF08" w14:textId="77777777">
      <w:pPr>
        <w:pStyle w:val="Prrafodelista"/>
        <w:spacing w:after="0" w:line="240" w:lineRule="auto"/>
        <w:ind w:left="0"/>
        <w:jc w:val="both"/>
        <w:rPr>
          <w:rFonts w:ascii="Cambria" w:hAnsi="Cambria" w:cs="Times New Roman"/>
        </w:rPr>
      </w:pPr>
    </w:p>
    <w:p w:rsidRPr="008B414D" w:rsidR="00F578C0" w:rsidP="00F578C0" w:rsidRDefault="00F578C0" w14:paraId="464E22F9" w14:textId="77777777">
      <w:pPr>
        <w:pStyle w:val="Prrafodelista"/>
        <w:numPr>
          <w:ilvl w:val="0"/>
          <w:numId w:val="4"/>
        </w:numPr>
        <w:spacing w:after="0" w:line="240" w:lineRule="auto"/>
        <w:ind w:left="0" w:firstLine="0"/>
        <w:jc w:val="both"/>
        <w:rPr>
          <w:rFonts w:ascii="Cambria" w:hAnsi="Cambria" w:cs="Times New Roman"/>
        </w:rPr>
      </w:pPr>
      <w:r w:rsidRPr="008B414D">
        <w:rPr>
          <w:rFonts w:ascii="Cambria" w:hAnsi="Cambria" w:cs="Times New Roman"/>
        </w:rPr>
        <w:t xml:space="preserve">Ante la coyuntura actual y en línea con lo que indica el artículo 6 del Acuerdo SUGEF 19-16, es necesario adecuar los parámetros del cálculo del requerimiento de estimaciones contracíclicas, incluido el porcentual mínimo requerido de estimación contracíclica “M”, establecido en el Transitorio I del Acuerdo SUGEF 19-16, con el objetivo de sumar oportunidad y efectividad a la dinámica del modelo de estimaciones contracíclicas. </w:t>
      </w:r>
    </w:p>
    <w:p w:rsidRPr="008B414D" w:rsidR="00F578C0" w:rsidP="00F578C0" w:rsidRDefault="00F578C0" w14:paraId="3EA09139" w14:textId="77777777">
      <w:pPr>
        <w:pStyle w:val="Prrafodelista"/>
        <w:spacing w:after="0" w:line="240" w:lineRule="auto"/>
        <w:ind w:left="0"/>
        <w:jc w:val="both"/>
        <w:rPr>
          <w:rFonts w:ascii="Cambria" w:hAnsi="Cambria" w:cs="Times New Roman"/>
        </w:rPr>
      </w:pPr>
    </w:p>
    <w:p w:rsidRPr="008B414D" w:rsidR="00F578C0" w:rsidP="00F578C0" w:rsidRDefault="00F578C0" w14:paraId="30F002F0" w14:textId="77777777">
      <w:pPr>
        <w:pStyle w:val="Prrafodelista"/>
        <w:numPr>
          <w:ilvl w:val="0"/>
          <w:numId w:val="4"/>
        </w:numPr>
        <w:spacing w:after="0" w:line="240" w:lineRule="auto"/>
        <w:ind w:left="0" w:firstLine="0"/>
        <w:jc w:val="both"/>
        <w:rPr>
          <w:rFonts w:ascii="Cambria" w:hAnsi="Cambria" w:cs="Times New Roman"/>
        </w:rPr>
      </w:pPr>
      <w:r w:rsidRPr="008B414D">
        <w:rPr>
          <w:rFonts w:ascii="Cambria" w:hAnsi="Cambria" w:cs="Times New Roman"/>
        </w:rPr>
        <w:t>En virtud de las consideraciones anteriores, se destacan razones de oportunidad frente a la coyuntura económica-financiera, así como de interés frente al espacio que se crea para mejorar las posibilidades de atención futura de los créditos, se prescinde del envío en consulta pública, de conformidad con lo dispuesto en el numeral 2, artículo 361, de la Ley General de Administración Pública, Ley N° 6227, por oponerse razones de interés público.</w:t>
      </w:r>
    </w:p>
    <w:p w:rsidRPr="008B414D" w:rsidR="00F578C0" w:rsidP="00F578C0" w:rsidRDefault="00F578C0" w14:paraId="02AD72C1" w14:textId="77777777">
      <w:pPr>
        <w:spacing w:line="240" w:lineRule="auto"/>
        <w:contextualSpacing/>
        <w:rPr>
          <w:szCs w:val="22"/>
        </w:rPr>
      </w:pPr>
    </w:p>
    <w:p w:rsidRPr="008B414D" w:rsidR="00F578C0" w:rsidP="00F578C0" w:rsidRDefault="00F578C0" w14:paraId="5318071E" w14:textId="77777777">
      <w:pPr>
        <w:spacing w:line="240" w:lineRule="auto"/>
        <w:contextualSpacing/>
        <w:rPr>
          <w:b/>
          <w:szCs w:val="22"/>
        </w:rPr>
      </w:pPr>
      <w:r w:rsidRPr="008B414D">
        <w:rPr>
          <w:b/>
          <w:szCs w:val="22"/>
        </w:rPr>
        <w:t>Dispone:</w:t>
      </w:r>
    </w:p>
    <w:p w:rsidRPr="008B414D" w:rsidR="00F578C0" w:rsidP="00F578C0" w:rsidRDefault="00F578C0" w14:paraId="5BD5DBCC" w14:textId="77777777">
      <w:pPr>
        <w:spacing w:line="240" w:lineRule="auto"/>
        <w:contextualSpacing/>
        <w:rPr>
          <w:szCs w:val="22"/>
        </w:rPr>
      </w:pPr>
    </w:p>
    <w:p w:rsidRPr="008B414D" w:rsidR="00F578C0" w:rsidP="00F578C0" w:rsidRDefault="00F578C0" w14:paraId="365E000B" w14:textId="77777777">
      <w:pPr>
        <w:spacing w:line="240" w:lineRule="auto"/>
        <w:contextualSpacing/>
        <w:rPr>
          <w:szCs w:val="22"/>
        </w:rPr>
      </w:pPr>
      <w:r w:rsidRPr="008B414D">
        <w:rPr>
          <w:szCs w:val="22"/>
        </w:rPr>
        <w:t>Establecer en 0,00% el valor del factor “M” al que se refiere el Artículo 6 del Acuerdo SUGEF 19-16.</w:t>
      </w:r>
    </w:p>
    <w:p w:rsidRPr="008B414D" w:rsidR="00F578C0" w:rsidP="00F578C0" w:rsidRDefault="00F578C0" w14:paraId="4F348528" w14:textId="77777777">
      <w:pPr>
        <w:spacing w:line="240" w:lineRule="auto"/>
        <w:contextualSpacing/>
        <w:rPr>
          <w:szCs w:val="22"/>
        </w:rPr>
      </w:pPr>
    </w:p>
    <w:p w:rsidRPr="008B414D" w:rsidR="00F578C0" w:rsidP="00F578C0" w:rsidRDefault="00F578C0" w14:paraId="2CE51D3C" w14:textId="555DBBCC">
      <w:pPr>
        <w:spacing w:line="240" w:lineRule="auto"/>
        <w:contextualSpacing/>
        <w:rPr>
          <w:szCs w:val="22"/>
        </w:rPr>
      </w:pPr>
      <w:r w:rsidRPr="008B414D">
        <w:rPr>
          <w:szCs w:val="22"/>
        </w:rPr>
        <w:t>E</w:t>
      </w:r>
      <w:r w:rsidRPr="008B414D" w:rsidR="008370A1">
        <w:rPr>
          <w:szCs w:val="22"/>
        </w:rPr>
        <w:t xml:space="preserve">ste </w:t>
      </w:r>
      <w:r w:rsidRPr="008B414D">
        <w:rPr>
          <w:szCs w:val="22"/>
        </w:rPr>
        <w:t>nivel porcentual mínimo requerido de estimación contracíclica (“M”) se aplicará a partir del cierre mensual de marzo 2020 y estará sujeto a revisión durante el año 2020.</w:t>
      </w:r>
    </w:p>
    <w:p w:rsidRPr="008B414D" w:rsidR="00F578C0" w:rsidP="00F578C0" w:rsidRDefault="00F578C0" w14:paraId="359F292D" w14:textId="77777777">
      <w:pPr>
        <w:spacing w:line="240" w:lineRule="auto"/>
        <w:contextualSpacing/>
        <w:rPr>
          <w:szCs w:val="22"/>
        </w:rPr>
      </w:pPr>
      <w:bookmarkStart w:name="_GoBack" w:id="0"/>
      <w:bookmarkEnd w:id="0"/>
    </w:p>
    <w:p w:rsidRPr="008B414D" w:rsidR="00F578C0" w:rsidP="00F578C0" w:rsidRDefault="00F578C0" w14:paraId="35FB81AF" w14:textId="77777777">
      <w:pPr>
        <w:spacing w:line="240" w:lineRule="auto"/>
        <w:contextualSpacing/>
        <w:rPr>
          <w:szCs w:val="22"/>
        </w:rPr>
      </w:pPr>
      <w:r w:rsidRPr="008B414D">
        <w:rPr>
          <w:szCs w:val="22"/>
        </w:rPr>
        <w:t>Rige a partir de su comunicación.</w:t>
      </w:r>
    </w:p>
    <w:p w:rsidRPr="008B414D" w:rsidR="00F578C0" w:rsidP="00F578C0" w:rsidRDefault="00F578C0" w14:paraId="0CAAE45A" w14:textId="77777777">
      <w:pPr>
        <w:spacing w:line="240" w:lineRule="auto"/>
        <w:contextualSpacing/>
        <w:rPr>
          <w:szCs w:val="22"/>
        </w:rPr>
      </w:pPr>
    </w:p>
    <w:p w:rsidRPr="008B414D" w:rsidR="00F578C0" w:rsidP="00F578C0" w:rsidRDefault="00F578C0" w14:paraId="13071901" w14:textId="77777777">
      <w:pPr>
        <w:spacing w:line="240" w:lineRule="auto"/>
        <w:contextualSpacing/>
        <w:rPr>
          <w:szCs w:val="22"/>
        </w:rPr>
      </w:pPr>
      <w:r w:rsidRPr="008B414D">
        <w:rPr>
          <w:szCs w:val="22"/>
        </w:rPr>
        <w:t>Publíquese en el Diario Oficial La Gaceta.</w:t>
      </w:r>
    </w:p>
    <w:p w:rsidRPr="008B414D" w:rsidR="00776B79" w:rsidP="00776B79" w:rsidRDefault="00776B79" w14:paraId="7A3E3D71" w14:textId="77777777">
      <w:pPr>
        <w:spacing w:line="240" w:lineRule="auto"/>
        <w:contextualSpacing/>
        <w:rPr>
          <w:szCs w:val="22"/>
        </w:rPr>
      </w:pPr>
    </w:p>
    <w:p w:rsidRPr="008B414D" w:rsidR="006972C9" w:rsidP="006972C9" w:rsidRDefault="006972C9" w14:paraId="58349D53" w14:textId="39530FA8">
      <w:pPr>
        <w:pStyle w:val="Texto"/>
        <w:spacing w:before="0" w:after="0" w:line="240" w:lineRule="auto"/>
        <w:rPr>
          <w:szCs w:val="22"/>
        </w:rPr>
      </w:pPr>
      <w:r w:rsidRPr="008B414D">
        <w:rPr>
          <w:szCs w:val="22"/>
        </w:rPr>
        <w:t>Atentamente,</w:t>
      </w:r>
    </w:p>
    <w:p w:rsidRPr="008B414D" w:rsidR="00022D7B" w:rsidP="006972C9" w:rsidRDefault="00022D7B" w14:paraId="73768278" w14:textId="428C753A">
      <w:pPr>
        <w:pStyle w:val="Texto"/>
        <w:spacing w:before="0" w:after="0" w:line="240" w:lineRule="auto"/>
        <w:rPr>
          <w:szCs w:val="22"/>
        </w:rPr>
      </w:pPr>
      <w:r w:rsidRPr="008B414D">
        <w:rPr>
          <w:noProof/>
          <w:szCs w:val="22"/>
          <w:lang w:val="es-CR" w:eastAsia="es-CR"/>
        </w:rPr>
        <w:drawing>
          <wp:anchor distT="0" distB="0" distL="114300" distR="114300" simplePos="0" relativeHeight="251659264" behindDoc="1" locked="0" layoutInCell="1" allowOverlap="1" wp14:editId="4EE75E7B" wp14:anchorId="7BA40C73">
            <wp:simplePos x="0" y="0"/>
            <wp:positionH relativeFrom="column">
              <wp:posOffset>-302260</wp:posOffset>
            </wp:positionH>
            <wp:positionV relativeFrom="paragraph">
              <wp:posOffset>134251</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8B414D" w:rsidR="00022D7B" w:rsidP="006972C9" w:rsidRDefault="00022D7B" w14:paraId="355F58A3" w14:textId="77777777">
      <w:pPr>
        <w:pStyle w:val="Texto"/>
        <w:spacing w:before="0" w:after="0" w:line="240" w:lineRule="auto"/>
        <w:rPr>
          <w:szCs w:val="22"/>
        </w:rPr>
      </w:pPr>
    </w:p>
    <w:p w:rsidRPr="008B414D" w:rsidR="006972C9" w:rsidP="006972C9" w:rsidRDefault="006972C9" w14:paraId="75846E7D" w14:textId="77777777">
      <w:pPr>
        <w:spacing w:line="240" w:lineRule="auto"/>
        <w:rPr>
          <w:szCs w:val="22"/>
        </w:rPr>
      </w:pPr>
    </w:p>
    <w:p w:rsidRPr="008B414D" w:rsidR="008B0595" w:rsidP="00022D7B" w:rsidRDefault="008B0595" w14:paraId="748F9C7B" w14:textId="77777777">
      <w:pPr>
        <w:pStyle w:val="Negrita"/>
        <w:spacing w:line="240" w:lineRule="auto"/>
        <w:contextualSpacing/>
        <w:jc w:val="left"/>
        <w:rPr>
          <w:noProof/>
          <w:szCs w:val="22"/>
          <w:lang w:val="es-CR" w:eastAsia="es-CR"/>
        </w:rPr>
      </w:pPr>
      <w:r w:rsidRPr="008B414D">
        <w:rPr>
          <w:b w:val="0"/>
          <w:szCs w:val="22"/>
        </w:rPr>
        <w:t>Bernardo Alfaro A.</w:t>
      </w:r>
      <w:r w:rsidRPr="008B414D">
        <w:rPr>
          <w:szCs w:val="22"/>
        </w:rPr>
        <w:br/>
        <w:t xml:space="preserve">Superintendente </w:t>
      </w:r>
      <w:r w:rsidRPr="008B414D">
        <w:rPr>
          <w:noProof/>
          <w:szCs w:val="22"/>
          <w:lang w:val="es-CR" w:eastAsia="es-CR"/>
        </w:rPr>
        <w:t xml:space="preserve"> </w:t>
      </w:r>
    </w:p>
    <w:p w:rsidRPr="008B414D" w:rsidR="008B0595" w:rsidP="008B0595" w:rsidRDefault="008B0595" w14:paraId="44730A40" w14:textId="77777777">
      <w:pPr>
        <w:pStyle w:val="Negrita"/>
        <w:jc w:val="left"/>
        <w:rPr>
          <w:noProof/>
          <w:szCs w:val="22"/>
          <w:lang w:val="es-CR" w:eastAsia="es-CR"/>
        </w:rPr>
      </w:pPr>
    </w:p>
    <w:p w:rsidRPr="008B414D" w:rsidR="006972C9" w:rsidP="00022D7B" w:rsidRDefault="00022D7B" w14:paraId="597F37AE" w14:textId="4A2D63B1">
      <w:pPr>
        <w:pStyle w:val="Negrita"/>
        <w:rPr>
          <w:szCs w:val="22"/>
        </w:rPr>
      </w:pPr>
      <w:r w:rsidRPr="008B414D">
        <w:rPr>
          <w:szCs w:val="22"/>
        </w:rPr>
        <w:t>JSC/gvl*</w:t>
      </w:r>
    </w:p>
    <w:p w:rsidRPr="006972C9" w:rsidR="00AF06C5" w:rsidP="006972C9" w:rsidRDefault="006972C9" w14:paraId="0087FA90" w14:textId="77777777">
      <w:pPr>
        <w:tabs>
          <w:tab w:val="left" w:pos="7187"/>
        </w:tabs>
      </w:pPr>
      <w:r>
        <w:tab/>
      </w:r>
    </w:p>
    <w:sectPr w:rsidRPr="006972C9" w:rsidR="00AF06C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9D64" w14:textId="77777777" w:rsidR="00776B79" w:rsidRDefault="00776B79" w:rsidP="009349F3">
      <w:pPr>
        <w:spacing w:line="240" w:lineRule="auto"/>
      </w:pPr>
      <w:r>
        <w:separator/>
      </w:r>
    </w:p>
  </w:endnote>
  <w:endnote w:type="continuationSeparator" w:id="0">
    <w:p w14:paraId="5A2A73ED" w14:textId="77777777" w:rsidR="00776B79" w:rsidRDefault="00776B7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339309E" w14:textId="77777777">
      <w:tc>
        <w:tcPr>
          <w:tcW w:w="2942" w:type="dxa"/>
        </w:tcPr>
        <w:p w:rsidR="00517D62" w:rsidRDefault="00517D62" w14:paraId="3D554087"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0A995962"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3806AC04" w14:textId="77777777">
          <w:pPr>
            <w:pStyle w:val="Piedepgina"/>
            <w:rPr>
              <w:b/>
              <w:color w:val="7F7F7F" w:themeColor="text1" w:themeTint="80"/>
              <w:sz w:val="16"/>
              <w:szCs w:val="16"/>
            </w:rPr>
          </w:pPr>
        </w:p>
      </w:tc>
      <w:tc>
        <w:tcPr>
          <w:tcW w:w="2943" w:type="dxa"/>
        </w:tcPr>
        <w:p w:rsidRPr="009349F3" w:rsidR="00517D62" w:rsidP="00855792" w:rsidRDefault="00517D62" w14:paraId="7301DDC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9A5402F"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39C035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B414D">
            <w:rPr>
              <w:b/>
              <w:noProof/>
              <w:color w:val="7F7F7F" w:themeColor="text1" w:themeTint="80"/>
              <w:sz w:val="16"/>
              <w:szCs w:val="16"/>
            </w:rPr>
            <w:t>2</w:t>
          </w:r>
          <w:r w:rsidRPr="006972C9">
            <w:rPr>
              <w:b/>
              <w:color w:val="7F7F7F" w:themeColor="text1" w:themeTint="80"/>
              <w:sz w:val="16"/>
              <w:szCs w:val="16"/>
            </w:rPr>
            <w:fldChar w:fldCharType="end"/>
          </w:r>
        </w:p>
      </w:tc>
    </w:tr>
  </w:tbl>
  <w:p w:rsidR="009349F3" w:rsidRDefault="009349F3" w14:paraId="540AFB95"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F4BB4" w14:textId="77777777" w:rsidR="00776B79" w:rsidRDefault="00776B79" w:rsidP="009349F3">
      <w:pPr>
        <w:spacing w:line="240" w:lineRule="auto"/>
      </w:pPr>
      <w:r>
        <w:separator/>
      </w:r>
    </w:p>
  </w:footnote>
  <w:footnote w:type="continuationSeparator" w:id="0">
    <w:p w14:paraId="2AAB0F1A" w14:textId="77777777" w:rsidR="00776B79" w:rsidRDefault="00776B79"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1D04AC3C" w14:textId="77777777">
    <w:pPr>
      <w:pStyle w:val="Encabezado"/>
    </w:pPr>
    <w:r>
      <w:ptab w:alignment="center" w:relativeTo="margin" w:leader="none"/>
    </w:r>
    <w:r>
      <w:rPr>
        <w:noProof/>
        <w:lang w:val="es-CR" w:eastAsia="es-CR"/>
      </w:rPr>
      <w:drawing>
        <wp:inline distT="0" distB="0" distL="0" distR="0" wp14:anchorId="6E1CE38D" wp14:editId="65527DE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72F188D"/>
    <w:multiLevelType w:val="hybridMultilevel"/>
    <w:tmpl w:val="1BE81514"/>
    <w:lvl w:ilvl="0" w:tplc="195AED48">
      <w:start w:val="1"/>
      <w:numFmt w:val="upperRoman"/>
      <w:lvlText w:val="%1."/>
      <w:lvlJc w:val="left"/>
      <w:pPr>
        <w:ind w:left="9149"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3C4415F"/>
    <w:multiLevelType w:val="hybridMultilevel"/>
    <w:tmpl w:val="3FE23C74"/>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79"/>
    <w:rsid w:val="00022D7B"/>
    <w:rsid w:val="001155A7"/>
    <w:rsid w:val="00226E69"/>
    <w:rsid w:val="0034377D"/>
    <w:rsid w:val="004313B1"/>
    <w:rsid w:val="00517D62"/>
    <w:rsid w:val="006972C9"/>
    <w:rsid w:val="007400DF"/>
    <w:rsid w:val="00776B79"/>
    <w:rsid w:val="007E1EC2"/>
    <w:rsid w:val="008200B7"/>
    <w:rsid w:val="008370A1"/>
    <w:rsid w:val="00851CE3"/>
    <w:rsid w:val="00855792"/>
    <w:rsid w:val="008748CC"/>
    <w:rsid w:val="008B0595"/>
    <w:rsid w:val="008B414D"/>
    <w:rsid w:val="008E1275"/>
    <w:rsid w:val="00900B79"/>
    <w:rsid w:val="009349F3"/>
    <w:rsid w:val="0095665A"/>
    <w:rsid w:val="00A85B57"/>
    <w:rsid w:val="00AD5B5C"/>
    <w:rsid w:val="00AF06C5"/>
    <w:rsid w:val="00B4403B"/>
    <w:rsid w:val="00B7752A"/>
    <w:rsid w:val="00DE2D06"/>
    <w:rsid w:val="00E924AD"/>
    <w:rsid w:val="00F578C0"/>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11708F"/>
  <w15:chartTrackingRefBased/>
  <w15:docId w15:val="{86B32F34-6621-44E2-B5B8-0829902B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
    <w:basedOn w:val="Normal"/>
    <w:link w:val="PrrafodelistaCar"/>
    <w:uiPriority w:val="34"/>
    <w:qFormat/>
    <w:rsid w:val="00776B79"/>
    <w:pPr>
      <w:spacing w:after="160" w:line="259" w:lineRule="auto"/>
      <w:ind w:left="720"/>
      <w:contextualSpacing/>
      <w:jc w:val="left"/>
    </w:pPr>
    <w:rPr>
      <w:rFonts w:asciiTheme="minorHAnsi" w:eastAsiaTheme="minorHAnsi" w:hAnsiTheme="minorHAnsi" w:cstheme="minorBidi"/>
      <w:szCs w:val="22"/>
      <w:lang w:val="es-CR"/>
    </w:rPr>
  </w:style>
  <w:style w:type="character" w:styleId="Refdecomentario">
    <w:name w:val="annotation reference"/>
    <w:basedOn w:val="Fuentedeprrafopredeter"/>
    <w:uiPriority w:val="99"/>
    <w:semiHidden/>
    <w:unhideWhenUsed/>
    <w:rsid w:val="00776B79"/>
    <w:rPr>
      <w:sz w:val="16"/>
      <w:szCs w:val="16"/>
    </w:rPr>
  </w:style>
  <w:style w:type="paragraph" w:styleId="Textocomentario">
    <w:name w:val="annotation text"/>
    <w:basedOn w:val="Normal"/>
    <w:link w:val="TextocomentarioCar"/>
    <w:uiPriority w:val="99"/>
    <w:semiHidden/>
    <w:unhideWhenUsed/>
    <w:rsid w:val="00776B79"/>
    <w:pPr>
      <w:spacing w:after="160" w:line="240" w:lineRule="auto"/>
      <w:jc w:val="left"/>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semiHidden/>
    <w:rsid w:val="00776B79"/>
    <w:rPr>
      <w:sz w:val="20"/>
      <w:szCs w:val="20"/>
    </w:rPr>
  </w:style>
  <w:style w:type="character" w:customStyle="1" w:styleId="PrrafodelistaCar">
    <w:name w:val="Párrafo de lista Car"/>
    <w:aliases w:val="Informe Car,Con viñetas Car,Normal con viñetas Car,3 Car,Use Case List Paragraph Car,Bullet 1 Car"/>
    <w:link w:val="Prrafodelista"/>
    <w:uiPriority w:val="34"/>
    <w:locked/>
    <w:rsid w:val="00A8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FA65D5AC83416A97DAF7192D032801"/>
        <w:category>
          <w:name w:val="General"/>
          <w:gallery w:val="placeholder"/>
        </w:category>
        <w:types>
          <w:type w:val="bbPlcHdr"/>
        </w:types>
        <w:behaviors>
          <w:behavior w:val="content"/>
        </w:behaviors>
        <w:guid w:val="{8136DFE0-6749-420D-971B-F987E2EA5617}"/>
      </w:docPartPr>
      <w:docPartBody>
        <w:p w:rsidR="00996D51" w:rsidRDefault="00996D51">
          <w:pPr>
            <w:pStyle w:val="72FA65D5AC83416A97DAF7192D032801"/>
          </w:pPr>
          <w:r w:rsidRPr="001E0779">
            <w:rPr>
              <w:rStyle w:val="Textodelmarcadordeposicin"/>
            </w:rPr>
            <w:t>Haga clic aquí para escribir texto.</w:t>
          </w:r>
        </w:p>
      </w:docPartBody>
    </w:docPart>
    <w:docPart>
      <w:docPartPr>
        <w:name w:val="0002686F391D4241B00B2547DDF21DB3"/>
        <w:category>
          <w:name w:val="General"/>
          <w:gallery w:val="placeholder"/>
        </w:category>
        <w:types>
          <w:type w:val="bbPlcHdr"/>
        </w:types>
        <w:behaviors>
          <w:behavior w:val="content"/>
        </w:behaviors>
        <w:guid w:val="{4D91FC0D-3262-4EE0-A303-ECE10DA5CBFF}"/>
      </w:docPartPr>
      <w:docPartBody>
        <w:p w:rsidR="00996D51" w:rsidRDefault="00996D51">
          <w:pPr>
            <w:pStyle w:val="0002686F391D4241B00B2547DDF21DB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51"/>
    <w:rsid w:val="00996D5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2FA65D5AC83416A97DAF7192D032801">
    <w:name w:val="72FA65D5AC83416A97DAF7192D032801"/>
  </w:style>
  <w:style w:type="paragraph" w:customStyle="1" w:styleId="0002686F391D4241B00B2547DDF21DB3">
    <w:name w:val="0002686F391D4241B00B2547DDF21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4Kp9PIaSFoR/UcUAbJhyNV46jjlgtYf3gYYB2w0/udA=</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skFzUPvPuygLquqykzxQ6Wh6k2YerUel0UI2Geas9eg=</DigestValue>
    </Reference>
  </SignedInfo>
  <SignatureValue>fHrfJ3OndpufLko1xh6y1TF8wZZJX7gfGu7dPJp9uxbfH+XgQ+VC9oFNFdrucUg+7YwlZSIo4vog
FEThEeDzw2183ZX7lPTfogypIYa+Vc1+FlrN9UaXZ7iH7vSaRWPzwHugX5d0nZQJ2WAiq5MqUckI
K5k2wlTXExOAmOzrKtCfuAQu60oH4udZrOSIGheFvMT/j3F3lJd7mA49xRAv3aqVcszxAWHmnfrg
+Ha+CkuhXvEwnnFuqIi+bxAfiYgiWhXU2CPg3muoE/GivFeluWJWBbhOigANzJDd9cwTZeUrcIYj
JKYDxNIK0nztXz0BWB3hGZAWr8YBTsTYjonDjA==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JUTecEzEMoVsjYc+Uya5HQamGuAnUz+hL1d8GLhxc5Q=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NPXzJCgBG8jvyywN6QiI+xekLSg3S/k/w9vJvKhz4n8=</DigestValue>
      </Reference>
      <Reference URI="/word/endnotes.xml?ContentType=application/vnd.openxmlformats-officedocument.wordprocessingml.endnotes+xml">
        <DigestMethod Algorithm="http://www.w3.org/2001/04/xmlenc#sha256"/>
        <DigestValue>kdQW3mDu4OjuQQB6n+mU8razzZgA5iD0xLI/PcBsLys=</DigestValue>
      </Reference>
      <Reference URI="/word/fontTable.xml?ContentType=application/vnd.openxmlformats-officedocument.wordprocessingml.fontTable+xml">
        <DigestMethod Algorithm="http://www.w3.org/2001/04/xmlenc#sha256"/>
        <DigestValue>MIAxMVVhO6/Q5dMbCbHZOSOgXLS/xvff4KfpUSn8yak=</DigestValue>
      </Reference>
      <Reference URI="/word/footer1.xml?ContentType=application/vnd.openxmlformats-officedocument.wordprocessingml.footer+xml">
        <DigestMethod Algorithm="http://www.w3.org/2001/04/xmlenc#sha256"/>
        <DigestValue>zMD5Ibjks5mnvTqe+1PsUPAxpqt2Q/5B4H/sP5iU5jg=</DigestValue>
      </Reference>
      <Reference URI="/word/footnotes.xml?ContentType=application/vnd.openxmlformats-officedocument.wordprocessingml.footnotes+xml">
        <DigestMethod Algorithm="http://www.w3.org/2001/04/xmlenc#sha256"/>
        <DigestValue>WlkqM72AisLJH5zyTgp0KxB5bTn3YAhoaQOeElOQH4k=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vuX+BHBOXIWHl4Gw+kdjNTEDQCYhu1VUCkj76GVCaMk=</DigestValue>
      </Reference>
      <Reference URI="/word/glossary/fontTable.xml?ContentType=application/vnd.openxmlformats-officedocument.wordprocessingml.fontTable+xml">
        <DigestMethod Algorithm="http://www.w3.org/2001/04/xmlenc#sha256"/>
        <DigestValue>MIAxMVVhO6/Q5dMbCbHZOSOgXLS/xvff4KfpUSn8yak=</DigestValue>
      </Reference>
      <Reference URI="/word/glossary/settings.xml?ContentType=application/vnd.openxmlformats-officedocument.wordprocessingml.settings+xml">
        <DigestMethod Algorithm="http://www.w3.org/2001/04/xmlenc#sha256"/>
        <DigestValue>ubxwQAiiWCPTUVngu7eX2KWsdT7j9Ha5JLeoM+ewnIA=</DigestValue>
      </Reference>
      <Reference URI="/word/glossary/styles.xml?ContentType=application/vnd.openxmlformats-officedocument.wordprocessingml.styles+xml">
        <DigestMethod Algorithm="http://www.w3.org/2001/04/xmlenc#sha256"/>
        <DigestValue>2Btp0A2QsiVbKxh8v/3FLC5iehVilrbgDNjYYcn/WAY=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ctsgWf3Ojk5dlUMOaDWYaqqr0KjBvOar9RaOuyd71Zo=</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8MJdAji9KwGcMq5WyqzFuR9OH05cLXPWr1uVlM1EbVM=</DigestValue>
      </Reference>
      <Reference URI="/word/settings.xml?ContentType=application/vnd.openxmlformats-officedocument.wordprocessingml.settings+xml">
        <DigestMethod Algorithm="http://www.w3.org/2001/04/xmlenc#sha256"/>
        <DigestValue>/HqCIrUI94Z/vywDwoqRedRZaky0XEscrXbgguPPwiM=</DigestValue>
      </Reference>
      <Reference URI="/word/styles.xml?ContentType=application/vnd.openxmlformats-officedocument.wordprocessingml.styles+xml">
        <DigestMethod Algorithm="http://www.w3.org/2001/04/xmlenc#sha256"/>
        <DigestValue>KWQq/ZAmIYiG4i4bZTvMVh6IqPZYiGV3RZlhQFNdNbw=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2020-03-20T16:55:13Z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2020-03-20T16:55:13Z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0o8qnSnM1b2kmTukGwGtuaxrRsk210tkbN31ZngJSjgCBAmT3W4YDzIwMjAwMzIwMTY1NT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MyMDE2NTUyMFowLwYJKoZIhvcNAQkEMSIEIH2ntJg1bhmn1ln1Ct1KzkBP0U+h8mOHrSyFWVpBu3FSMDcGCyqGSIb3DQEJEAIvMSgwJjAkMCIEIDcrk3iY5iZu+N7/iFpVKDYeTZ9u7elabVQcL5d9tumpMA0GCSqGSIb3DQEBAQUABIIBAB6R7jrxbkFHKy83aMIcSKkm7QvLySk3ifyo6kZPWo4vMns/scbgnElqbdmzcIP9pOMiIru8k7pSSXCgglxAR/oeQ98InpjdCCixXDA2NN9vHRfkOabphzu01K5Vhyq3m52+FLiS9BSFy5YMQ3yLYSX3lSCX+QnkFqsp+Svo9SqxvQfd5UtSPTeynLR3pOhcHkvXMIrJU8ET5AfiOjsJRT3xts7sLpm1rXT5Sjn7qXCMIfgmrLE5uzYnyIRPh14n041F4XWwH7SODGh48lfycvgapClg68JpmMRoNLsu29LvWEIMc58i/Xs3P0e/fsPpePXOcbWTZSOPWa/Ffb7wpy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jE4MTgxODA4WhcNMjAwNDE5MDYzODA4WqBfMF0wHwYDVR0jBBgwFoAUsLvgCC5LE2jw0IBEA2ekP/8lY/YwEAYJKwYBBAGCNxUBBAMCAQAwCgYDVR0UBAMCASIwHAYJKwYBBAGCNxUEBA8XDTIwMDQxODE4MjgwOFowDQYJKoZIhvcNAQENBQADggIBAJxHSJbo+8zqkGUTMnrxtVaAni0pDuYkgSONrT3WkT80HMMXzO6YexI5CzzvEr63VK4jMdlZx+NDl8yXDbwDxaWsLLY0Psbe3C0UnhNvQbNmV1kc2ruzUDUsj0I5gbY3O2Zl/9+K7BW1e3D0eXfjXkgQn4KKIw3Bn0tXNi2tAS4YV4snAWqiN7tFtpDGtrkfkHqzYI0JLYWHhea6XGBBVQgx1UhmAZHVClVTref2HM6Xewrt7+dIl+cguv00MK1m9zVxhzNKFnhvYmuvMvlY0s4BESGxQjQXZETf1QRri1bE6WWcHXuI/jhtJ5Hy8bZpnOh1w7/R/R98wq3BYboTOq9o9dZUAdcR1bLc3TNmXQgvMFk+NltwRYTD9XqJTrNO8UQHNyvIF1siN7qyXe0ikb61VPOAV45TAAli2J34tdpueZHPuttrMCyrO6YVCRUZ166hzvHzqHeC+LLB2IHq2Z8xmRVtmoPSLx8avov7YqH2XuIXWMLwlR8m/ynzmOK4BAeM7tjn3bokhGLQbpPMOFsrTXqsuophnN8kIsrYr02Rguwv8b7dtrnCrxBi2H7+xYHXKiuWohkhL6PcoTITundMmcS1+3LcAcROjvRJ7bUS5+gbdruNJe/SnOL9SW2DLx/VlSvOGe4VIWL3Bxh7i45bHTzS5vBEYVA/ifeIezqr</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R4jgaiGdFOoZ8hroIsAnOaVWpBo=</xd:ByKey>
                  </xd:ResponderID>
                  <xd:ProducedAt>2020-03-19T16:34:27Z</xd:ProducedAt>
                </xd:OCSPIdentifier>
                <xd:DigestAlgAndValue>
                  <DigestMethod Algorithm="http://www.w3.org/2001/04/xmlenc#sha256"/>
                  <DigestValue>2bYYIkIWRv+5r1SPtb9nOZy4NQpf879nQ1qqGoFX/rg=</DigestValue>
                </xd:DigestAlgAndValue>
              </xd:OCSPRef>
            </xd:OCSPRefs>
            <xd:CRLRefs>
              <xd:CRLRef>
                <xd:DigestAlgAndValue>
                  <DigestMethod Algorithm="http://www.w3.org/2001/04/xmlenc#sha256"/>
                  <DigestValue>3mGGidOh64g3f5umX45hZ5zXxtadroYrc+SUDYEDWjE=</DigestValue>
                </xd:DigestAlgAndValue>
                <xd:CRLIdentifier>
                  <xd:Issuer>CN=CA POLITICA PERSONA FISICA - COSTA RICA v2, OU=DCFD, O=MICITT, C=CR, SERIALNUMBER=CPJ-2-100-098311</xd:Issuer>
                  <xd:IssueTime>2020-02-18T18:07:31Z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OQoBAKCCBjIwggYuBgkrBgEFBQcwAQEEggYfMIIGGzCBxaIWBBRHiOBqIZ0U6hnyGugiwCc5pVakGhgPMjAyMDAzMTkxNjM0MjdaMIGZMIGWMEwwCQYFKw4DAhoFAAQUzgxHzN03kqP+e9oD7BphnZQwSGIEFLR0i6ue23bwf6Uo45StMcxy8LMpAhMUAAL6qVfO8mdny9UNAAAAAvqpgAAYDzIwMjAwMzE5MTYwMDM4WqARGA8yMDIwMDMyMTA0MjAzOFqhIDAeMBwGCSsGAQQBgjcVBAQPFw0yMDAzMjAxNjEwMzhaMA0GCSqGSIb3DQEBCwUAA4IBAQAvg4DuFf4gVq+Rc+DuMaayC3GTUPnz8G4ttSEIwkgdL3DmK284rrGryr6YOqK3kzQbuqzL7NZvnHi/4NovwJXrRCg3tUqh3gjpmpWZ04Q7zuzZv/uuF9e0WChd5AGmmZUxzBTJXoAfN01HFtI0HcUKQHHcR3rBzgdmeeNAD+jbCPP4SAK4aCvy4PdIlfDVsHG+b10gOti6NS9elJ3+Zpx6daXqhZmyqiR73/erktftP1wQlsX/beHZFI7+512fgmo/Mtq44KrI0/eE50XiuBsKFI2Q2agGC3wLGV+t1Jes+gSeq+thDSug3OP/uXL87YDfZThCpHSUEtnwLCsHq733oIIEOzCCBDcwggQzMIIDG6ADAgECAhMUAAfZT+8U7DYQQRNUAAEAB9lPMA0GCSqGSIb3DQEBCwUAMIGZMRkwFwYDVQQFExBDUEotNC0wMDAtMDA0MDE3MQswCQYDVQQGEwJDUjEkMCIGA1UEChMbQkFOQ08gQ0VOVFJBTCBERSBDT1NUQSBSSUNBMSIwIAYDVQQLExlESVZJU0lPTiBTSVNURU1BUyBERSBQQUdPMSUwIwYDVQQDExxDQSBTSU5QRSAtIFBFUlNPTkEgRklTSUNBIHYyMB4XDTIwMDMxNzIyMTQzNVoXDTIwMDMzMTIyMTQzNVowGjEYMBYGA1UEAxMPUE9SVkVOSVIuZmRpLmNyMIIBIjANBgkqhkiG9w0BAQEFAAOCAQ8AMIIBCgKCAQEAxr5OqhqBARVhtEPIB2zATwCiBcqdV+F77Qoip7v3dv6FtXzNwz+L5L5lwH8PD+LYLhqUZ/M3aXA8FO9x22o4otstHpwHAD96dCcHO4fa6pgJSMZbgTWplh9NtN8Z6UMwfi9L1Yd9DZDo1RelV/mdsZbXWWOEqNaXaC6uvy1or1Hjf7hjDqlMyqFFqHay3atHvDD30cAFmqEDWONvZFbhp3SQG+C9MjmE+itQC54NJwgNkKLEvrpod2UXFRLmvs3bDRDWCGth7MC+l9Lwc+X9DxWjVvgml/vKzNjJsKaoXeHzEm9CTOngc68KJfytDGf7CR+iILCpHFPEyu8FwFOUwQIDAQABo4HxMIHuMD0GCSsGAQQBgjcVBwQwMC4GJisGAQQBgjcVCIXE6luC0eM1lZEbgvmXGIaly2uBf4P2/HeBuPEzAgFkAgEHMBMGA1UdJQQMMAoGCCsGAQUFBwMJMA4GA1UdDwEB/wQEAwIHgDAbBgkrBgEEAYI3FQoEDjAMMAoGCCsGAQUFBwMJMA8GCSsGAQUFBzABBQQCBQAwHwYDVR0jBBgwFoAUtHSLq57bdvB/pSjjlK0xzHLwsykwHQYDVR0OBBYEFEeI4GohnRTqGfIa6CLAJzmlVqQaMBoGA1UdEQQTMBGCD1BPUlZFTklSLmZkaS5jcjANBgkqhkiG9w0BAQsFAAOCAQEAmuLfs7gw2i8YJvLUnQMhxDCv7Fu8rWurLzE1NC5W4TFusO3fiO4SNNscFosRW917QeHGEUT/NWcHc+5D55tvSH28+9jUGQ8bnCpEiTRsygXSpNyCNFTdt3Nbe6bWjhQun6fGH8W1XSLDgoRREBLXq3bZ10SMMnWRqrO5UA03lzPanZDDY/GBzho4iFYDgeMjFw/GPGZ/tv0eRLhtzJSuK1m9wABHLrGa+ZQpkyECuB1U8A1TE2as0KIKO6nD+zFGTSd7Bv2DmagUt/HAXQGEuI4KGzfu/ahnipAAmOvH9IgEPT/SJ27MGzlWj+gzrJGZb/JbqWWpLoYDYsAWYuRhX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yMTgxODA3MzFaFw0yMDA0MTkwNjI3MzFaoF8wXTAfBgNVHSMEGDAWgBRonWk2y4Rue+qTYRn/WDAd1f9cyzAQBgkrBgEEAYI3FQEEAwIBADAKBgNVHRQEAwIBIzAcBgkrBgEEAYI3FQQEDxcNMjAwNDE4MTgxNzMxWjANBgkqhkiG9w0BAQ0FAAOCAgEAfaeg2jUwc3E7TYwbpKb3GmQ7x1LsAq2NkTuRPSuqMMgPIVroQR4fRv1jGGkpgLoRxDEfbppWX3LOO4MIJELRigZhe+ge7582A/AOzZzeWouroc0AgMDVDhVFHn7WJH3EKV+NKFVePV/nKgKpdbaU4IYKBrwZlAKNLXeQIWIm0E5WgXDBgdrZZFeazrxbt8YmWJRgCXsnhNp5YuOCejpr2RxwI8tVeFDH33Si7nlTCuVet3u9O4v8LiX3Qd4xB1bAAercdasAni4jIwFUn+m53ZME6N7YfuZQXDXdWjLMJhyhEzrSkYoSEJUDiEp6IaAChO3CDfO6WhuEFPohBz7f27kU09VN2AgIgedlsxOzoXjLdVNF/u7dfRGs7vAomjfSZqE8waa0IrWxuE57Yvsdksy1qWP1bVuMFeGXMQTkgpIeabf1feMzS9PaThJN/2F242x+nSm06uJ8XgyXUbQwOPxBc5/tDrD/w84GA6723RDbZaPOcovJ+h0HsdlXknabvut7nhTtrDwIyMSPVMATaXtwxt14C4JejtZ34GrBsX88UVDw5Gq/eSFnVKwMgYHTTvE4BsKmXE66g6eIvuWApumoA9AuJYqRa3pQJbMvHPKdv0j59zUXYOJabV5H/KUnZmRptg9ccmLFmuTZNA8qP1nXw2tuoC6TNSWBm/+dTMs=</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Opx4wbrhxOEomPx1y3zErST9maH8I190gBZlJuKjWWgCBAmT3W8YDzIwMjAwMzIwMTY1NT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MyMDE2NTUyMFowLwYJKoZIhvcNAQkEMSIEIKqohHLbow1wZV7UTK8ILeM/8Npiofla7y6NK9t7tFv/MDcGCyqGSIb3DQEJEAIvMSgwJjAkMCIEIDcrk3iY5iZu+N7/iFpVKDYeTZ9u7elabVQcL5d9tumpMA0GCSqGSIb3DQEBAQUABIIBAGpur2qgkkPqatzN1+PF14Yz8r4+YKOwEVm4rc6rXi5ZFp9rXJOoNL9Tu0aBpBc40esVUMZ0x9UYdrSR5M9HEGxNCtA+C1X+2FrN/NENo9BdutCiEQgf5+Fno9sHSvaTZi5NqtjFNIWnS57O0bxHY+rNxMrjFv/YC916mQbG7VVaHIAZQ7pufCIMe37EVlC0Zs0fyhed0IfyUMy+sovguzW+2nuhgDzaA4IXJdbWdi94gigoMt11xdH4KevmPnuS/pzYDZY+FmyztcmDnnUNm60cnSNhLnC/hZ2sRMLW2jWLMmkt7NJuji5zmFTKljgBtBJ4yHqaoSalOENjUpRVWZ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3" ma:contentTypeDescription="Crear nuevo documento." ma:contentTypeScope="" ma:versionID="e3abd6958c9e7570aabcde824aee05a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109</Value>
      <Value>126</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Se envía a la Entrante de Administragivo para que realice la publicación el Diario Oficial La Gaceta.
Resolución Disminución del factor M de la fórmula de la estimación contra cíclica. (Acuerdo SUGEF 19-16).
Copiar a Saliente Normas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 xsi:nil="true"/>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Disminución del factor M de la fórmula de la estimación contra cíclica. (Acuerdo SUGEF 19-16).</Subject1>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75D5883B-8D93-41D0-9416-BB9193374484}"/>
</file>

<file path=customXml/itemProps2.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3.xml><?xml version="1.0" encoding="utf-8"?>
<ds:datastoreItem xmlns:ds="http://schemas.openxmlformats.org/officeDocument/2006/customXml" ds:itemID="{1A6FB7B0-B425-4B89-A5C1-7E9987DC47BE}">
  <ds:schemaRefs>
    <ds:schemaRef ds:uri="http://schemas.microsoft.com/office/2006/documentManagement/types"/>
    <ds:schemaRef ds:uri="http://schemas.openxmlformats.org/package/2006/metadata/core-properties"/>
    <ds:schemaRef ds:uri="b875e23b-67d9-4b2e-bdec-edacbf90b326"/>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90182690-28C0-4291-A052-A49400A165A2}"/>
</file>

<file path=customXml/itemProps5.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6.xml><?xml version="1.0" encoding="utf-8"?>
<ds:datastoreItem xmlns:ds="http://schemas.openxmlformats.org/officeDocument/2006/customXml" ds:itemID="{DCEDF3E9-3417-45ED-ABB1-BBCC459A5D5D}">
  <ds:schemaRefs>
    <ds:schemaRef ds:uri="http://schemas.openxmlformats.org/officeDocument/2006/bibliography"/>
  </ds:schemaRefs>
</ds:datastoreItem>
</file>

<file path=customXml/itemProps7.xml><?xml version="1.0" encoding="utf-8"?>
<ds:datastoreItem xmlns:ds="http://schemas.openxmlformats.org/officeDocument/2006/customXml" ds:itemID="{E9D294D7-8175-4186-A448-11AFFAA7F25F}"/>
</file>

<file path=docProps/app.xml><?xml version="1.0" encoding="utf-8"?>
<Properties xmlns="http://schemas.openxmlformats.org/officeDocument/2006/extended-properties" xmlns:vt="http://schemas.openxmlformats.org/officeDocument/2006/docPropsVTypes">
  <Template>plantillas-SGF-13-Normas</Template>
  <TotalTime>7</TotalTime>
  <Pages>2</Pages>
  <Words>631</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MARIA GABRIELA</cp:lastModifiedBy>
  <cp:revision>8</cp:revision>
  <dcterms:created xsi:type="dcterms:W3CDTF">2020-03-19T22:21:00Z</dcterms:created>
  <dcterms:modified xsi:type="dcterms:W3CDTF">2020-03-20T16:26:00Z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109;#Área Coordinación Administrativa|39ce7748-92aa-4572-8334-49785789cb1c</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47900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546dfbb4-8cc0-45d4-a64c-4db3fdd3f8fe,5;ab7952a0-1ae5-4b26-8d7a-be63a467751b,8;</vt:lpwstr>
  </property>
</Properties>
</file>