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3D6E" w:rsidP="009A2B26" w:rsidRDefault="003E3D6E" w14:paraId="4D7AF273" w14:textId="77777777">
      <w:pPr>
        <w:pStyle w:val="Texto"/>
        <w:spacing w:before="0" w:after="0" w:line="240" w:lineRule="auto"/>
        <w:jc w:val="center"/>
        <w:rPr>
          <w:sz w:val="24"/>
        </w:rPr>
      </w:pPr>
    </w:p>
    <w:p w:rsidRPr="002E2B0A" w:rsidR="006972C9" w:rsidP="009A2B26" w:rsidRDefault="00025BB5" w14:paraId="4D0880D6" w14:textId="53B7CE87">
      <w:pPr>
        <w:pStyle w:val="Texto"/>
        <w:spacing w:before="0" w:after="0" w:line="240" w:lineRule="auto"/>
        <w:jc w:val="center"/>
        <w:rPr>
          <w:sz w:val="24"/>
        </w:rPr>
      </w:pPr>
      <w:r>
        <w:rPr>
          <w:sz w:val="24"/>
        </w:rPr>
        <w:t xml:space="preserve">29 </w:t>
      </w:r>
      <w:r w:rsidRPr="002E2B0A" w:rsidR="006972C9">
        <w:rPr>
          <w:sz w:val="24"/>
        </w:rPr>
        <w:t xml:space="preserve">de </w:t>
      </w:r>
      <w:r w:rsidR="00EE1DF1">
        <w:rPr>
          <w:sz w:val="24"/>
        </w:rPr>
        <w:t>marzo</w:t>
      </w:r>
      <w:r w:rsidRPr="002E2B0A" w:rsidR="006972C9">
        <w:rPr>
          <w:sz w:val="24"/>
        </w:rPr>
        <w:t xml:space="preserve"> de </w:t>
      </w:r>
      <w:r w:rsidR="00EE1DF1">
        <w:rPr>
          <w:sz w:val="24"/>
        </w:rPr>
        <w:t>2022</w:t>
      </w:r>
    </w:p>
    <w:sdt>
      <w:sdtPr>
        <w:rPr>
          <w:sz w:val="24"/>
        </w:rPr>
        <w:alias w:val="Consecutivo"/>
        <w:tag w:val="Consecutivo"/>
        <w:id w:val="2052717023"/>
        <w:placeholder>
          <w:docPart w:val="DA9A078340824BFAA28E2CADD5893CA3"/>
        </w:placeholder>
        <w:text/>
      </w:sdtPr>
      <w:sdtEndPr/>
      <w:sdtContent>
        <w:p w:rsidR="006972C9" w:rsidP="009A2B26" w:rsidRDefault="006972C9" w14:paraId="5A4369DB" w14:textId="77777777">
          <w:pPr>
            <w:tabs>
              <w:tab w:val="left" w:pos="2843"/>
            </w:tabs>
            <w:spacing w:line="240" w:lineRule="auto"/>
            <w:jc w:val="center"/>
            <w:rPr>
              <w:sz w:val="24"/>
            </w:rPr>
          </w:pPr>
          <w:r>
            <w:t>SGF-0636-2022</w:t>
          </w:r>
        </w:p>
      </w:sdtContent>
    </w:sdt>
    <w:p w:rsidR="006972C9" w:rsidP="009A2B26" w:rsidRDefault="00B449A6" w14:paraId="6740E7C6" w14:textId="5A798108">
      <w:pPr>
        <w:tabs>
          <w:tab w:val="left" w:pos="2843"/>
        </w:tabs>
        <w:spacing w:line="240" w:lineRule="auto"/>
        <w:jc w:val="center"/>
        <w:rPr>
          <w:sz w:val="24"/>
        </w:rPr>
      </w:pPr>
      <w:sdt>
        <w:sdtPr>
          <w:rPr>
            <w:sz w:val="24"/>
          </w:rPr>
          <w:alias w:val="Confidencialidad"/>
          <w:tag w:val="Confidencialidad"/>
          <w:id w:val="1447896894"/>
          <w:placeholder>
            <w:docPart w:val="C0FE43C564EC4F55A9C1503EAEBA069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EE1DF1">
            <w:rPr>
              <w:sz w:val="24"/>
            </w:rPr>
            <w:t>SGF-PROPIETARIO</w:t>
          </w:r>
        </w:sdtContent>
      </w:sdt>
    </w:p>
    <w:p w:rsidR="00EE1DF1" w:rsidP="008C3719" w:rsidRDefault="006972C9" w14:paraId="317A11CE" w14:textId="297365C5">
      <w:pPr>
        <w:tabs>
          <w:tab w:val="left" w:pos="2843"/>
        </w:tabs>
        <w:spacing w:line="240" w:lineRule="auto"/>
        <w:rPr>
          <w:rFonts w:cs="Arial"/>
          <w:b/>
          <w:bCs/>
          <w:sz w:val="28"/>
          <w:szCs w:val="28"/>
          <w:lang w:val="es-CR"/>
        </w:rPr>
      </w:pPr>
      <w:r w:rsidRPr="002E2B0A">
        <w:rPr>
          <w:sz w:val="24"/>
        </w:rPr>
        <w:tab/>
      </w:r>
      <w:bookmarkStart w:name="_Hlk79561321" w:id="0"/>
    </w:p>
    <w:p w:rsidRPr="008C5810" w:rsidR="00EE1DF1" w:rsidP="00EE1DF1" w:rsidRDefault="00EE1DF1" w14:paraId="46900E47" w14:textId="36608FD1">
      <w:pPr>
        <w:tabs>
          <w:tab w:val="left" w:pos="2843"/>
        </w:tabs>
        <w:spacing w:line="240" w:lineRule="auto"/>
        <w:jc w:val="center"/>
        <w:rPr>
          <w:rFonts w:cs="Arial"/>
          <w:b/>
          <w:bCs/>
          <w:sz w:val="28"/>
          <w:szCs w:val="28"/>
          <w:lang w:val="es-CR"/>
        </w:rPr>
      </w:pPr>
      <w:bookmarkStart w:name="_Hlk98946605" w:id="1"/>
      <w:r w:rsidRPr="008C5810">
        <w:rPr>
          <w:rFonts w:cs="Arial"/>
          <w:b/>
          <w:bCs/>
          <w:sz w:val="28"/>
          <w:szCs w:val="28"/>
          <w:lang w:val="es-CR"/>
        </w:rPr>
        <w:t xml:space="preserve">Resolución de la Superintendente General de Entidades Financieras </w:t>
      </w:r>
    </w:p>
    <w:p w:rsidRPr="008C5810" w:rsidR="00EE1DF1" w:rsidP="00EE1DF1" w:rsidRDefault="00EE1DF1" w14:paraId="1F80A265" w14:textId="77777777">
      <w:pPr>
        <w:tabs>
          <w:tab w:val="left" w:pos="2843"/>
        </w:tabs>
        <w:spacing w:line="240" w:lineRule="auto"/>
        <w:jc w:val="center"/>
        <w:rPr>
          <w:rFonts w:cs="Arial"/>
          <w:b/>
          <w:bCs/>
          <w:sz w:val="28"/>
          <w:szCs w:val="28"/>
          <w:lang w:val="es-CR"/>
        </w:rPr>
      </w:pPr>
      <w:r w:rsidRPr="008C5810">
        <w:rPr>
          <w:rFonts w:cs="Arial"/>
          <w:b/>
          <w:bCs/>
          <w:sz w:val="28"/>
          <w:szCs w:val="28"/>
          <w:lang w:val="es-CR"/>
        </w:rPr>
        <w:t xml:space="preserve">sobre la puesta en operación del </w:t>
      </w:r>
    </w:p>
    <w:p w:rsidRPr="008C5810" w:rsidR="00EE1DF1" w:rsidP="00EE1DF1" w:rsidRDefault="00EE1DF1" w14:paraId="24E2C60C" w14:textId="77777777">
      <w:pPr>
        <w:tabs>
          <w:tab w:val="left" w:pos="2843"/>
        </w:tabs>
        <w:spacing w:line="240" w:lineRule="auto"/>
        <w:jc w:val="center"/>
        <w:rPr>
          <w:sz w:val="28"/>
          <w:szCs w:val="28"/>
        </w:rPr>
      </w:pPr>
      <w:r w:rsidRPr="008C5810">
        <w:rPr>
          <w:rFonts w:cs="Arial"/>
          <w:b/>
          <w:bCs/>
          <w:sz w:val="28"/>
          <w:szCs w:val="28"/>
          <w:lang w:val="es-CR"/>
        </w:rPr>
        <w:t>Centro de Información Conozca a su Cliente (CICAC)</w:t>
      </w:r>
    </w:p>
    <w:p w:rsidR="00EE1DF1" w:rsidP="00EE1DF1" w:rsidRDefault="00EE1DF1" w14:paraId="2AD48D88" w14:textId="77777777">
      <w:pPr>
        <w:tabs>
          <w:tab w:val="left" w:pos="2843"/>
        </w:tabs>
        <w:spacing w:line="240" w:lineRule="auto"/>
        <w:rPr>
          <w:sz w:val="24"/>
        </w:rPr>
      </w:pPr>
    </w:p>
    <w:p w:rsidRPr="00CA5005" w:rsidR="00EE1DF1" w:rsidP="00EE1DF1" w:rsidRDefault="00EE1DF1" w14:paraId="22B8BFA6" w14:textId="77777777">
      <w:pPr>
        <w:tabs>
          <w:tab w:val="left" w:pos="2843"/>
        </w:tabs>
        <w:spacing w:line="240" w:lineRule="auto"/>
        <w:contextualSpacing/>
        <w:rPr>
          <w:b/>
          <w:sz w:val="24"/>
          <w:lang w:val="es-CR"/>
        </w:rPr>
      </w:pPr>
      <w:r w:rsidRPr="00CA5005">
        <w:rPr>
          <w:b/>
          <w:sz w:val="24"/>
          <w:lang w:val="es-CR"/>
        </w:rPr>
        <w:t xml:space="preserve">Dirigida a: </w:t>
      </w:r>
    </w:p>
    <w:p w:rsidR="00EE1DF1" w:rsidP="00EE1DF1" w:rsidRDefault="00EE1DF1" w14:paraId="249D168D" w14:textId="77777777">
      <w:pPr>
        <w:widowControl w:val="0"/>
        <w:spacing w:line="240" w:lineRule="auto"/>
        <w:ind w:right="86"/>
        <w:contextualSpacing/>
        <w:rPr>
          <w:b/>
          <w:bCs/>
          <w:sz w:val="24"/>
          <w:lang w:val="es-CR" w:eastAsia="es-ES"/>
        </w:rPr>
      </w:pPr>
    </w:p>
    <w:p w:rsidRPr="00CA5005" w:rsidR="00EE1DF1" w:rsidP="00EE1DF1" w:rsidRDefault="00EE1DF1" w14:paraId="3976F17F" w14:textId="77777777">
      <w:pPr>
        <w:widowControl w:val="0"/>
        <w:numPr>
          <w:ilvl w:val="0"/>
          <w:numId w:val="6"/>
        </w:numPr>
        <w:spacing w:line="240" w:lineRule="auto"/>
        <w:ind w:right="86"/>
        <w:contextualSpacing/>
        <w:rPr>
          <w:b/>
          <w:bCs/>
          <w:sz w:val="24"/>
          <w:lang w:val="es-CR" w:eastAsia="es-ES"/>
        </w:rPr>
      </w:pPr>
      <w:r w:rsidRPr="00CA5005">
        <w:rPr>
          <w:b/>
          <w:bCs/>
          <w:sz w:val="24"/>
          <w:lang w:val="es-CR" w:eastAsia="es-ES"/>
        </w:rPr>
        <w:t>Bancos públicos, privados y mutuales</w:t>
      </w:r>
    </w:p>
    <w:p w:rsidRPr="00CA5005" w:rsidR="00EE1DF1" w:rsidP="00EE1DF1" w:rsidRDefault="00EE1DF1" w14:paraId="231B598C" w14:textId="77777777">
      <w:pPr>
        <w:widowControl w:val="0"/>
        <w:numPr>
          <w:ilvl w:val="0"/>
          <w:numId w:val="6"/>
        </w:numPr>
        <w:spacing w:line="240" w:lineRule="auto"/>
        <w:ind w:right="86"/>
        <w:contextualSpacing/>
        <w:rPr>
          <w:b/>
          <w:bCs/>
          <w:sz w:val="24"/>
          <w:lang w:val="es-CR" w:eastAsia="es-ES"/>
        </w:rPr>
      </w:pPr>
      <w:r w:rsidRPr="00CA5005">
        <w:rPr>
          <w:b/>
          <w:bCs/>
          <w:sz w:val="24"/>
          <w:lang w:val="es-CR" w:eastAsia="es-ES"/>
        </w:rPr>
        <w:t>Banco Popular, BANHVI y Caja de Ahorro y Préstamos de la ANDE</w:t>
      </w:r>
    </w:p>
    <w:p w:rsidRPr="00CA5005" w:rsidR="00EE1DF1" w:rsidP="00EE1DF1" w:rsidRDefault="00EE1DF1" w14:paraId="6B47237A" w14:textId="7B2405AD">
      <w:pPr>
        <w:widowControl w:val="0"/>
        <w:numPr>
          <w:ilvl w:val="0"/>
          <w:numId w:val="6"/>
        </w:numPr>
        <w:spacing w:line="240" w:lineRule="auto"/>
        <w:ind w:right="86"/>
        <w:contextualSpacing/>
        <w:rPr>
          <w:b/>
          <w:bCs/>
          <w:sz w:val="24"/>
          <w:lang w:val="es-CR" w:eastAsia="es-ES"/>
        </w:rPr>
      </w:pPr>
      <w:r w:rsidRPr="00CA5005">
        <w:rPr>
          <w:b/>
          <w:bCs/>
          <w:sz w:val="24"/>
          <w:lang w:val="es-CR" w:eastAsia="es-ES"/>
        </w:rPr>
        <w:t>Cooperativas y empresas financieras</w:t>
      </w:r>
      <w:r w:rsidR="009A2B26">
        <w:rPr>
          <w:b/>
          <w:bCs/>
          <w:sz w:val="24"/>
          <w:lang w:val="es-CR" w:eastAsia="es-ES"/>
        </w:rPr>
        <w:t xml:space="preserve"> supervisadas según el artículo 14 de la Ley 7786.</w:t>
      </w:r>
    </w:p>
    <w:p w:rsidRPr="00CA5005" w:rsidR="00EE1DF1" w:rsidP="00EE1DF1" w:rsidRDefault="00EE1DF1" w14:paraId="2328F46F" w14:textId="77777777">
      <w:pPr>
        <w:widowControl w:val="0"/>
        <w:numPr>
          <w:ilvl w:val="0"/>
          <w:numId w:val="6"/>
        </w:numPr>
        <w:spacing w:line="240" w:lineRule="auto"/>
        <w:ind w:right="86"/>
        <w:contextualSpacing/>
        <w:rPr>
          <w:b/>
          <w:bCs/>
          <w:sz w:val="24"/>
          <w:lang w:val="es-CR" w:eastAsia="es-ES"/>
        </w:rPr>
      </w:pPr>
      <w:r w:rsidRPr="00CA5005">
        <w:rPr>
          <w:b/>
          <w:bCs/>
          <w:sz w:val="24"/>
          <w:lang w:val="es-CR" w:eastAsia="es-ES"/>
        </w:rPr>
        <w:t xml:space="preserve">Grupos y conglomerados financieros </w:t>
      </w:r>
    </w:p>
    <w:p w:rsidRPr="00CA5005" w:rsidR="00EE1DF1" w:rsidP="00EE1DF1" w:rsidRDefault="00EE1DF1" w14:paraId="75361C90" w14:textId="77777777">
      <w:pPr>
        <w:widowControl w:val="0"/>
        <w:numPr>
          <w:ilvl w:val="0"/>
          <w:numId w:val="6"/>
        </w:numPr>
        <w:spacing w:line="240" w:lineRule="auto"/>
        <w:ind w:right="86"/>
        <w:contextualSpacing/>
        <w:rPr>
          <w:b/>
          <w:bCs/>
          <w:sz w:val="24"/>
          <w:lang w:val="es-CR" w:eastAsia="es-ES"/>
        </w:rPr>
      </w:pPr>
      <w:r w:rsidRPr="00CA5005">
        <w:rPr>
          <w:b/>
          <w:bCs/>
          <w:sz w:val="24"/>
          <w:lang w:val="es-CR" w:eastAsia="es-ES"/>
        </w:rPr>
        <w:t>Casas de cambio</w:t>
      </w:r>
    </w:p>
    <w:p w:rsidR="00EE1DF1" w:rsidP="00EE1DF1" w:rsidRDefault="00EE1DF1" w14:paraId="7734F53F" w14:textId="5E76067E">
      <w:pPr>
        <w:spacing w:line="240" w:lineRule="auto"/>
        <w:contextualSpacing/>
        <w:rPr>
          <w:rFonts w:cs="Arial"/>
          <w:b/>
          <w:bCs/>
          <w:sz w:val="24"/>
          <w:lang w:val="es-CR"/>
        </w:rPr>
      </w:pPr>
    </w:p>
    <w:p w:rsidR="003E3D6E" w:rsidP="00EE1DF1" w:rsidRDefault="003E3D6E" w14:paraId="70E402F9" w14:textId="77777777">
      <w:pPr>
        <w:spacing w:line="240" w:lineRule="auto"/>
        <w:contextualSpacing/>
        <w:rPr>
          <w:rFonts w:cs="Arial"/>
          <w:b/>
          <w:bCs/>
          <w:sz w:val="24"/>
          <w:lang w:val="es-CR"/>
        </w:rPr>
      </w:pPr>
    </w:p>
    <w:p w:rsidRPr="00CA5005" w:rsidR="00EE1DF1" w:rsidP="00EE1DF1" w:rsidRDefault="00EE1DF1" w14:paraId="45B1626E" w14:textId="77777777">
      <w:pPr>
        <w:spacing w:line="240" w:lineRule="auto"/>
        <w:contextualSpacing/>
        <w:rPr>
          <w:rFonts w:cs="Arial"/>
          <w:b/>
          <w:bCs/>
          <w:sz w:val="24"/>
          <w:lang w:val="es-CR"/>
        </w:rPr>
      </w:pPr>
      <w:r>
        <w:rPr>
          <w:rFonts w:cs="Arial"/>
          <w:b/>
          <w:bCs/>
          <w:sz w:val="24"/>
          <w:lang w:val="es-CR"/>
        </w:rPr>
        <w:t>La Superi</w:t>
      </w:r>
      <w:r w:rsidRPr="00CA5005">
        <w:rPr>
          <w:rFonts w:cs="Arial"/>
          <w:b/>
          <w:bCs/>
          <w:sz w:val="24"/>
          <w:lang w:val="es-CR"/>
        </w:rPr>
        <w:t>ntendente General de Entidades Financieras</w:t>
      </w:r>
      <w:r>
        <w:rPr>
          <w:rFonts w:cs="Arial"/>
          <w:b/>
          <w:bCs/>
          <w:sz w:val="24"/>
          <w:lang w:val="es-CR"/>
        </w:rPr>
        <w:t>,</w:t>
      </w:r>
    </w:p>
    <w:p w:rsidR="00EE1DF1" w:rsidP="00EE1DF1" w:rsidRDefault="00EE1DF1" w14:paraId="4119E935" w14:textId="77777777">
      <w:pPr>
        <w:spacing w:line="240" w:lineRule="auto"/>
        <w:contextualSpacing/>
        <w:rPr>
          <w:rFonts w:cs="Arial"/>
          <w:bCs/>
          <w:sz w:val="24"/>
          <w:lang w:val="es-CR"/>
        </w:rPr>
      </w:pPr>
    </w:p>
    <w:p w:rsidRPr="00CA5005" w:rsidR="00EE1DF1" w:rsidP="00EE1DF1" w:rsidRDefault="00EE1DF1" w14:paraId="1BFAC774" w14:textId="77777777">
      <w:pPr>
        <w:spacing w:line="240" w:lineRule="auto"/>
        <w:contextualSpacing/>
        <w:rPr>
          <w:rFonts w:cs="Arial"/>
          <w:b/>
          <w:sz w:val="24"/>
          <w:lang w:val="es-CR"/>
        </w:rPr>
      </w:pPr>
      <w:r w:rsidRPr="00CA5005">
        <w:rPr>
          <w:rFonts w:cs="Arial"/>
          <w:b/>
          <w:bCs/>
          <w:sz w:val="24"/>
          <w:lang w:val="es-CR"/>
        </w:rPr>
        <w:t>Considerando que</w:t>
      </w:r>
      <w:r w:rsidRPr="00CA5005">
        <w:rPr>
          <w:rFonts w:cs="Arial"/>
          <w:b/>
          <w:sz w:val="24"/>
          <w:lang w:val="es-CR"/>
        </w:rPr>
        <w:t>:</w:t>
      </w:r>
    </w:p>
    <w:p w:rsidRPr="00CA5005" w:rsidR="00EE1DF1" w:rsidP="00EE1DF1" w:rsidRDefault="00EE1DF1" w14:paraId="7EC280C2" w14:textId="77777777">
      <w:pPr>
        <w:spacing w:line="240" w:lineRule="auto"/>
        <w:contextualSpacing/>
        <w:rPr>
          <w:rFonts w:cs="Arial"/>
          <w:b/>
          <w:sz w:val="24"/>
          <w:lang w:val="es-CR"/>
        </w:rPr>
      </w:pPr>
    </w:p>
    <w:p w:rsidRPr="00CA5005" w:rsidR="00EE1DF1" w:rsidP="00EE1DF1" w:rsidRDefault="00EE1DF1" w14:paraId="06D28798" w14:textId="77777777">
      <w:pPr>
        <w:numPr>
          <w:ilvl w:val="0"/>
          <w:numId w:val="3"/>
        </w:numPr>
        <w:spacing w:line="240" w:lineRule="auto"/>
        <w:contextualSpacing/>
        <w:rPr>
          <w:sz w:val="24"/>
        </w:rPr>
      </w:pPr>
      <w:r w:rsidRPr="00CA5005">
        <w:rPr>
          <w:sz w:val="24"/>
        </w:rPr>
        <w:t>Mediante la Ley N</w:t>
      </w:r>
      <w:r>
        <w:rPr>
          <w:sz w:val="24"/>
        </w:rPr>
        <w:t>º</w:t>
      </w:r>
      <w:r w:rsidRPr="00CA5005">
        <w:rPr>
          <w:sz w:val="24"/>
        </w:rPr>
        <w:t xml:space="preserve">9449 del 10 de mayo del 2017, la Asamblea Legislativa decretó la </w:t>
      </w:r>
      <w:r w:rsidRPr="00CA5005">
        <w:rPr>
          <w:i/>
          <w:sz w:val="24"/>
        </w:rPr>
        <w:t>“Reforma de los artículos 15, 15 bis, 16, 81 y adición de los artículos 15 ter y 16 bis a la ley N</w:t>
      </w:r>
      <w:r>
        <w:rPr>
          <w:i/>
          <w:sz w:val="24"/>
        </w:rPr>
        <w:t>º</w:t>
      </w:r>
      <w:r w:rsidRPr="00CA5005">
        <w:rPr>
          <w:i/>
          <w:sz w:val="24"/>
        </w:rPr>
        <w:t>7786, ley sobre estupefacientes, sustancias psicotrópicas, drogas de uso no autorizado, actividades conexas, legitimación de capitales y financiamiento al terrorismo, de 30 de abril de 1998”</w:t>
      </w:r>
      <w:r w:rsidRPr="00CA5005">
        <w:rPr>
          <w:sz w:val="24"/>
        </w:rPr>
        <w:t xml:space="preserve">; </w:t>
      </w:r>
      <w:r w:rsidRPr="00CA5005">
        <w:rPr>
          <w:rFonts w:cstheme="majorHAnsi"/>
          <w:sz w:val="24"/>
          <w:lang w:val="es-CR" w:eastAsia="es-CR"/>
        </w:rPr>
        <w:t>una de las mejoras obtenidas con la aprobación de la Ley 9449, es la inclusión del artículo 16 bis, el cual le ordena a la Superintendencia General de Entidades Financieras (SUGEF) crear una base de datos con información de la política conozca a su cliente, que centralice la información del cliente, para evitar la duplicidad e inconsistencias en la información proporcionada por el mismo.</w:t>
      </w:r>
    </w:p>
    <w:p w:rsidRPr="00CA5005" w:rsidR="00EE1DF1" w:rsidP="00EE1DF1" w:rsidRDefault="00EE1DF1" w14:paraId="55A88219" w14:textId="77777777">
      <w:pPr>
        <w:spacing w:line="240" w:lineRule="auto"/>
        <w:contextualSpacing/>
        <w:rPr>
          <w:sz w:val="24"/>
          <w:highlight w:val="yellow"/>
        </w:rPr>
      </w:pPr>
    </w:p>
    <w:p w:rsidR="00EE1DF1" w:rsidP="00EE1DF1" w:rsidRDefault="00025BB5" w14:paraId="3C93D58B" w14:textId="765301E4">
      <w:pPr>
        <w:numPr>
          <w:ilvl w:val="0"/>
          <w:numId w:val="3"/>
        </w:numPr>
        <w:spacing w:line="240" w:lineRule="auto"/>
        <w:contextualSpacing/>
        <w:rPr>
          <w:sz w:val="24"/>
        </w:rPr>
      </w:pPr>
      <w:r>
        <w:rPr>
          <w:sz w:val="24"/>
        </w:rPr>
        <w:t>L</w:t>
      </w:r>
      <w:r w:rsidRPr="0061120E" w:rsidR="00EE1DF1">
        <w:rPr>
          <w:sz w:val="24"/>
        </w:rPr>
        <w:t xml:space="preserve">os resultados de la Evaluación Mutua de Costa Rica realizada en el 2015 por </w:t>
      </w:r>
      <w:r w:rsidR="00EE1DF1">
        <w:rPr>
          <w:sz w:val="24"/>
        </w:rPr>
        <w:t xml:space="preserve">parte del </w:t>
      </w:r>
      <w:r w:rsidRPr="0061120E" w:rsidR="00EE1DF1">
        <w:rPr>
          <w:sz w:val="24"/>
        </w:rPr>
        <w:t xml:space="preserve">GAFILAT, las consecuentes modificaciones en la Ley 7786 y la necesidad de fortalecer el enfoque basado en riesgos y el gobierno corporativo, fue necesario revisar integralmente la </w:t>
      </w:r>
      <w:r w:rsidRPr="0061120E" w:rsidR="00EE1DF1">
        <w:rPr>
          <w:rFonts w:cstheme="majorHAnsi"/>
          <w:sz w:val="24"/>
          <w:lang w:val="es-CR" w:eastAsia="es-CR"/>
        </w:rPr>
        <w:t>Normativa para el cumplimiento de la Ley N°8204</w:t>
      </w:r>
      <w:r w:rsidRPr="0061120E" w:rsidR="00EE1DF1">
        <w:rPr>
          <w:sz w:val="24"/>
        </w:rPr>
        <w:t xml:space="preserve">, determinando que se debía alinear el marco normativo a las nuevas disposiciones y recomendaciones, de manera que esto contribuya en mayor medida a la prevención de los riesgos de </w:t>
      </w:r>
      <w:r w:rsidRPr="0004338D" w:rsidR="00EE1DF1">
        <w:rPr>
          <w:sz w:val="24"/>
        </w:rPr>
        <w:t>Legitimación de Capitales, Financiamiento al Terrorismo y Financiamiento a la Proliferación de Armas de Destrucción Masiva (LC/FT/FPADM)</w:t>
      </w:r>
      <w:r w:rsidRPr="0061120E" w:rsidR="00EE1DF1">
        <w:rPr>
          <w:sz w:val="24"/>
        </w:rPr>
        <w:t xml:space="preserve"> </w:t>
      </w:r>
      <w:r w:rsidRPr="0061120E" w:rsidR="00EE1DF1">
        <w:rPr>
          <w:sz w:val="24"/>
        </w:rPr>
        <w:lastRenderedPageBreak/>
        <w:t>y con el mismo objetivo, emitir la reglamentación necesaria para la operación del Centro de Información Conozca a su Cliente</w:t>
      </w:r>
      <w:r w:rsidR="002A5877">
        <w:rPr>
          <w:sz w:val="24"/>
        </w:rPr>
        <w:t xml:space="preserve"> (en adelante </w:t>
      </w:r>
      <w:r w:rsidRPr="0061120E" w:rsidR="00EE1DF1">
        <w:rPr>
          <w:sz w:val="24"/>
        </w:rPr>
        <w:t>CICAC</w:t>
      </w:r>
      <w:r w:rsidR="002A5877">
        <w:rPr>
          <w:sz w:val="24"/>
        </w:rPr>
        <w:t xml:space="preserve">). </w:t>
      </w:r>
    </w:p>
    <w:p w:rsidRPr="0061120E" w:rsidR="003E3D6E" w:rsidP="003E3D6E" w:rsidRDefault="003E3D6E" w14:paraId="697C7658" w14:textId="77777777">
      <w:pPr>
        <w:spacing w:line="240" w:lineRule="auto"/>
        <w:contextualSpacing/>
        <w:rPr>
          <w:sz w:val="24"/>
        </w:rPr>
      </w:pPr>
    </w:p>
    <w:p w:rsidRPr="00CA5005" w:rsidR="00EE1DF1" w:rsidP="00EE1DF1" w:rsidRDefault="00EE1DF1" w14:paraId="1651DE59" w14:textId="3FA2095B">
      <w:pPr>
        <w:numPr>
          <w:ilvl w:val="0"/>
          <w:numId w:val="3"/>
        </w:numPr>
        <w:spacing w:line="240" w:lineRule="auto"/>
        <w:contextualSpacing/>
        <w:rPr>
          <w:i/>
          <w:sz w:val="24"/>
          <w:lang w:eastAsia="es-ES"/>
        </w:rPr>
      </w:pPr>
      <w:r w:rsidRPr="00CA5005">
        <w:rPr>
          <w:sz w:val="24"/>
        </w:rPr>
        <w:t>El Consejo Nacional de Supervisión del Sistema Financiero</w:t>
      </w:r>
      <w:r w:rsidR="00660882">
        <w:rPr>
          <w:sz w:val="24"/>
        </w:rPr>
        <w:t xml:space="preserve"> (CONASSIF)</w:t>
      </w:r>
      <w:r w:rsidRPr="00CA5005">
        <w:rPr>
          <w:sz w:val="24"/>
        </w:rPr>
        <w:t>, en los artículos 7 del acta de la sesión 1637-2021 y 6 del acta de la sesión 1638-2021, celebradas el 18 de enero de 2021</w:t>
      </w:r>
      <w:r>
        <w:rPr>
          <w:sz w:val="24"/>
        </w:rPr>
        <w:t>,</w:t>
      </w:r>
      <w:r w:rsidRPr="00CA5005">
        <w:rPr>
          <w:sz w:val="24"/>
        </w:rPr>
        <w:t xml:space="preserve"> resolvió aprobar en firme el </w:t>
      </w:r>
      <w:r w:rsidRPr="00CA5005">
        <w:rPr>
          <w:i/>
          <w:iCs/>
          <w:sz w:val="24"/>
        </w:rPr>
        <w:t>R</w:t>
      </w:r>
      <w:r w:rsidRPr="00CA5005">
        <w:rPr>
          <w:i/>
          <w:sz w:val="24"/>
          <w:lang w:eastAsia="es-ES"/>
        </w:rPr>
        <w:t>eglamento del Centro de Información Conozca a su Cliente</w:t>
      </w:r>
      <w:r w:rsidR="002A5877">
        <w:rPr>
          <w:i/>
          <w:sz w:val="24"/>
          <w:lang w:eastAsia="es-ES"/>
        </w:rPr>
        <w:t xml:space="preserve"> (en adelante Reglamento del CICAC)</w:t>
      </w:r>
      <w:r>
        <w:rPr>
          <w:i/>
          <w:sz w:val="24"/>
          <w:lang w:eastAsia="es-ES"/>
        </w:rPr>
        <w:t>.</w:t>
      </w:r>
    </w:p>
    <w:p w:rsidRPr="00CA5005" w:rsidR="00EE1DF1" w:rsidP="00EE1DF1" w:rsidRDefault="00EE1DF1" w14:paraId="5DCBB14E" w14:textId="77777777">
      <w:pPr>
        <w:spacing w:line="240" w:lineRule="auto"/>
        <w:contextualSpacing/>
        <w:rPr>
          <w:i/>
          <w:sz w:val="24"/>
          <w:lang w:eastAsia="es-ES"/>
        </w:rPr>
      </w:pPr>
    </w:p>
    <w:p w:rsidRPr="00CA5005" w:rsidR="00EE1DF1" w:rsidP="00EE1DF1" w:rsidRDefault="00EE1DF1" w14:paraId="6A5DE748" w14:textId="45ED2104">
      <w:pPr>
        <w:numPr>
          <w:ilvl w:val="0"/>
          <w:numId w:val="3"/>
        </w:numPr>
        <w:spacing w:line="240" w:lineRule="auto"/>
        <w:contextualSpacing/>
        <w:rPr>
          <w:sz w:val="24"/>
        </w:rPr>
      </w:pPr>
      <w:r w:rsidRPr="00CA5005">
        <w:rPr>
          <w:sz w:val="24"/>
        </w:rPr>
        <w:t xml:space="preserve">El Reglamento </w:t>
      </w:r>
      <w:r w:rsidR="00CC3244">
        <w:rPr>
          <w:sz w:val="24"/>
        </w:rPr>
        <w:t xml:space="preserve">del </w:t>
      </w:r>
      <w:r w:rsidRPr="00CA5005">
        <w:rPr>
          <w:sz w:val="24"/>
        </w:rPr>
        <w:t xml:space="preserve">CICAC, </w:t>
      </w:r>
      <w:r w:rsidR="002A5877">
        <w:rPr>
          <w:sz w:val="24"/>
        </w:rPr>
        <w:t xml:space="preserve">Acuerdo Sugef 35-21, </w:t>
      </w:r>
      <w:r w:rsidRPr="00CA5005">
        <w:rPr>
          <w:sz w:val="24"/>
        </w:rPr>
        <w:t>fue publicado en el alcance Nº17 a la Gaceta Nº19 del 28 de enero de 2021</w:t>
      </w:r>
      <w:r w:rsidR="005D605E">
        <w:rPr>
          <w:sz w:val="24"/>
        </w:rPr>
        <w:t xml:space="preserve"> y se encuentra vigente a partir del</w:t>
      </w:r>
      <w:r w:rsidRPr="008B7BE3" w:rsidR="005D605E">
        <w:rPr>
          <w:sz w:val="24"/>
        </w:rPr>
        <w:t xml:space="preserve"> 1º de enero de 2022.</w:t>
      </w:r>
    </w:p>
    <w:p w:rsidRPr="00CA5005" w:rsidR="00EE1DF1" w:rsidP="00EE1DF1" w:rsidRDefault="00EE1DF1" w14:paraId="2F7EAF37" w14:textId="77777777">
      <w:pPr>
        <w:spacing w:line="240" w:lineRule="auto"/>
        <w:contextualSpacing/>
        <w:rPr>
          <w:sz w:val="24"/>
        </w:rPr>
      </w:pPr>
    </w:p>
    <w:p w:rsidRPr="00355C3F" w:rsidR="00EE1DF1" w:rsidP="00EE1DF1" w:rsidRDefault="00EE1DF1" w14:paraId="2A14A6B3" w14:textId="1E5F1567">
      <w:pPr>
        <w:numPr>
          <w:ilvl w:val="0"/>
          <w:numId w:val="3"/>
        </w:numPr>
        <w:spacing w:line="240" w:lineRule="auto"/>
        <w:contextualSpacing/>
        <w:rPr>
          <w:sz w:val="24"/>
          <w:lang w:val="es-CR"/>
        </w:rPr>
      </w:pPr>
      <w:r>
        <w:rPr>
          <w:sz w:val="24"/>
          <w:lang w:val="es-CR"/>
        </w:rPr>
        <w:t xml:space="preserve">Los Lineamientos operativos para el funcionamiento, acceso y uso del Centro de Información Conozca a su Cliente, Acuerdo SUGEF </w:t>
      </w:r>
      <w:r w:rsidR="002A5877">
        <w:rPr>
          <w:sz w:val="24"/>
          <w:lang w:val="es-CR"/>
        </w:rPr>
        <w:t>35</w:t>
      </w:r>
      <w:r>
        <w:rPr>
          <w:sz w:val="24"/>
          <w:lang w:val="es-CR"/>
        </w:rPr>
        <w:t>-21, fueron publicados en el alcance Nº75 a la Gaceta Nº73 del 16 de abril de 2021.</w:t>
      </w:r>
    </w:p>
    <w:p w:rsidRPr="008B7BE3" w:rsidR="00EE1DF1" w:rsidP="00EE1DF1" w:rsidRDefault="00EE1DF1" w14:paraId="754BF312" w14:textId="77777777">
      <w:pPr>
        <w:pStyle w:val="Prrafodelista"/>
        <w:spacing w:line="240" w:lineRule="auto"/>
        <w:rPr>
          <w:sz w:val="24"/>
          <w:lang w:val="es-CR"/>
        </w:rPr>
      </w:pPr>
    </w:p>
    <w:p w:rsidRPr="009E758E" w:rsidR="00EE1DF1" w:rsidP="00EE1DF1" w:rsidRDefault="00EE1DF1" w14:paraId="52A5BCAA" w14:textId="43C60F03">
      <w:pPr>
        <w:numPr>
          <w:ilvl w:val="0"/>
          <w:numId w:val="3"/>
        </w:numPr>
        <w:spacing w:line="240" w:lineRule="auto"/>
        <w:contextualSpacing/>
        <w:rPr>
          <w:sz w:val="24"/>
        </w:rPr>
      </w:pPr>
      <w:r>
        <w:rPr>
          <w:sz w:val="24"/>
        </w:rPr>
        <w:t xml:space="preserve">En el transitorio primero del Reglamento del CICAC, </w:t>
      </w:r>
      <w:r w:rsidR="002A5877">
        <w:rPr>
          <w:sz w:val="24"/>
        </w:rPr>
        <w:t xml:space="preserve">Acuerdo Sugef 35-21, </w:t>
      </w:r>
      <w:r>
        <w:rPr>
          <w:sz w:val="24"/>
        </w:rPr>
        <w:t xml:space="preserve">se dispone que: </w:t>
      </w:r>
      <w:r w:rsidRPr="00113253">
        <w:rPr>
          <w:szCs w:val="22"/>
        </w:rPr>
        <w:t>“</w:t>
      </w:r>
      <w:r w:rsidRPr="00113253">
        <w:rPr>
          <w:rFonts w:cs="Cambria" w:eastAsiaTheme="minorHAnsi"/>
          <w:i/>
          <w:iCs/>
          <w:szCs w:val="22"/>
          <w:lang w:val="es-CR"/>
        </w:rPr>
        <w:t xml:space="preserve">La Sugef establecerá por medio de Resolución del Superintendente en el plazo de ocho meses a partir de la publicación de este reglamento en el Diario Oficial “La Gaceta”, la estrategia y la fecha de puesta en operación del CICAC” </w:t>
      </w:r>
    </w:p>
    <w:p w:rsidRPr="00CA5005" w:rsidR="00EE1DF1" w:rsidP="00EE1DF1" w:rsidRDefault="00EE1DF1" w14:paraId="3B43A538" w14:textId="77777777">
      <w:pPr>
        <w:spacing w:line="240" w:lineRule="auto"/>
        <w:contextualSpacing/>
        <w:rPr>
          <w:sz w:val="24"/>
        </w:rPr>
      </w:pPr>
    </w:p>
    <w:p w:rsidR="00EE1DF1" w:rsidP="00EE1DF1" w:rsidRDefault="00EE1DF1" w14:paraId="2D26188E" w14:textId="0E882C5E">
      <w:pPr>
        <w:numPr>
          <w:ilvl w:val="0"/>
          <w:numId w:val="3"/>
        </w:numPr>
        <w:spacing w:line="240" w:lineRule="auto"/>
        <w:contextualSpacing/>
        <w:outlineLvl w:val="0"/>
        <w:rPr>
          <w:sz w:val="24"/>
          <w:lang w:eastAsia="es-ES"/>
        </w:rPr>
      </w:pPr>
      <w:r>
        <w:rPr>
          <w:sz w:val="24"/>
          <w:lang w:eastAsia="es-ES"/>
        </w:rPr>
        <w:t>Mediante circulares externas</w:t>
      </w:r>
      <w:r w:rsidR="00653280">
        <w:rPr>
          <w:sz w:val="24"/>
          <w:lang w:eastAsia="es-ES"/>
        </w:rPr>
        <w:t>,</w:t>
      </w:r>
      <w:r>
        <w:rPr>
          <w:sz w:val="24"/>
          <w:lang w:eastAsia="es-ES"/>
        </w:rPr>
        <w:t xml:space="preserve"> SGF-1884-2021 comunicada el 9 de julio del 2021 </w:t>
      </w:r>
      <w:r w:rsidRPr="005C2E9E">
        <w:rPr>
          <w:sz w:val="24"/>
        </w:rPr>
        <w:t>de SUGEF</w:t>
      </w:r>
      <w:r>
        <w:rPr>
          <w:sz w:val="24"/>
        </w:rPr>
        <w:t>;</w:t>
      </w:r>
      <w:r w:rsidRPr="005C2E9E">
        <w:rPr>
          <w:sz w:val="24"/>
        </w:rPr>
        <w:t xml:space="preserve"> SGS-C-0030-2021 del 22 de julio del 2021 de SUGESE</w:t>
      </w:r>
      <w:r>
        <w:rPr>
          <w:sz w:val="24"/>
        </w:rPr>
        <w:t>;</w:t>
      </w:r>
      <w:r w:rsidRPr="005C2E9E">
        <w:rPr>
          <w:sz w:val="24"/>
        </w:rPr>
        <w:t xml:space="preserve"> oficio referencia H00/0-1252 del 22 de julio del 2021 de SUGEVAL</w:t>
      </w:r>
      <w:r>
        <w:rPr>
          <w:sz w:val="24"/>
        </w:rPr>
        <w:t>;</w:t>
      </w:r>
      <w:r w:rsidRPr="005C2E9E">
        <w:rPr>
          <w:sz w:val="24"/>
        </w:rPr>
        <w:t xml:space="preserve"> y oficio SP-769-2021 del 6 de agosto del 2021 de SUPEN</w:t>
      </w:r>
      <w:r>
        <w:rPr>
          <w:sz w:val="24"/>
        </w:rPr>
        <w:t>;</w:t>
      </w:r>
      <w:r>
        <w:rPr>
          <w:sz w:val="24"/>
          <w:lang w:eastAsia="es-ES"/>
        </w:rPr>
        <w:t xml:space="preserve"> se informa al Sistema Financiero Nacional que la puesta en marcha del CICAC se estima a partir del mes de julio del 2022. </w:t>
      </w:r>
    </w:p>
    <w:p w:rsidR="00EE1DF1" w:rsidP="00EE1DF1" w:rsidRDefault="00EE1DF1" w14:paraId="2988D6CE" w14:textId="77777777">
      <w:pPr>
        <w:pStyle w:val="Prrafodelista"/>
        <w:rPr>
          <w:sz w:val="24"/>
          <w:lang w:eastAsia="es-ES"/>
        </w:rPr>
      </w:pPr>
    </w:p>
    <w:p w:rsidR="00EE1DF1" w:rsidP="00EE1DF1" w:rsidRDefault="00EE1DF1" w14:paraId="01A560CD" w14:textId="4CDABDA8">
      <w:pPr>
        <w:numPr>
          <w:ilvl w:val="0"/>
          <w:numId w:val="3"/>
        </w:numPr>
        <w:spacing w:line="240" w:lineRule="auto"/>
        <w:contextualSpacing/>
        <w:outlineLvl w:val="0"/>
        <w:rPr>
          <w:sz w:val="24"/>
          <w:lang w:eastAsia="es-ES"/>
        </w:rPr>
      </w:pPr>
      <w:r>
        <w:rPr>
          <w:sz w:val="24"/>
          <w:lang w:eastAsia="es-ES"/>
        </w:rPr>
        <w:t>De acuerdo con el plan de capacitación</w:t>
      </w:r>
      <w:r w:rsidR="00FA69E2">
        <w:rPr>
          <w:sz w:val="24"/>
          <w:lang w:eastAsia="es-ES"/>
        </w:rPr>
        <w:t xml:space="preserve"> </w:t>
      </w:r>
      <w:r w:rsidR="002275A9">
        <w:rPr>
          <w:sz w:val="24"/>
          <w:lang w:eastAsia="es-ES"/>
        </w:rPr>
        <w:t>ejecutado</w:t>
      </w:r>
      <w:r>
        <w:rPr>
          <w:sz w:val="24"/>
          <w:lang w:eastAsia="es-ES"/>
        </w:rPr>
        <w:t xml:space="preserve"> </w:t>
      </w:r>
      <w:r w:rsidR="00FA69E2">
        <w:rPr>
          <w:sz w:val="24"/>
          <w:lang w:eastAsia="es-ES"/>
        </w:rPr>
        <w:t xml:space="preserve">por </w:t>
      </w:r>
      <w:r>
        <w:rPr>
          <w:sz w:val="24"/>
          <w:lang w:eastAsia="es-ES"/>
        </w:rPr>
        <w:t>la SUGEF sobre el uso del CICAC, al 31 de mayo del 2022 todos los sujetos obligados del Sistema Financiero contarán con personal certificado para el uso del CICAC</w:t>
      </w:r>
      <w:r w:rsidR="00D637F3">
        <w:rPr>
          <w:sz w:val="24"/>
          <w:lang w:eastAsia="es-ES"/>
        </w:rPr>
        <w:t>;</w:t>
      </w:r>
      <w:r>
        <w:rPr>
          <w:sz w:val="24"/>
          <w:lang w:eastAsia="es-ES"/>
        </w:rPr>
        <w:t xml:space="preserve"> que estos </w:t>
      </w:r>
      <w:r w:rsidR="00D637F3">
        <w:rPr>
          <w:sz w:val="24"/>
          <w:lang w:eastAsia="es-ES"/>
        </w:rPr>
        <w:t xml:space="preserve">usuarios certificados </w:t>
      </w:r>
      <w:r>
        <w:rPr>
          <w:sz w:val="24"/>
          <w:lang w:eastAsia="es-ES"/>
        </w:rPr>
        <w:t>deben replica</w:t>
      </w:r>
      <w:r w:rsidR="00FA69E2">
        <w:rPr>
          <w:sz w:val="24"/>
          <w:lang w:eastAsia="es-ES"/>
        </w:rPr>
        <w:t>r</w:t>
      </w:r>
      <w:r>
        <w:rPr>
          <w:sz w:val="24"/>
          <w:lang w:eastAsia="es-ES"/>
        </w:rPr>
        <w:t xml:space="preserve"> la capacitación al personal de la institución que tenga relación con los procesos de la política conozca a su cliente; solo podrán participar como usuarios autorizados en el CICAC las personas que hayan sido capacitadas para el uso del sistema</w:t>
      </w:r>
      <w:r w:rsidR="00D637F3">
        <w:rPr>
          <w:sz w:val="24"/>
          <w:lang w:eastAsia="es-ES"/>
        </w:rPr>
        <w:t xml:space="preserve">, lo cual </w:t>
      </w:r>
      <w:r w:rsidR="00FA69E2">
        <w:rPr>
          <w:sz w:val="24"/>
          <w:lang w:eastAsia="es-ES"/>
        </w:rPr>
        <w:t>es</w:t>
      </w:r>
      <w:r w:rsidR="00D637F3">
        <w:rPr>
          <w:sz w:val="24"/>
          <w:lang w:eastAsia="es-ES"/>
        </w:rPr>
        <w:t xml:space="preserve"> </w:t>
      </w:r>
      <w:r w:rsidR="00653280">
        <w:rPr>
          <w:sz w:val="24"/>
          <w:lang w:eastAsia="es-ES"/>
        </w:rPr>
        <w:t xml:space="preserve">plena </w:t>
      </w:r>
      <w:r w:rsidR="00D637F3">
        <w:rPr>
          <w:sz w:val="24"/>
          <w:lang w:eastAsia="es-ES"/>
        </w:rPr>
        <w:t>responsabilidad de cada entidad financiera.</w:t>
      </w:r>
    </w:p>
    <w:p w:rsidR="00EE1DF1" w:rsidP="00EE1DF1" w:rsidRDefault="00EE1DF1" w14:paraId="407F4248" w14:textId="77777777">
      <w:pPr>
        <w:pStyle w:val="Prrafodelista"/>
        <w:spacing w:line="240" w:lineRule="auto"/>
        <w:rPr>
          <w:sz w:val="24"/>
          <w:lang w:eastAsia="es-ES"/>
        </w:rPr>
      </w:pPr>
    </w:p>
    <w:p w:rsidR="00EE1DF1" w:rsidP="00EE1DF1" w:rsidRDefault="00EE1DF1" w14:paraId="6D1EABA2" w14:textId="741CDD12">
      <w:pPr>
        <w:widowControl w:val="0"/>
        <w:numPr>
          <w:ilvl w:val="0"/>
          <w:numId w:val="3"/>
        </w:numPr>
        <w:spacing w:line="240" w:lineRule="auto"/>
        <w:contextualSpacing/>
        <w:outlineLvl w:val="0"/>
        <w:rPr>
          <w:sz w:val="24"/>
        </w:rPr>
      </w:pPr>
      <w:r>
        <w:rPr>
          <w:sz w:val="24"/>
        </w:rPr>
        <w:t>Los sujetos obligados d</w:t>
      </w:r>
      <w:r w:rsidRPr="003400F3">
        <w:rPr>
          <w:sz w:val="24"/>
        </w:rPr>
        <w:t>ebe</w:t>
      </w:r>
      <w:r>
        <w:rPr>
          <w:sz w:val="24"/>
        </w:rPr>
        <w:t>n</w:t>
      </w:r>
      <w:r w:rsidRPr="003400F3">
        <w:rPr>
          <w:sz w:val="24"/>
        </w:rPr>
        <w:t xml:space="preserve"> cumplir con la utilización de todos los mecanismos de seguridad exigidos por el Banco Central de Costa Rica (BCCR) para la conexión entre sistemas, tales como el uso de la </w:t>
      </w:r>
      <w:r>
        <w:rPr>
          <w:sz w:val="24"/>
        </w:rPr>
        <w:t>F</w:t>
      </w:r>
      <w:r w:rsidRPr="003400F3">
        <w:rPr>
          <w:sz w:val="24"/>
        </w:rPr>
        <w:t xml:space="preserve">irma </w:t>
      </w:r>
      <w:r>
        <w:rPr>
          <w:sz w:val="24"/>
        </w:rPr>
        <w:t>D</w:t>
      </w:r>
      <w:r w:rsidRPr="003400F3">
        <w:rPr>
          <w:sz w:val="24"/>
        </w:rPr>
        <w:t xml:space="preserve">igital </w:t>
      </w:r>
      <w:r>
        <w:rPr>
          <w:sz w:val="24"/>
        </w:rPr>
        <w:t>C</w:t>
      </w:r>
      <w:r w:rsidRPr="003400F3">
        <w:rPr>
          <w:sz w:val="24"/>
        </w:rPr>
        <w:t>ertificada emitida por el BCCR</w:t>
      </w:r>
      <w:r>
        <w:rPr>
          <w:sz w:val="24"/>
        </w:rPr>
        <w:t>, así como con</w:t>
      </w:r>
      <w:r w:rsidRPr="003400F3">
        <w:rPr>
          <w:sz w:val="24"/>
        </w:rPr>
        <w:t xml:space="preserve"> el Autorizador</w:t>
      </w:r>
      <w:r>
        <w:rPr>
          <w:sz w:val="24"/>
        </w:rPr>
        <w:t>,</w:t>
      </w:r>
      <w:r w:rsidRPr="003400F3">
        <w:rPr>
          <w:sz w:val="24"/>
        </w:rPr>
        <w:t xml:space="preserve"> que consiste en un esquema o servicio que tiene </w:t>
      </w:r>
      <w:r w:rsidR="00BC242A">
        <w:rPr>
          <w:sz w:val="24"/>
        </w:rPr>
        <w:t>la SUGEF</w:t>
      </w:r>
      <w:r w:rsidRPr="003400F3">
        <w:rPr>
          <w:sz w:val="24"/>
        </w:rPr>
        <w:t xml:space="preserve"> para autorizar a las entidades a utilizar </w:t>
      </w:r>
      <w:r w:rsidR="00BC242A">
        <w:rPr>
          <w:sz w:val="24"/>
        </w:rPr>
        <w:t>el servicio</w:t>
      </w:r>
      <w:r w:rsidRPr="003400F3">
        <w:rPr>
          <w:sz w:val="24"/>
        </w:rPr>
        <w:t xml:space="preserve"> del CICAC</w:t>
      </w:r>
      <w:r>
        <w:rPr>
          <w:sz w:val="24"/>
        </w:rPr>
        <w:t>.</w:t>
      </w:r>
    </w:p>
    <w:p w:rsidR="00EE1DF1" w:rsidP="00EE1DF1" w:rsidRDefault="00EE1DF1" w14:paraId="4CAB453C" w14:textId="77777777">
      <w:pPr>
        <w:spacing w:line="240" w:lineRule="auto"/>
        <w:contextualSpacing/>
        <w:outlineLvl w:val="0"/>
        <w:rPr>
          <w:sz w:val="24"/>
          <w:lang w:eastAsia="es-ES"/>
        </w:rPr>
      </w:pPr>
    </w:p>
    <w:p w:rsidR="00EE1DF1" w:rsidP="00EE1DF1" w:rsidRDefault="00EE1DF1" w14:paraId="618BF17A" w14:textId="4898794F">
      <w:pPr>
        <w:pStyle w:val="Prrafodelista"/>
        <w:numPr>
          <w:ilvl w:val="0"/>
          <w:numId w:val="3"/>
        </w:numPr>
        <w:spacing w:line="240" w:lineRule="auto"/>
        <w:outlineLvl w:val="0"/>
        <w:rPr>
          <w:sz w:val="24"/>
          <w:lang w:eastAsia="es-ES"/>
        </w:rPr>
      </w:pPr>
      <w:r>
        <w:rPr>
          <w:sz w:val="24"/>
          <w:lang w:eastAsia="es-ES"/>
        </w:rPr>
        <w:t>El Reglamento del Centro de Información Conozca a su Cliente en su artículo 15 “Autorizaciones”, dispone que los sujetos obligados pueden tener acceso a</w:t>
      </w:r>
      <w:r w:rsidR="008643F9">
        <w:rPr>
          <w:sz w:val="24"/>
          <w:lang w:eastAsia="es-ES"/>
        </w:rPr>
        <w:t xml:space="preserve"> </w:t>
      </w:r>
      <w:r>
        <w:rPr>
          <w:sz w:val="24"/>
          <w:lang w:eastAsia="es-ES"/>
        </w:rPr>
        <w:t>l</w:t>
      </w:r>
      <w:r w:rsidR="008643F9">
        <w:rPr>
          <w:sz w:val="24"/>
          <w:lang w:eastAsia="es-ES"/>
        </w:rPr>
        <w:t>a información del</w:t>
      </w:r>
      <w:r>
        <w:rPr>
          <w:sz w:val="24"/>
          <w:lang w:eastAsia="es-ES"/>
        </w:rPr>
        <w:t xml:space="preserve"> CICAC, siempre y cuando exista una autorización previa por parte </w:t>
      </w:r>
      <w:r>
        <w:rPr>
          <w:sz w:val="24"/>
          <w:lang w:eastAsia="es-ES"/>
        </w:rPr>
        <w:lastRenderedPageBreak/>
        <w:t xml:space="preserve">del </w:t>
      </w:r>
      <w:r w:rsidR="008643F9">
        <w:rPr>
          <w:sz w:val="24"/>
          <w:lang w:eastAsia="es-ES"/>
        </w:rPr>
        <w:t xml:space="preserve">cliente que es el </w:t>
      </w:r>
      <w:r>
        <w:rPr>
          <w:sz w:val="24"/>
          <w:lang w:eastAsia="es-ES"/>
        </w:rPr>
        <w:t xml:space="preserve">titular de la información; la autorización de consulta es un requisito indispensable para que el sujeto obligado pueda acceder a la información del cliente. </w:t>
      </w:r>
    </w:p>
    <w:p w:rsidRPr="00AC501E" w:rsidR="00AC501E" w:rsidP="00AC501E" w:rsidRDefault="00AC501E" w14:paraId="1C729CA0" w14:textId="77777777">
      <w:pPr>
        <w:spacing w:line="240" w:lineRule="auto"/>
        <w:outlineLvl w:val="0"/>
        <w:rPr>
          <w:sz w:val="24"/>
          <w:lang w:eastAsia="es-ES"/>
        </w:rPr>
      </w:pPr>
    </w:p>
    <w:p w:rsidR="00EE1DF1" w:rsidP="00EE1DF1" w:rsidRDefault="00EE1DF1" w14:paraId="4C805AF4" w14:textId="44F9F562">
      <w:pPr>
        <w:numPr>
          <w:ilvl w:val="0"/>
          <w:numId w:val="3"/>
        </w:numPr>
        <w:spacing w:line="240" w:lineRule="auto"/>
        <w:contextualSpacing/>
        <w:outlineLvl w:val="0"/>
        <w:rPr>
          <w:sz w:val="24"/>
          <w:lang w:eastAsia="es-ES"/>
        </w:rPr>
      </w:pPr>
      <w:r>
        <w:rPr>
          <w:sz w:val="24"/>
          <w:lang w:eastAsia="es-ES"/>
        </w:rPr>
        <w:t xml:space="preserve">Para la puesta en operación del CICAC se requiere de la participación de </w:t>
      </w:r>
      <w:r w:rsidR="00AC7612">
        <w:rPr>
          <w:sz w:val="24"/>
          <w:lang w:eastAsia="es-ES"/>
        </w:rPr>
        <w:t xml:space="preserve">las </w:t>
      </w:r>
      <w:r>
        <w:rPr>
          <w:sz w:val="24"/>
          <w:lang w:eastAsia="es-ES"/>
        </w:rPr>
        <w:t>entidades financieras del Sistema Financiero Nacional de forma ordenada y controlada; esta se ejecutará por etapas, donde participarán los sujetos supervisados por cada Superintendencia del sistema financiero.</w:t>
      </w:r>
    </w:p>
    <w:p w:rsidR="00EE1DF1" w:rsidP="00EE1DF1" w:rsidRDefault="00EE1DF1" w14:paraId="732E16B5" w14:textId="77777777">
      <w:pPr>
        <w:pStyle w:val="Prrafodelista"/>
        <w:spacing w:line="240" w:lineRule="auto"/>
        <w:rPr>
          <w:sz w:val="24"/>
          <w:lang w:eastAsia="es-ES"/>
        </w:rPr>
      </w:pPr>
    </w:p>
    <w:p w:rsidR="00EE1DF1" w:rsidP="00EE1DF1" w:rsidRDefault="00EE1DF1" w14:paraId="4A2A1650" w14:textId="092EEE94">
      <w:pPr>
        <w:numPr>
          <w:ilvl w:val="0"/>
          <w:numId w:val="3"/>
        </w:numPr>
        <w:spacing w:line="240" w:lineRule="auto"/>
        <w:contextualSpacing/>
        <w:outlineLvl w:val="0"/>
        <w:rPr>
          <w:sz w:val="24"/>
          <w:lang w:eastAsia="es-ES"/>
        </w:rPr>
      </w:pPr>
      <w:r>
        <w:rPr>
          <w:sz w:val="24"/>
          <w:lang w:eastAsia="es-ES"/>
        </w:rPr>
        <w:t>El C</w:t>
      </w:r>
      <w:r w:rsidR="006D4935">
        <w:rPr>
          <w:sz w:val="24"/>
          <w:lang w:eastAsia="es-ES"/>
        </w:rPr>
        <w:t>ONASSIF</w:t>
      </w:r>
      <w:r>
        <w:rPr>
          <w:sz w:val="24"/>
          <w:lang w:eastAsia="es-ES"/>
        </w:rPr>
        <w:t xml:space="preserve">, mediante oficio CNS-1676/12 del 30 de julio del 2021, dispuso en firme </w:t>
      </w:r>
      <w:r w:rsidR="009C1C2B">
        <w:rPr>
          <w:sz w:val="24"/>
          <w:lang w:eastAsia="es-ES"/>
        </w:rPr>
        <w:t>eximir</w:t>
      </w:r>
      <w:r>
        <w:rPr>
          <w:sz w:val="24"/>
          <w:lang w:eastAsia="es-ES"/>
        </w:rPr>
        <w:t xml:space="preserve"> de supervisión de la SUGEF a las cooperativas de ahorro y crédito abiertas cuyos activos totales netos no superen el umbral de </w:t>
      </w:r>
      <w:r w:rsidRPr="000407E5">
        <w:rPr>
          <w:sz w:val="24"/>
          <w:lang w:eastAsia="es-ES"/>
        </w:rPr>
        <w:t>₡40.000 millones</w:t>
      </w:r>
      <w:r w:rsidRPr="000407E5" w:rsidR="00972EAD">
        <w:rPr>
          <w:sz w:val="24"/>
          <w:lang w:eastAsia="es-ES"/>
        </w:rPr>
        <w:t xml:space="preserve"> de colones</w:t>
      </w:r>
      <w:r w:rsidRPr="000407E5">
        <w:rPr>
          <w:sz w:val="24"/>
          <w:lang w:eastAsia="es-ES"/>
        </w:rPr>
        <w:t>, y</w:t>
      </w:r>
      <w:r>
        <w:rPr>
          <w:sz w:val="24"/>
          <w:lang w:eastAsia="es-ES"/>
        </w:rPr>
        <w:t xml:space="preserve"> que en ese mismo oficio se detallan las cooperativas de ahorro y crédito que con datos al 31 de diciembre del 2020, se ubican por debajo de este umbral.</w:t>
      </w:r>
    </w:p>
    <w:p w:rsidR="009C1C2B" w:rsidP="009C1C2B" w:rsidRDefault="009C1C2B" w14:paraId="10B402D6" w14:textId="77777777">
      <w:pPr>
        <w:pStyle w:val="Prrafodelista"/>
        <w:rPr>
          <w:sz w:val="24"/>
          <w:lang w:eastAsia="es-ES"/>
        </w:rPr>
      </w:pPr>
    </w:p>
    <w:p w:rsidR="009C1C2B" w:rsidP="009C1C2B" w:rsidRDefault="00762A11" w14:paraId="6883507F" w14:textId="42AC74D6">
      <w:pPr>
        <w:numPr>
          <w:ilvl w:val="0"/>
          <w:numId w:val="3"/>
        </w:numPr>
        <w:spacing w:line="240" w:lineRule="auto"/>
        <w:contextualSpacing/>
        <w:outlineLvl w:val="0"/>
        <w:rPr>
          <w:sz w:val="24"/>
          <w:lang w:eastAsia="es-ES"/>
        </w:rPr>
      </w:pPr>
      <w:r>
        <w:rPr>
          <w:sz w:val="24"/>
          <w:lang w:eastAsia="es-ES"/>
        </w:rPr>
        <w:t>E</w:t>
      </w:r>
      <w:r w:rsidRPr="0080704C" w:rsidR="009C1C2B">
        <w:rPr>
          <w:sz w:val="24"/>
          <w:lang w:eastAsia="es-ES"/>
        </w:rPr>
        <w:t>l riesgo de legitimación de capitales, financiamiento al terrorismo y financiamiento a la proliferación de armas de destrucción masiva (LC/FT/FPADM) asociado a la industria de pensiones es bajo; esto de acuerdo con el análisis realizado sobre esta industria por parte de la SUP</w:t>
      </w:r>
      <w:r w:rsidR="009C1C2B">
        <w:rPr>
          <w:sz w:val="24"/>
          <w:lang w:eastAsia="es-ES"/>
        </w:rPr>
        <w:t>EN,</w:t>
      </w:r>
      <w:r w:rsidRPr="0080704C" w:rsidR="009C1C2B">
        <w:rPr>
          <w:sz w:val="24"/>
          <w:lang w:eastAsia="es-ES"/>
        </w:rPr>
        <w:t xml:space="preserve"> donde se determina principalmente que los productos y servicios ofrecidos por los sujetos obligados se asocian a fondos obligatorios, cuya recaudación se encuentra centralizada y vinculada a planillas de seguridad social y a los fondos voluntarios, donde no existe una recaudación directa, sino que esta recaudación se realiza por medio de los bancos; y que no existen clientes jurídicos; </w:t>
      </w:r>
      <w:r w:rsidR="009C1C2B">
        <w:rPr>
          <w:sz w:val="24"/>
          <w:lang w:eastAsia="es-ES"/>
        </w:rPr>
        <w:t>se considera</w:t>
      </w:r>
      <w:r w:rsidRPr="0080704C" w:rsidR="009C1C2B">
        <w:rPr>
          <w:sz w:val="24"/>
          <w:lang w:eastAsia="es-ES"/>
        </w:rPr>
        <w:t xml:space="preserve"> </w:t>
      </w:r>
      <w:r w:rsidR="009C1C2B">
        <w:rPr>
          <w:sz w:val="24"/>
          <w:lang w:eastAsia="es-ES"/>
        </w:rPr>
        <w:t>conveniente</w:t>
      </w:r>
      <w:r w:rsidRPr="0080704C" w:rsidR="009C1C2B">
        <w:rPr>
          <w:sz w:val="24"/>
          <w:lang w:eastAsia="es-ES"/>
        </w:rPr>
        <w:t xml:space="preserve"> que los sujetos </w:t>
      </w:r>
      <w:r w:rsidR="009C1C2B">
        <w:rPr>
          <w:sz w:val="24"/>
          <w:lang w:eastAsia="es-ES"/>
        </w:rPr>
        <w:t>supervisados por la</w:t>
      </w:r>
      <w:r w:rsidRPr="0080704C" w:rsidR="009C1C2B">
        <w:rPr>
          <w:sz w:val="24"/>
          <w:lang w:eastAsia="es-ES"/>
        </w:rPr>
        <w:t xml:space="preserve"> SUPEN participen </w:t>
      </w:r>
      <w:r w:rsidR="009C1C2B">
        <w:rPr>
          <w:sz w:val="24"/>
          <w:lang w:eastAsia="es-ES"/>
        </w:rPr>
        <w:t>a partir de</w:t>
      </w:r>
      <w:r w:rsidRPr="0080704C" w:rsidR="009C1C2B">
        <w:rPr>
          <w:sz w:val="24"/>
          <w:lang w:eastAsia="es-ES"/>
        </w:rPr>
        <w:t xml:space="preserve"> </w:t>
      </w:r>
      <w:r w:rsidR="009C1C2B">
        <w:rPr>
          <w:sz w:val="24"/>
          <w:lang w:eastAsia="es-ES"/>
        </w:rPr>
        <w:t>la segunda etapa</w:t>
      </w:r>
      <w:r w:rsidRPr="0080704C" w:rsidR="009C1C2B">
        <w:rPr>
          <w:sz w:val="24"/>
          <w:lang w:eastAsia="es-ES"/>
        </w:rPr>
        <w:t xml:space="preserve"> de la puesta en </w:t>
      </w:r>
      <w:r w:rsidR="009C1C2B">
        <w:rPr>
          <w:sz w:val="24"/>
          <w:lang w:eastAsia="es-ES"/>
        </w:rPr>
        <w:t>operación</w:t>
      </w:r>
      <w:r w:rsidRPr="0080704C" w:rsidR="009C1C2B">
        <w:rPr>
          <w:sz w:val="24"/>
          <w:lang w:eastAsia="es-ES"/>
        </w:rPr>
        <w:t xml:space="preserve"> del CICAC.</w:t>
      </w:r>
    </w:p>
    <w:p w:rsidR="009C1C2B" w:rsidP="009C1C2B" w:rsidRDefault="009C1C2B" w14:paraId="675BCADA" w14:textId="77777777">
      <w:pPr>
        <w:pStyle w:val="Prrafodelista"/>
        <w:rPr>
          <w:sz w:val="24"/>
          <w:lang w:eastAsia="es-ES"/>
        </w:rPr>
      </w:pPr>
    </w:p>
    <w:p w:rsidR="009C1C2B" w:rsidP="009C1C2B" w:rsidRDefault="009C1C2B" w14:paraId="431A69DB" w14:textId="50F8BEC0">
      <w:pPr>
        <w:numPr>
          <w:ilvl w:val="0"/>
          <w:numId w:val="3"/>
        </w:numPr>
        <w:spacing w:line="240" w:lineRule="auto"/>
        <w:contextualSpacing/>
        <w:outlineLvl w:val="0"/>
        <w:rPr>
          <w:sz w:val="24"/>
          <w:lang w:eastAsia="es-ES"/>
        </w:rPr>
      </w:pPr>
      <w:r w:rsidRPr="0080704C">
        <w:rPr>
          <w:sz w:val="24"/>
          <w:lang w:eastAsia="es-ES"/>
        </w:rPr>
        <w:t xml:space="preserve">El riesgo de legitimación de capitales, financiamiento al terrorismo y financiamiento a la proliferación de armas de destrucción masiva (LC/FT/FPADM) asociado a la </w:t>
      </w:r>
      <w:r w:rsidRPr="00150546">
        <w:rPr>
          <w:sz w:val="24"/>
          <w:lang w:eastAsia="es-ES"/>
        </w:rPr>
        <w:t>industria de seguros, es mayoritariamente bajo, esto de conformidad con los</w:t>
      </w:r>
      <w:r w:rsidRPr="0080704C">
        <w:rPr>
          <w:sz w:val="24"/>
          <w:lang w:eastAsia="es-ES"/>
        </w:rPr>
        <w:t xml:space="preserve"> productos y servicios que las entidades de este sector ofrecen; </w:t>
      </w:r>
      <w:r>
        <w:rPr>
          <w:sz w:val="24"/>
          <w:lang w:eastAsia="es-ES"/>
        </w:rPr>
        <w:t>se considera</w:t>
      </w:r>
      <w:r w:rsidRPr="0080704C">
        <w:rPr>
          <w:sz w:val="24"/>
          <w:lang w:eastAsia="es-ES"/>
        </w:rPr>
        <w:t xml:space="preserve"> </w:t>
      </w:r>
      <w:r>
        <w:rPr>
          <w:sz w:val="24"/>
          <w:lang w:eastAsia="es-ES"/>
        </w:rPr>
        <w:t>conveniente</w:t>
      </w:r>
      <w:r w:rsidRPr="0080704C">
        <w:rPr>
          <w:sz w:val="24"/>
          <w:lang w:eastAsia="es-ES"/>
        </w:rPr>
        <w:t xml:space="preserve"> que los sujetos </w:t>
      </w:r>
      <w:r>
        <w:rPr>
          <w:sz w:val="24"/>
          <w:lang w:eastAsia="es-ES"/>
        </w:rPr>
        <w:t>supervisados por la</w:t>
      </w:r>
      <w:r w:rsidRPr="0080704C">
        <w:rPr>
          <w:sz w:val="24"/>
          <w:lang w:eastAsia="es-ES"/>
        </w:rPr>
        <w:t xml:space="preserve"> SU</w:t>
      </w:r>
      <w:r>
        <w:rPr>
          <w:sz w:val="24"/>
          <w:lang w:eastAsia="es-ES"/>
        </w:rPr>
        <w:t>GESE</w:t>
      </w:r>
      <w:r w:rsidRPr="0080704C">
        <w:rPr>
          <w:sz w:val="24"/>
          <w:lang w:eastAsia="es-ES"/>
        </w:rPr>
        <w:t xml:space="preserve"> participen </w:t>
      </w:r>
      <w:r>
        <w:rPr>
          <w:sz w:val="24"/>
          <w:lang w:eastAsia="es-ES"/>
        </w:rPr>
        <w:t>a partir de</w:t>
      </w:r>
      <w:r w:rsidRPr="0080704C">
        <w:rPr>
          <w:sz w:val="24"/>
          <w:lang w:eastAsia="es-ES"/>
        </w:rPr>
        <w:t xml:space="preserve"> </w:t>
      </w:r>
      <w:r>
        <w:rPr>
          <w:sz w:val="24"/>
          <w:lang w:eastAsia="es-ES"/>
        </w:rPr>
        <w:t>la segunda etapa</w:t>
      </w:r>
      <w:r w:rsidRPr="0080704C">
        <w:rPr>
          <w:sz w:val="24"/>
          <w:lang w:eastAsia="es-ES"/>
        </w:rPr>
        <w:t xml:space="preserve"> de la puesta en </w:t>
      </w:r>
      <w:r>
        <w:rPr>
          <w:sz w:val="24"/>
          <w:lang w:eastAsia="es-ES"/>
        </w:rPr>
        <w:t>operación</w:t>
      </w:r>
      <w:r w:rsidRPr="0080704C">
        <w:rPr>
          <w:sz w:val="24"/>
          <w:lang w:eastAsia="es-ES"/>
        </w:rPr>
        <w:t xml:space="preserve"> del CICAC.</w:t>
      </w:r>
    </w:p>
    <w:p w:rsidR="009C1C2B" w:rsidP="009C1C2B" w:rsidRDefault="009C1C2B" w14:paraId="20EDDDD7" w14:textId="77777777">
      <w:pPr>
        <w:pStyle w:val="Prrafodelista"/>
        <w:rPr>
          <w:sz w:val="24"/>
          <w:lang w:eastAsia="es-ES"/>
        </w:rPr>
      </w:pPr>
    </w:p>
    <w:p w:rsidR="009C1C2B" w:rsidP="009C1C2B" w:rsidRDefault="009C1C2B" w14:paraId="71BAA8E2" w14:textId="03E901D8">
      <w:pPr>
        <w:numPr>
          <w:ilvl w:val="0"/>
          <w:numId w:val="3"/>
        </w:numPr>
        <w:spacing w:line="240" w:lineRule="auto"/>
        <w:contextualSpacing/>
        <w:outlineLvl w:val="0"/>
        <w:rPr>
          <w:sz w:val="24"/>
          <w:lang w:eastAsia="es-ES"/>
        </w:rPr>
      </w:pPr>
      <w:r>
        <w:rPr>
          <w:sz w:val="24"/>
          <w:lang w:eastAsia="es-ES"/>
        </w:rPr>
        <w:t>El tipo de clientes, los productos, los canales, la cobertura geográfica y la transaccionalidad de los clientes de los sujetos supervisados por la Superintendencia General de Entidades Financieras (SUGEF) y por la Superintendencia General de Valores (SUGEVAL), representan mayor vulnerabilidad a los riesgos de LC/FT/FPADM.</w:t>
      </w:r>
    </w:p>
    <w:p w:rsidRPr="009C1C2B" w:rsidR="008C3719" w:rsidP="008C3719" w:rsidRDefault="008C3719" w14:paraId="1CF860C9" w14:textId="77777777">
      <w:pPr>
        <w:spacing w:line="240" w:lineRule="auto"/>
        <w:contextualSpacing/>
        <w:outlineLvl w:val="0"/>
        <w:rPr>
          <w:sz w:val="24"/>
          <w:lang w:eastAsia="es-ES"/>
        </w:rPr>
      </w:pPr>
    </w:p>
    <w:p w:rsidRPr="009C75B4" w:rsidR="00EE1DF1" w:rsidP="009C75B4" w:rsidRDefault="00EE1DF1" w14:paraId="6187439D" w14:textId="1BEF7C09">
      <w:pPr>
        <w:numPr>
          <w:ilvl w:val="0"/>
          <w:numId w:val="3"/>
        </w:numPr>
        <w:spacing w:line="240" w:lineRule="auto"/>
        <w:contextualSpacing/>
        <w:outlineLvl w:val="0"/>
        <w:rPr>
          <w:sz w:val="24"/>
          <w:lang w:eastAsia="es-ES"/>
        </w:rPr>
      </w:pPr>
      <w:r w:rsidRPr="0080704C">
        <w:rPr>
          <w:sz w:val="24"/>
          <w:lang w:eastAsia="es-ES"/>
        </w:rPr>
        <w:t>En el Reglamento de prevención de</w:t>
      </w:r>
      <w:r w:rsidR="001A18B4">
        <w:rPr>
          <w:sz w:val="24"/>
          <w:lang w:eastAsia="es-ES"/>
        </w:rPr>
        <w:t>l riesgo de</w:t>
      </w:r>
      <w:r w:rsidRPr="0080704C">
        <w:rPr>
          <w:sz w:val="24"/>
          <w:lang w:eastAsia="es-ES"/>
        </w:rPr>
        <w:t xml:space="preserve"> legitimación de capitales, financiamiento al terrorismo </w:t>
      </w:r>
      <w:r w:rsidR="001A18B4">
        <w:rPr>
          <w:sz w:val="24"/>
          <w:lang w:eastAsia="es-ES"/>
        </w:rPr>
        <w:t xml:space="preserve">y </w:t>
      </w:r>
      <w:r w:rsidRPr="0080704C">
        <w:rPr>
          <w:sz w:val="24"/>
          <w:lang w:eastAsia="es-ES"/>
        </w:rPr>
        <w:t>financiamiento a la proliferación de armas de destrucción masiva</w:t>
      </w:r>
      <w:r w:rsidR="00AC501E">
        <w:rPr>
          <w:sz w:val="24"/>
          <w:lang w:eastAsia="es-ES"/>
        </w:rPr>
        <w:t xml:space="preserve">, </w:t>
      </w:r>
      <w:r w:rsidRPr="001A18B4" w:rsidR="00AC501E">
        <w:rPr>
          <w:sz w:val="24"/>
          <w:lang w:eastAsia="es-ES"/>
        </w:rPr>
        <w:t>Acuerdo S</w:t>
      </w:r>
      <w:r w:rsidR="00AC501E">
        <w:rPr>
          <w:sz w:val="24"/>
          <w:lang w:eastAsia="es-ES"/>
        </w:rPr>
        <w:t>ugef</w:t>
      </w:r>
      <w:r w:rsidRPr="001A18B4" w:rsidR="00AC501E">
        <w:rPr>
          <w:sz w:val="24"/>
          <w:lang w:eastAsia="es-ES"/>
        </w:rPr>
        <w:t xml:space="preserve"> </w:t>
      </w:r>
      <w:r w:rsidR="00AC501E">
        <w:rPr>
          <w:sz w:val="24"/>
          <w:lang w:eastAsia="es-ES"/>
        </w:rPr>
        <w:t>12</w:t>
      </w:r>
      <w:r w:rsidRPr="001A18B4" w:rsidR="00AC501E">
        <w:rPr>
          <w:sz w:val="24"/>
          <w:lang w:eastAsia="es-ES"/>
        </w:rPr>
        <w:t>-21</w:t>
      </w:r>
      <w:r w:rsidRPr="0080704C">
        <w:rPr>
          <w:sz w:val="24"/>
          <w:lang w:eastAsia="es-ES"/>
        </w:rPr>
        <w:t xml:space="preserve">, en su artículo 36 “Actualización de la información de los clientes”; establece que los sujetos obligados son los responsables de mantener actualizada la información de diligencia debida del </w:t>
      </w:r>
      <w:r w:rsidRPr="0080704C">
        <w:rPr>
          <w:sz w:val="24"/>
          <w:lang w:eastAsia="es-ES"/>
        </w:rPr>
        <w:lastRenderedPageBreak/>
        <w:t>conocimiento de sus clientes, de conformidad con sus políticas internas aprobadas por el órgano de dirección, las cuales deben definir, entre otras cosas, la periodicidad para la actualización de la información del cliente según el riesgo que se le asignó, para lo cual se establece un plazo máximo de 60 meses. En todo caso, se debe considerar la información disponible en el CICAC como insumo para la actualización de la información de sus clientes, caso contrario, para los clientes que no hayan brindado su autorización para ser consul</w:t>
      </w:r>
      <w:r>
        <w:rPr>
          <w:sz w:val="24"/>
          <w:lang w:eastAsia="es-ES"/>
        </w:rPr>
        <w:t>t</w:t>
      </w:r>
      <w:r w:rsidRPr="0080704C">
        <w:rPr>
          <w:sz w:val="24"/>
          <w:lang w:eastAsia="es-ES"/>
        </w:rPr>
        <w:t xml:space="preserve">ados en el CICAC, el sujeto obligado debe contar con políticas y procedimientos que le permitan asegurar la actualización en el conocimiento de estos clientes y demostración del origen de los fondos; es necesario realizar la completitud de la base de datos </w:t>
      </w:r>
      <w:r>
        <w:rPr>
          <w:sz w:val="24"/>
          <w:lang w:eastAsia="es-ES"/>
        </w:rPr>
        <w:t>d</w:t>
      </w:r>
      <w:r w:rsidRPr="0080704C">
        <w:rPr>
          <w:sz w:val="24"/>
          <w:lang w:eastAsia="es-ES"/>
        </w:rPr>
        <w:t xml:space="preserve">el CICAC, considerando los procesos naturales de actualización </w:t>
      </w:r>
      <w:r>
        <w:rPr>
          <w:sz w:val="24"/>
          <w:lang w:eastAsia="es-ES"/>
        </w:rPr>
        <w:t xml:space="preserve">de la política conozca a su cliente </w:t>
      </w:r>
      <w:r w:rsidRPr="0080704C">
        <w:rPr>
          <w:sz w:val="24"/>
          <w:lang w:eastAsia="es-ES"/>
        </w:rPr>
        <w:t xml:space="preserve">que realizan los sujetos obligados del Sistema Financiero Nacional. </w:t>
      </w:r>
    </w:p>
    <w:p w:rsidR="001A18B4" w:rsidP="00EE1DF1" w:rsidRDefault="001A18B4" w14:paraId="068CC29D" w14:textId="77777777">
      <w:pPr>
        <w:spacing w:line="240" w:lineRule="auto"/>
        <w:ind w:left="360"/>
        <w:contextualSpacing/>
        <w:outlineLvl w:val="0"/>
        <w:rPr>
          <w:sz w:val="24"/>
          <w:lang w:eastAsia="es-ES"/>
        </w:rPr>
      </w:pPr>
    </w:p>
    <w:p w:rsidRPr="001A18B4" w:rsidR="00EE1DF1" w:rsidP="00EE1DF1" w:rsidRDefault="00EE1DF1" w14:paraId="109FAD80" w14:textId="1B19BCF2">
      <w:pPr>
        <w:numPr>
          <w:ilvl w:val="0"/>
          <w:numId w:val="3"/>
        </w:numPr>
        <w:spacing w:line="240" w:lineRule="auto"/>
        <w:contextualSpacing/>
        <w:outlineLvl w:val="0"/>
        <w:rPr>
          <w:sz w:val="24"/>
          <w:lang w:eastAsia="es-ES"/>
        </w:rPr>
      </w:pPr>
      <w:r w:rsidRPr="001A18B4">
        <w:rPr>
          <w:sz w:val="24"/>
          <w:lang w:eastAsia="es-ES"/>
        </w:rPr>
        <w:t xml:space="preserve">El </w:t>
      </w:r>
      <w:r w:rsidRPr="001A18B4" w:rsidR="007A7F91">
        <w:rPr>
          <w:sz w:val="24"/>
          <w:lang w:eastAsia="es-ES"/>
        </w:rPr>
        <w:t>Reglamento del CICAC, Acuerdo S</w:t>
      </w:r>
      <w:r w:rsidR="00303EEB">
        <w:rPr>
          <w:sz w:val="24"/>
          <w:lang w:eastAsia="es-ES"/>
        </w:rPr>
        <w:t>ugef</w:t>
      </w:r>
      <w:r w:rsidRPr="001A18B4" w:rsidR="007A7F91">
        <w:rPr>
          <w:sz w:val="24"/>
          <w:lang w:eastAsia="es-ES"/>
        </w:rPr>
        <w:t xml:space="preserve"> 35-21, en su artículo</w:t>
      </w:r>
      <w:r w:rsidR="001A18B4">
        <w:rPr>
          <w:sz w:val="24"/>
          <w:lang w:eastAsia="es-ES"/>
        </w:rPr>
        <w:t xml:space="preserve"> </w:t>
      </w:r>
      <w:r w:rsidR="00411659">
        <w:rPr>
          <w:sz w:val="24"/>
          <w:lang w:eastAsia="es-ES"/>
        </w:rPr>
        <w:t>2</w:t>
      </w:r>
      <w:r w:rsidRPr="001A18B4" w:rsidR="007A7F91">
        <w:rPr>
          <w:sz w:val="24"/>
          <w:lang w:eastAsia="es-ES"/>
        </w:rPr>
        <w:t xml:space="preserve"> “Ámbito de aplicación”</w:t>
      </w:r>
      <w:r w:rsidR="00411659">
        <w:rPr>
          <w:sz w:val="24"/>
          <w:lang w:eastAsia="es-ES"/>
        </w:rPr>
        <w:t>,</w:t>
      </w:r>
      <w:r w:rsidRPr="001A18B4" w:rsidR="007A7F91">
        <w:rPr>
          <w:sz w:val="24"/>
          <w:lang w:eastAsia="es-ES"/>
        </w:rPr>
        <w:t xml:space="preserve"> establece que las disposiciones </w:t>
      </w:r>
      <w:r w:rsidR="00411659">
        <w:rPr>
          <w:sz w:val="24"/>
          <w:lang w:eastAsia="es-ES"/>
        </w:rPr>
        <w:t>de este Reglamento</w:t>
      </w:r>
      <w:r w:rsidRPr="001A18B4" w:rsidR="007A7F91">
        <w:rPr>
          <w:sz w:val="24"/>
          <w:lang w:eastAsia="es-ES"/>
        </w:rPr>
        <w:t xml:space="preserve"> son aplicables a los sujetos obligados </w:t>
      </w:r>
      <w:r w:rsidR="00411659">
        <w:rPr>
          <w:sz w:val="24"/>
          <w:lang w:eastAsia="es-ES"/>
        </w:rPr>
        <w:t>por</w:t>
      </w:r>
      <w:r w:rsidRPr="001A18B4" w:rsidR="007A7F91">
        <w:rPr>
          <w:sz w:val="24"/>
          <w:lang w:eastAsia="es-ES"/>
        </w:rPr>
        <w:t xml:space="preserve"> el artículo 14 de la Ley 7786; es necesario que la Superintendencia General de Seguros (SUGESE), la Superintendencia General de Valores (SUGEVAL) y la Superintendencia de Pensiones (SUPEN)</w:t>
      </w:r>
      <w:r w:rsidR="00411659">
        <w:rPr>
          <w:sz w:val="24"/>
          <w:lang w:eastAsia="es-ES"/>
        </w:rPr>
        <w:t>,</w:t>
      </w:r>
      <w:r w:rsidRPr="001A18B4" w:rsidR="007A7F91">
        <w:rPr>
          <w:sz w:val="24"/>
          <w:lang w:eastAsia="es-ES"/>
        </w:rPr>
        <w:t xml:space="preserve"> comuniquen la siguiente resolución a sus sujetos obligados.  </w:t>
      </w:r>
    </w:p>
    <w:p w:rsidRPr="00C12A55" w:rsidR="003E3D6E" w:rsidP="00EE1DF1" w:rsidRDefault="003E3D6E" w14:paraId="44753B5F" w14:textId="77777777">
      <w:pPr>
        <w:spacing w:line="240" w:lineRule="auto"/>
        <w:contextualSpacing/>
        <w:outlineLvl w:val="0"/>
        <w:rPr>
          <w:sz w:val="24"/>
          <w:lang w:eastAsia="es-ES"/>
        </w:rPr>
      </w:pPr>
    </w:p>
    <w:p w:rsidRPr="008B7BE3" w:rsidR="00EE1DF1" w:rsidP="00EE1DF1" w:rsidRDefault="00EE1DF1" w14:paraId="0AE62347" w14:textId="77777777">
      <w:pPr>
        <w:spacing w:line="240" w:lineRule="auto"/>
        <w:contextualSpacing/>
        <w:rPr>
          <w:b/>
          <w:sz w:val="24"/>
          <w:lang w:val="es-CR"/>
        </w:rPr>
      </w:pPr>
      <w:r w:rsidRPr="008B7BE3">
        <w:rPr>
          <w:b/>
          <w:bCs/>
          <w:sz w:val="24"/>
          <w:lang w:val="es-CR"/>
        </w:rPr>
        <w:t>Dispone</w:t>
      </w:r>
      <w:r>
        <w:rPr>
          <w:b/>
          <w:bCs/>
          <w:sz w:val="24"/>
          <w:lang w:val="es-CR"/>
        </w:rPr>
        <w:t xml:space="preserve"> que</w:t>
      </w:r>
      <w:r w:rsidRPr="008B7BE3">
        <w:rPr>
          <w:b/>
          <w:sz w:val="24"/>
          <w:lang w:val="es-CR"/>
        </w:rPr>
        <w:t>:</w:t>
      </w:r>
    </w:p>
    <w:p w:rsidR="00762A11" w:rsidP="00EE1DF1" w:rsidRDefault="00762A11" w14:paraId="350E06FD" w14:textId="77777777">
      <w:pPr>
        <w:pStyle w:val="Texto"/>
        <w:spacing w:before="0" w:after="0" w:line="240" w:lineRule="auto"/>
        <w:contextualSpacing/>
        <w:rPr>
          <w:sz w:val="24"/>
        </w:rPr>
      </w:pPr>
    </w:p>
    <w:p w:rsidR="00EE1DF1" w:rsidP="00EE1DF1" w:rsidRDefault="00EE1DF1" w14:paraId="7B358A8D" w14:textId="5138D4C6">
      <w:pPr>
        <w:pStyle w:val="Texto"/>
        <w:numPr>
          <w:ilvl w:val="0"/>
          <w:numId w:val="4"/>
        </w:numPr>
        <w:spacing w:before="0" w:after="0" w:line="240" w:lineRule="auto"/>
        <w:contextualSpacing/>
        <w:rPr>
          <w:sz w:val="24"/>
        </w:rPr>
      </w:pPr>
      <w:r w:rsidRPr="00234A06">
        <w:rPr>
          <w:b/>
          <w:bCs/>
          <w:sz w:val="24"/>
        </w:rPr>
        <w:t>La entrada en operación del Centro de Información Conozca a su Cliente</w:t>
      </w:r>
      <w:r w:rsidR="00E4332B">
        <w:rPr>
          <w:b/>
          <w:bCs/>
          <w:sz w:val="24"/>
        </w:rPr>
        <w:t xml:space="preserve"> (en adelante </w:t>
      </w:r>
      <w:r w:rsidRPr="00234A06">
        <w:rPr>
          <w:b/>
          <w:bCs/>
          <w:sz w:val="24"/>
        </w:rPr>
        <w:t>CICAC), se realizará a partir del 1º de julio de 2022</w:t>
      </w:r>
      <w:r>
        <w:rPr>
          <w:sz w:val="24"/>
        </w:rPr>
        <w:t>.</w:t>
      </w:r>
    </w:p>
    <w:p w:rsidR="00EE1DF1" w:rsidP="00EE1DF1" w:rsidRDefault="00EE1DF1" w14:paraId="501135F0" w14:textId="06D246A8">
      <w:pPr>
        <w:pStyle w:val="Texto"/>
        <w:spacing w:before="0" w:after="0" w:line="240" w:lineRule="auto"/>
        <w:ind w:left="720"/>
        <w:contextualSpacing/>
        <w:rPr>
          <w:sz w:val="24"/>
        </w:rPr>
      </w:pPr>
    </w:p>
    <w:p w:rsidRPr="0025741F" w:rsidR="00EE1DF1" w:rsidP="00EE1DF1" w:rsidRDefault="00EE1DF1" w14:paraId="3F4F15A0" w14:textId="00BC8128">
      <w:pPr>
        <w:pStyle w:val="Texto"/>
        <w:numPr>
          <w:ilvl w:val="0"/>
          <w:numId w:val="4"/>
        </w:numPr>
        <w:spacing w:before="0" w:after="0" w:line="240" w:lineRule="auto"/>
        <w:contextualSpacing/>
        <w:rPr>
          <w:sz w:val="24"/>
        </w:rPr>
      </w:pPr>
      <w:r>
        <w:rPr>
          <w:sz w:val="24"/>
        </w:rPr>
        <w:t xml:space="preserve">La entrada en operación del </w:t>
      </w:r>
      <w:r w:rsidR="00E4332B">
        <w:rPr>
          <w:sz w:val="24"/>
        </w:rPr>
        <w:t xml:space="preserve">CICAC </w:t>
      </w:r>
      <w:r>
        <w:rPr>
          <w:sz w:val="24"/>
        </w:rPr>
        <w:t xml:space="preserve">se realizará </w:t>
      </w:r>
      <w:r w:rsidRPr="0025741F">
        <w:rPr>
          <w:sz w:val="24"/>
        </w:rPr>
        <w:t xml:space="preserve">en dos etapas, donde:  </w:t>
      </w:r>
    </w:p>
    <w:p w:rsidRPr="0025741F" w:rsidR="00EE1DF1" w:rsidP="00EE1DF1" w:rsidRDefault="00EE1DF1" w14:paraId="57FD6202" w14:textId="77777777">
      <w:pPr>
        <w:pStyle w:val="Prrafodelista"/>
        <w:spacing w:line="240" w:lineRule="auto"/>
        <w:rPr>
          <w:b/>
          <w:bCs/>
          <w:sz w:val="24"/>
        </w:rPr>
      </w:pPr>
    </w:p>
    <w:p w:rsidRPr="000D0FD9" w:rsidR="00EE1DF1" w:rsidP="00EE1DF1" w:rsidRDefault="00EE1DF1" w14:paraId="2EA5BA20" w14:textId="77777777">
      <w:pPr>
        <w:pStyle w:val="Texto"/>
        <w:numPr>
          <w:ilvl w:val="0"/>
          <w:numId w:val="7"/>
        </w:numPr>
        <w:spacing w:before="0" w:after="0" w:line="240" w:lineRule="auto"/>
        <w:ind w:left="993" w:hanging="284"/>
        <w:contextualSpacing/>
        <w:rPr>
          <w:sz w:val="24"/>
        </w:rPr>
      </w:pPr>
      <w:r w:rsidRPr="000D0FD9">
        <w:rPr>
          <w:sz w:val="24"/>
        </w:rPr>
        <w:t xml:space="preserve">En la etapa 1 participarán los sujetos supervisados por SUGEF y SUGEVAL. </w:t>
      </w:r>
    </w:p>
    <w:p w:rsidR="00EE1DF1" w:rsidP="00EE1DF1" w:rsidRDefault="00EE1DF1" w14:paraId="26E21779" w14:textId="77777777">
      <w:pPr>
        <w:pStyle w:val="Texto"/>
        <w:numPr>
          <w:ilvl w:val="0"/>
          <w:numId w:val="7"/>
        </w:numPr>
        <w:spacing w:before="0" w:after="0" w:line="240" w:lineRule="auto"/>
        <w:ind w:left="993" w:hanging="284"/>
        <w:contextualSpacing/>
        <w:rPr>
          <w:sz w:val="24"/>
        </w:rPr>
      </w:pPr>
      <w:r>
        <w:rPr>
          <w:sz w:val="24"/>
        </w:rPr>
        <w:t xml:space="preserve">En la etapa 2 se incorporarán </w:t>
      </w:r>
      <w:r w:rsidRPr="0025741F">
        <w:rPr>
          <w:sz w:val="24"/>
        </w:rPr>
        <w:t xml:space="preserve">los sujetos </w:t>
      </w:r>
      <w:r>
        <w:rPr>
          <w:sz w:val="24"/>
        </w:rPr>
        <w:t>supervisados por</w:t>
      </w:r>
      <w:r w:rsidRPr="0025741F">
        <w:rPr>
          <w:sz w:val="24"/>
        </w:rPr>
        <w:t xml:space="preserve"> SUGESE y SUPEN</w:t>
      </w:r>
      <w:r>
        <w:rPr>
          <w:sz w:val="24"/>
        </w:rPr>
        <w:t>, junto con los de la etapa 1, en la siguiente forma:</w:t>
      </w:r>
    </w:p>
    <w:p w:rsidRPr="0053296E" w:rsidR="00762A11" w:rsidP="00EE1DF1" w:rsidRDefault="00762A11" w14:paraId="2B21970C" w14:textId="77777777">
      <w:pPr>
        <w:pStyle w:val="Texto"/>
        <w:spacing w:before="0" w:after="0" w:line="240" w:lineRule="auto"/>
        <w:contextualSpacing/>
        <w:rPr>
          <w:sz w:val="24"/>
        </w:rPr>
      </w:pPr>
    </w:p>
    <w:tbl>
      <w:tblPr>
        <w:tblStyle w:val="Tablaconcuadrcula4-nfasis1"/>
        <w:tblW w:w="8784" w:type="dxa"/>
        <w:jc w:val="center"/>
        <w:tblLook w:val="0420" w:firstRow="1" w:lastRow="0" w:firstColumn="0" w:lastColumn="0" w:noHBand="0" w:noVBand="1"/>
      </w:tblPr>
      <w:tblGrid>
        <w:gridCol w:w="976"/>
        <w:gridCol w:w="1152"/>
        <w:gridCol w:w="2550"/>
        <w:gridCol w:w="4106"/>
      </w:tblGrid>
      <w:tr w:rsidRPr="00947ABB" w:rsidR="00EE1DF1" w:rsidTr="003B72F9" w14:paraId="1E31A0EA" w14:textId="77777777">
        <w:trPr>
          <w:cnfStyle w:val="100000000000" w:firstRow="1" w:lastRow="0" w:firstColumn="0" w:lastColumn="0" w:oddVBand="0" w:evenVBand="0" w:oddHBand="0" w:evenHBand="0" w:firstRowFirstColumn="0" w:firstRowLastColumn="0" w:lastRowFirstColumn="0" w:lastRowLastColumn="0"/>
          <w:trHeight w:val="405"/>
          <w:jc w:val="center"/>
        </w:trPr>
        <w:tc>
          <w:tcPr>
            <w:tcW w:w="976" w:type="dxa"/>
            <w:hideMark/>
          </w:tcPr>
          <w:p w:rsidRPr="002D41C4" w:rsidR="00EE1DF1" w:rsidP="003B72F9" w:rsidRDefault="00EE1DF1" w14:paraId="25BB54FF" w14:textId="77777777">
            <w:pPr>
              <w:spacing w:line="240" w:lineRule="auto"/>
              <w:contextualSpacing/>
              <w:jc w:val="center"/>
              <w:rPr>
                <w:rFonts w:eastAsia="Cambria"/>
                <w:szCs w:val="22"/>
                <w:lang w:eastAsia="es-CR"/>
              </w:rPr>
            </w:pPr>
            <w:r w:rsidRPr="002D41C4">
              <w:rPr>
                <w:rFonts w:eastAsia="Cambria"/>
                <w:szCs w:val="22"/>
                <w:lang w:eastAsia="es-CR"/>
              </w:rPr>
              <w:t>Etapa</w:t>
            </w:r>
          </w:p>
        </w:tc>
        <w:tc>
          <w:tcPr>
            <w:tcW w:w="1152" w:type="dxa"/>
            <w:hideMark/>
          </w:tcPr>
          <w:p w:rsidRPr="002D41C4" w:rsidR="00EE1DF1" w:rsidP="003B72F9" w:rsidRDefault="00EE1DF1" w14:paraId="1EB88258" w14:textId="77777777">
            <w:pPr>
              <w:spacing w:line="240" w:lineRule="auto"/>
              <w:contextualSpacing/>
              <w:jc w:val="center"/>
              <w:rPr>
                <w:rFonts w:eastAsia="Cambria"/>
                <w:szCs w:val="22"/>
                <w:lang w:eastAsia="es-CR"/>
              </w:rPr>
            </w:pPr>
            <w:r w:rsidRPr="002D41C4">
              <w:rPr>
                <w:rFonts w:eastAsia="Cambria"/>
                <w:szCs w:val="22"/>
                <w:lang w:eastAsia="es-CR"/>
              </w:rPr>
              <w:t>Duración</w:t>
            </w:r>
          </w:p>
        </w:tc>
        <w:tc>
          <w:tcPr>
            <w:tcW w:w="2550" w:type="dxa"/>
          </w:tcPr>
          <w:p w:rsidRPr="002D41C4" w:rsidR="00EE1DF1" w:rsidP="003B72F9" w:rsidRDefault="00EE1DF1" w14:paraId="276D3D4A" w14:textId="77777777">
            <w:pPr>
              <w:spacing w:line="240" w:lineRule="auto"/>
              <w:ind w:left="720"/>
              <w:contextualSpacing/>
              <w:jc w:val="left"/>
              <w:rPr>
                <w:rFonts w:eastAsia="Cambria"/>
                <w:szCs w:val="22"/>
                <w:lang w:eastAsia="es-CR"/>
              </w:rPr>
            </w:pPr>
            <w:r>
              <w:rPr>
                <w:rFonts w:eastAsia="Cambria"/>
                <w:szCs w:val="22"/>
                <w:lang w:eastAsia="es-CR"/>
              </w:rPr>
              <w:t>Fechas</w:t>
            </w:r>
          </w:p>
        </w:tc>
        <w:tc>
          <w:tcPr>
            <w:tcW w:w="4106" w:type="dxa"/>
            <w:hideMark/>
          </w:tcPr>
          <w:p w:rsidRPr="002D41C4" w:rsidR="00EE1DF1" w:rsidP="003B72F9" w:rsidRDefault="00EE1DF1" w14:paraId="24D51920" w14:textId="77777777">
            <w:pPr>
              <w:spacing w:line="240" w:lineRule="auto"/>
              <w:ind w:left="720"/>
              <w:contextualSpacing/>
              <w:jc w:val="center"/>
              <w:rPr>
                <w:rFonts w:eastAsia="Cambria"/>
                <w:szCs w:val="22"/>
                <w:lang w:eastAsia="es-CR"/>
              </w:rPr>
            </w:pPr>
            <w:r w:rsidRPr="002D41C4">
              <w:rPr>
                <w:rFonts w:eastAsia="Cambria"/>
                <w:szCs w:val="22"/>
                <w:lang w:eastAsia="es-CR"/>
              </w:rPr>
              <w:t>Entidades</w:t>
            </w:r>
          </w:p>
        </w:tc>
      </w:tr>
      <w:tr w:rsidRPr="00947ABB" w:rsidR="00EE1DF1" w:rsidTr="003B72F9" w14:paraId="59FFDA13" w14:textId="77777777">
        <w:trPr>
          <w:cnfStyle w:val="000000100000" w:firstRow="0" w:lastRow="0" w:firstColumn="0" w:lastColumn="0" w:oddVBand="0" w:evenVBand="0" w:oddHBand="1" w:evenHBand="0" w:firstRowFirstColumn="0" w:firstRowLastColumn="0" w:lastRowFirstColumn="0" w:lastRowLastColumn="0"/>
          <w:trHeight w:val="405"/>
          <w:jc w:val="center"/>
        </w:trPr>
        <w:tc>
          <w:tcPr>
            <w:tcW w:w="976" w:type="dxa"/>
            <w:hideMark/>
          </w:tcPr>
          <w:p w:rsidRPr="00947ABB" w:rsidR="00EE1DF1" w:rsidP="003B72F9" w:rsidRDefault="00EE1DF1" w14:paraId="70F70500" w14:textId="77777777">
            <w:pPr>
              <w:spacing w:line="240" w:lineRule="auto"/>
              <w:contextualSpacing/>
              <w:jc w:val="center"/>
              <w:rPr>
                <w:rFonts w:eastAsia="Cambria"/>
                <w:szCs w:val="22"/>
                <w:lang w:eastAsia="es-CR"/>
              </w:rPr>
            </w:pPr>
            <w:r w:rsidRPr="00947ABB">
              <w:rPr>
                <w:rFonts w:eastAsia="Cambria"/>
                <w:szCs w:val="22"/>
                <w:lang w:eastAsia="es-CR"/>
              </w:rPr>
              <w:t>Etapa 1</w:t>
            </w:r>
          </w:p>
        </w:tc>
        <w:tc>
          <w:tcPr>
            <w:tcW w:w="1152" w:type="dxa"/>
            <w:hideMark/>
          </w:tcPr>
          <w:p w:rsidRPr="00947ABB" w:rsidR="00EE1DF1" w:rsidP="003B72F9" w:rsidRDefault="00EE1DF1" w14:paraId="4F87C297" w14:textId="77777777">
            <w:pPr>
              <w:spacing w:line="240" w:lineRule="auto"/>
              <w:contextualSpacing/>
              <w:jc w:val="center"/>
              <w:rPr>
                <w:rFonts w:eastAsia="Cambria"/>
                <w:szCs w:val="22"/>
                <w:lang w:eastAsia="es-CR"/>
              </w:rPr>
            </w:pPr>
            <w:r>
              <w:rPr>
                <w:rFonts w:eastAsia="Cambria"/>
                <w:szCs w:val="22"/>
                <w:lang w:eastAsia="es-CR"/>
              </w:rPr>
              <w:t>1,5 años</w:t>
            </w:r>
          </w:p>
        </w:tc>
        <w:tc>
          <w:tcPr>
            <w:tcW w:w="2550" w:type="dxa"/>
          </w:tcPr>
          <w:p w:rsidRPr="00947ABB" w:rsidR="00EE1DF1" w:rsidP="003B72F9" w:rsidRDefault="00EE1DF1" w14:paraId="264102C8" w14:textId="77777777">
            <w:pPr>
              <w:spacing w:line="240" w:lineRule="auto"/>
              <w:contextualSpacing/>
              <w:jc w:val="center"/>
              <w:rPr>
                <w:rFonts w:eastAsia="Cambria"/>
                <w:szCs w:val="22"/>
                <w:lang w:eastAsia="es-CR"/>
              </w:rPr>
            </w:pPr>
            <w:r w:rsidRPr="00876667">
              <w:rPr>
                <w:sz w:val="24"/>
                <w:lang w:eastAsia="es-ES"/>
              </w:rPr>
              <w:t>del 1</w:t>
            </w:r>
            <w:r>
              <w:rPr>
                <w:sz w:val="24"/>
                <w:lang w:eastAsia="es-ES"/>
              </w:rPr>
              <w:t xml:space="preserve">º </w:t>
            </w:r>
            <w:r w:rsidRPr="00876667">
              <w:rPr>
                <w:sz w:val="24"/>
                <w:lang w:eastAsia="es-ES"/>
              </w:rPr>
              <w:t xml:space="preserve">de julio </w:t>
            </w:r>
            <w:r>
              <w:rPr>
                <w:sz w:val="24"/>
                <w:lang w:eastAsia="es-ES"/>
              </w:rPr>
              <w:t xml:space="preserve">de 2022 al </w:t>
            </w:r>
            <w:r w:rsidRPr="00876667">
              <w:rPr>
                <w:sz w:val="24"/>
                <w:lang w:eastAsia="es-ES"/>
              </w:rPr>
              <w:t>3</w:t>
            </w:r>
            <w:r>
              <w:rPr>
                <w:sz w:val="24"/>
                <w:lang w:eastAsia="es-ES"/>
              </w:rPr>
              <w:t>1</w:t>
            </w:r>
            <w:r w:rsidRPr="00876667">
              <w:rPr>
                <w:sz w:val="24"/>
                <w:lang w:eastAsia="es-ES"/>
              </w:rPr>
              <w:t xml:space="preserve"> de </w:t>
            </w:r>
            <w:r>
              <w:rPr>
                <w:sz w:val="24"/>
                <w:lang w:eastAsia="es-ES"/>
              </w:rPr>
              <w:t xml:space="preserve">diciembre </w:t>
            </w:r>
            <w:r w:rsidRPr="00876667">
              <w:rPr>
                <w:sz w:val="24"/>
                <w:lang w:eastAsia="es-ES"/>
              </w:rPr>
              <w:t>de 202</w:t>
            </w:r>
            <w:r>
              <w:rPr>
                <w:sz w:val="24"/>
                <w:lang w:eastAsia="es-ES"/>
              </w:rPr>
              <w:t>3</w:t>
            </w:r>
          </w:p>
        </w:tc>
        <w:tc>
          <w:tcPr>
            <w:tcW w:w="4106" w:type="dxa"/>
          </w:tcPr>
          <w:p w:rsidRPr="00947ABB" w:rsidR="00EE1DF1" w:rsidP="003B72F9" w:rsidRDefault="00EE1DF1" w14:paraId="27148A06" w14:textId="372B19FA">
            <w:pPr>
              <w:spacing w:line="240" w:lineRule="auto"/>
              <w:contextualSpacing/>
              <w:rPr>
                <w:rFonts w:eastAsia="Cambria"/>
                <w:szCs w:val="22"/>
                <w:lang w:eastAsia="es-CR"/>
              </w:rPr>
            </w:pPr>
            <w:r w:rsidRPr="00947ABB">
              <w:rPr>
                <w:rFonts w:eastAsia="Cambria"/>
                <w:szCs w:val="22"/>
                <w:lang w:eastAsia="es-CR"/>
              </w:rPr>
              <w:t xml:space="preserve">Sujetos </w:t>
            </w:r>
            <w:r>
              <w:rPr>
                <w:rFonts w:eastAsia="Cambria"/>
                <w:szCs w:val="22"/>
                <w:lang w:eastAsia="es-CR"/>
              </w:rPr>
              <w:t>supervisados</w:t>
            </w:r>
            <w:r w:rsidRPr="00947ABB">
              <w:rPr>
                <w:rFonts w:eastAsia="Cambria"/>
                <w:szCs w:val="22"/>
                <w:lang w:eastAsia="es-CR"/>
              </w:rPr>
              <w:t xml:space="preserve"> </w:t>
            </w:r>
            <w:r>
              <w:rPr>
                <w:rFonts w:eastAsia="Cambria"/>
                <w:szCs w:val="22"/>
                <w:lang w:eastAsia="es-CR"/>
              </w:rPr>
              <w:t>por</w:t>
            </w:r>
            <w:r w:rsidRPr="00947ABB">
              <w:rPr>
                <w:rFonts w:eastAsia="Cambria"/>
                <w:szCs w:val="22"/>
                <w:lang w:eastAsia="es-CR"/>
              </w:rPr>
              <w:t xml:space="preserve"> SUGEF</w:t>
            </w:r>
            <w:r>
              <w:rPr>
                <w:rFonts w:ascii="Times New Roman" w:hAnsi="Times New Roman" w:eastAsia="Cambria"/>
                <w:szCs w:val="22"/>
                <w:lang w:eastAsia="es-CR"/>
              </w:rPr>
              <w:t>¹</w:t>
            </w:r>
            <w:r w:rsidRPr="00947ABB">
              <w:rPr>
                <w:rFonts w:eastAsia="Cambria"/>
                <w:szCs w:val="22"/>
                <w:lang w:eastAsia="es-CR"/>
              </w:rPr>
              <w:t xml:space="preserve"> </w:t>
            </w:r>
            <w:r w:rsidR="007F1F47">
              <w:rPr>
                <w:rFonts w:eastAsia="Cambria"/>
                <w:szCs w:val="22"/>
                <w:lang w:eastAsia="es-CR"/>
              </w:rPr>
              <w:t>(</w:t>
            </w:r>
            <w:r w:rsidRPr="00947ABB">
              <w:rPr>
                <w:rFonts w:eastAsia="Cambria"/>
                <w:szCs w:val="22"/>
                <w:lang w:eastAsia="es-CR"/>
              </w:rPr>
              <w:t>excepto las cooperativas</w:t>
            </w:r>
            <w:r>
              <w:rPr>
                <w:rFonts w:eastAsia="Cambria"/>
                <w:szCs w:val="22"/>
                <w:lang w:eastAsia="es-CR"/>
              </w:rPr>
              <w:t xml:space="preserve"> que saldrán del ámbito de supervisión</w:t>
            </w:r>
            <w:r w:rsidR="007F1F47">
              <w:rPr>
                <w:rFonts w:eastAsia="Cambria"/>
                <w:szCs w:val="22"/>
                <w:lang w:eastAsia="es-CR"/>
              </w:rPr>
              <w:t xml:space="preserve"> según</w:t>
            </w:r>
            <w:r w:rsidRPr="00947ABB">
              <w:rPr>
                <w:rFonts w:eastAsia="Cambria"/>
                <w:szCs w:val="22"/>
                <w:lang w:eastAsia="es-CR"/>
              </w:rPr>
              <w:t xml:space="preserve"> Oficio </w:t>
            </w:r>
            <w:r w:rsidR="007F1F47">
              <w:rPr>
                <w:rFonts w:eastAsia="Cambria"/>
                <w:szCs w:val="22"/>
                <w:lang w:eastAsia="es-CR"/>
              </w:rPr>
              <w:t xml:space="preserve">del </w:t>
            </w:r>
            <w:r w:rsidRPr="00947ABB">
              <w:rPr>
                <w:rFonts w:eastAsia="Cambria"/>
                <w:szCs w:val="22"/>
                <w:lang w:eastAsia="es-CR"/>
              </w:rPr>
              <w:t>C</w:t>
            </w:r>
            <w:r w:rsidR="007F1F47">
              <w:rPr>
                <w:rFonts w:eastAsia="Cambria"/>
                <w:szCs w:val="22"/>
                <w:lang w:eastAsia="es-CR"/>
              </w:rPr>
              <w:t>ONASSIF</w:t>
            </w:r>
            <w:r>
              <w:rPr>
                <w:rFonts w:eastAsia="Cambria"/>
                <w:szCs w:val="22"/>
                <w:lang w:eastAsia="es-CR"/>
              </w:rPr>
              <w:t xml:space="preserve"> 1676</w:t>
            </w:r>
            <w:r>
              <w:rPr>
                <w:rFonts w:ascii="Times New Roman" w:hAnsi="Times New Roman" w:eastAsia="Cambria"/>
                <w:szCs w:val="22"/>
                <w:lang w:eastAsia="es-CR"/>
              </w:rPr>
              <w:t>²</w:t>
            </w:r>
            <w:r w:rsidR="007F1F47">
              <w:rPr>
                <w:rFonts w:ascii="Times New Roman" w:hAnsi="Times New Roman" w:eastAsia="Cambria"/>
                <w:szCs w:val="22"/>
                <w:lang w:eastAsia="es-CR"/>
              </w:rPr>
              <w:t>)</w:t>
            </w:r>
            <w:r>
              <w:rPr>
                <w:rFonts w:eastAsia="Cambria"/>
                <w:szCs w:val="22"/>
                <w:lang w:eastAsia="es-CR"/>
              </w:rPr>
              <w:t xml:space="preserve"> y</w:t>
            </w:r>
            <w:r w:rsidRPr="00947ABB">
              <w:rPr>
                <w:rFonts w:eastAsia="Cambria"/>
                <w:szCs w:val="22"/>
                <w:lang w:eastAsia="es-CR"/>
              </w:rPr>
              <w:t xml:space="preserve"> </w:t>
            </w:r>
            <w:r w:rsidR="007F1F47">
              <w:rPr>
                <w:rFonts w:eastAsia="Cambria"/>
                <w:szCs w:val="22"/>
                <w:lang w:eastAsia="es-CR"/>
              </w:rPr>
              <w:t>s</w:t>
            </w:r>
            <w:r w:rsidRPr="00947ABB">
              <w:rPr>
                <w:rFonts w:eastAsia="Cambria"/>
                <w:szCs w:val="22"/>
                <w:lang w:eastAsia="es-CR"/>
              </w:rPr>
              <w:t xml:space="preserve">ujetos </w:t>
            </w:r>
            <w:r>
              <w:rPr>
                <w:rFonts w:eastAsia="Cambria"/>
                <w:szCs w:val="22"/>
                <w:lang w:eastAsia="es-CR"/>
              </w:rPr>
              <w:t>supervisados por</w:t>
            </w:r>
            <w:r w:rsidRPr="00947ABB">
              <w:rPr>
                <w:rFonts w:eastAsia="Cambria"/>
                <w:szCs w:val="22"/>
                <w:lang w:eastAsia="es-CR"/>
              </w:rPr>
              <w:t xml:space="preserve"> SUGEVAL.</w:t>
            </w:r>
          </w:p>
        </w:tc>
      </w:tr>
      <w:tr w:rsidRPr="00947ABB" w:rsidR="00EE1DF1" w:rsidTr="003B72F9" w14:paraId="034FEB4C" w14:textId="77777777">
        <w:trPr>
          <w:trHeight w:val="405"/>
          <w:jc w:val="center"/>
        </w:trPr>
        <w:tc>
          <w:tcPr>
            <w:tcW w:w="976" w:type="dxa"/>
          </w:tcPr>
          <w:p w:rsidRPr="0026649C" w:rsidR="00EE1DF1" w:rsidP="003B72F9" w:rsidRDefault="00EE1DF1" w14:paraId="475DF932" w14:textId="77777777">
            <w:pPr>
              <w:spacing w:line="240" w:lineRule="auto"/>
              <w:contextualSpacing/>
              <w:jc w:val="center"/>
              <w:rPr>
                <w:rFonts w:eastAsia="Cambria"/>
                <w:szCs w:val="22"/>
                <w:lang w:eastAsia="es-CR"/>
              </w:rPr>
            </w:pPr>
            <w:r w:rsidRPr="0026649C">
              <w:rPr>
                <w:rFonts w:eastAsia="Cambria"/>
                <w:szCs w:val="22"/>
                <w:lang w:eastAsia="es-CR"/>
              </w:rPr>
              <w:t>Etapa 2</w:t>
            </w:r>
          </w:p>
        </w:tc>
        <w:tc>
          <w:tcPr>
            <w:tcW w:w="1152" w:type="dxa"/>
          </w:tcPr>
          <w:p w:rsidRPr="0026649C" w:rsidR="00EE1DF1" w:rsidP="003B72F9" w:rsidRDefault="00EE1DF1" w14:paraId="7B2DDB63" w14:textId="77777777">
            <w:pPr>
              <w:spacing w:line="240" w:lineRule="auto"/>
              <w:contextualSpacing/>
              <w:jc w:val="center"/>
              <w:rPr>
                <w:rFonts w:eastAsia="Cambria"/>
                <w:szCs w:val="22"/>
                <w:lang w:eastAsia="es-CR"/>
              </w:rPr>
            </w:pPr>
            <w:r w:rsidRPr="0026649C">
              <w:rPr>
                <w:rFonts w:eastAsia="Cambria"/>
                <w:szCs w:val="22"/>
                <w:lang w:eastAsia="es-CR"/>
              </w:rPr>
              <w:t>2.5 años</w:t>
            </w:r>
          </w:p>
        </w:tc>
        <w:tc>
          <w:tcPr>
            <w:tcW w:w="2550" w:type="dxa"/>
          </w:tcPr>
          <w:p w:rsidRPr="0026649C" w:rsidR="00EE1DF1" w:rsidP="003B72F9" w:rsidRDefault="00EE1DF1" w14:paraId="29465835" w14:textId="77777777">
            <w:pPr>
              <w:spacing w:line="240" w:lineRule="auto"/>
              <w:contextualSpacing/>
              <w:jc w:val="center"/>
              <w:rPr>
                <w:rFonts w:eastAsia="Cambria"/>
                <w:szCs w:val="22"/>
                <w:lang w:eastAsia="es-CR"/>
              </w:rPr>
            </w:pPr>
            <w:r w:rsidRPr="0026649C">
              <w:rPr>
                <w:sz w:val="24"/>
                <w:lang w:eastAsia="es-ES"/>
              </w:rPr>
              <w:t>del 2 de enero de 2024 al 30 de junio del 2026.</w:t>
            </w:r>
          </w:p>
        </w:tc>
        <w:tc>
          <w:tcPr>
            <w:tcW w:w="4106" w:type="dxa"/>
          </w:tcPr>
          <w:p w:rsidRPr="00947ABB" w:rsidR="00EE1DF1" w:rsidP="003B72F9" w:rsidRDefault="00EE1DF1" w14:paraId="0AB2AAD2" w14:textId="77777777">
            <w:pPr>
              <w:spacing w:line="240" w:lineRule="auto"/>
              <w:contextualSpacing/>
              <w:rPr>
                <w:rFonts w:eastAsia="Cambria"/>
                <w:szCs w:val="22"/>
                <w:lang w:eastAsia="es-CR"/>
              </w:rPr>
            </w:pPr>
            <w:r w:rsidRPr="00947ABB">
              <w:rPr>
                <w:rFonts w:eastAsia="Cambria"/>
                <w:szCs w:val="22"/>
                <w:lang w:eastAsia="es-CR"/>
              </w:rPr>
              <w:t xml:space="preserve">Sujetos </w:t>
            </w:r>
            <w:r>
              <w:rPr>
                <w:rFonts w:eastAsia="Cambria"/>
                <w:szCs w:val="22"/>
                <w:lang w:eastAsia="es-CR"/>
              </w:rPr>
              <w:t xml:space="preserve">supervisados por </w:t>
            </w:r>
            <w:r w:rsidRPr="00947ABB">
              <w:rPr>
                <w:rFonts w:eastAsia="Cambria"/>
                <w:szCs w:val="22"/>
                <w:lang w:eastAsia="es-CR"/>
              </w:rPr>
              <w:t>SUGEF,</w:t>
            </w:r>
            <w:r>
              <w:rPr>
                <w:rFonts w:eastAsia="Cambria"/>
                <w:szCs w:val="22"/>
                <w:lang w:eastAsia="es-CR"/>
              </w:rPr>
              <w:t xml:space="preserve"> S</w:t>
            </w:r>
            <w:r w:rsidRPr="00947ABB">
              <w:rPr>
                <w:rFonts w:eastAsia="Cambria"/>
                <w:szCs w:val="22"/>
                <w:lang w:eastAsia="es-CR"/>
              </w:rPr>
              <w:t xml:space="preserve">UGEVAL, SUPEN y </w:t>
            </w:r>
            <w:r>
              <w:rPr>
                <w:rFonts w:eastAsia="Cambria"/>
                <w:szCs w:val="22"/>
                <w:lang w:eastAsia="es-CR"/>
              </w:rPr>
              <w:t>SUGESE.</w:t>
            </w:r>
          </w:p>
        </w:tc>
      </w:tr>
    </w:tbl>
    <w:p w:rsidRPr="00CD5DD8" w:rsidR="00EE1DF1" w:rsidP="00EE1DF1" w:rsidRDefault="00EE1DF1" w14:paraId="2C026E25" w14:textId="77777777">
      <w:pPr>
        <w:pStyle w:val="Texto"/>
        <w:spacing w:before="0" w:after="0" w:line="240" w:lineRule="auto"/>
        <w:contextualSpacing/>
        <w:rPr>
          <w:sz w:val="18"/>
          <w:szCs w:val="18"/>
        </w:rPr>
      </w:pPr>
      <w:r w:rsidRPr="00CD5DD8">
        <w:rPr>
          <w:b/>
          <w:bCs/>
          <w:sz w:val="18"/>
          <w:szCs w:val="18"/>
        </w:rPr>
        <w:t>¹</w:t>
      </w:r>
      <w:r w:rsidRPr="00CD5DD8">
        <w:rPr>
          <w:sz w:val="18"/>
          <w:szCs w:val="18"/>
        </w:rPr>
        <w:t>Las Casas de Cambio realizarán inclusión de clientes, para clientes habituales, en cumplimiento de lo establecido en el Reglamento General sobre legislación contra el narcotráfico, actividades conexas, legitimación de capitales, financiamiento al terrorismo y delincuencia organizada, Decreto Ejecutivo nº36948-MP-SP-JP-H-S.</w:t>
      </w:r>
    </w:p>
    <w:p w:rsidRPr="00CD5DD8" w:rsidR="00EE1DF1" w:rsidP="00EE1DF1" w:rsidRDefault="00EE1DF1" w14:paraId="7448495F" w14:textId="43892870">
      <w:pPr>
        <w:pStyle w:val="Texto"/>
        <w:spacing w:before="0" w:after="0" w:line="240" w:lineRule="auto"/>
        <w:contextualSpacing/>
        <w:rPr>
          <w:sz w:val="18"/>
          <w:szCs w:val="18"/>
        </w:rPr>
      </w:pPr>
      <w:r w:rsidRPr="00CD5DD8">
        <w:rPr>
          <w:sz w:val="18"/>
          <w:szCs w:val="18"/>
        </w:rPr>
        <w:t>²La participación de las 10 cooperativas</w:t>
      </w:r>
      <w:r w:rsidRPr="00CD5DD8" w:rsidR="00BC242A">
        <w:rPr>
          <w:sz w:val="18"/>
          <w:szCs w:val="18"/>
        </w:rPr>
        <w:t xml:space="preserve"> que se mencionan en el</w:t>
      </w:r>
      <w:r w:rsidRPr="00CD5DD8">
        <w:rPr>
          <w:sz w:val="18"/>
          <w:szCs w:val="18"/>
        </w:rPr>
        <w:t xml:space="preserve"> oficio de Conassif 1676 del 30 de julio de 2021, queda sujeta a la resolución de la Sugef que se dará a más tardar en febrero del 2023.</w:t>
      </w:r>
    </w:p>
    <w:p w:rsidRPr="0026649C" w:rsidR="00EE1DF1" w:rsidP="00EE1DF1" w:rsidRDefault="00EE1DF1" w14:paraId="2075FCFC" w14:textId="41371CB1">
      <w:pPr>
        <w:pStyle w:val="Texto"/>
        <w:numPr>
          <w:ilvl w:val="0"/>
          <w:numId w:val="7"/>
        </w:numPr>
        <w:spacing w:before="0" w:after="0" w:line="240" w:lineRule="auto"/>
        <w:ind w:left="993" w:hanging="284"/>
        <w:contextualSpacing/>
        <w:rPr>
          <w:sz w:val="24"/>
        </w:rPr>
      </w:pPr>
      <w:r w:rsidRPr="0026649C">
        <w:rPr>
          <w:sz w:val="24"/>
        </w:rPr>
        <w:lastRenderedPageBreak/>
        <w:t xml:space="preserve">La incorporación de los clientes en el CICAC se realizará en línea con la </w:t>
      </w:r>
      <w:r>
        <w:rPr>
          <w:sz w:val="24"/>
        </w:rPr>
        <w:t xml:space="preserve">periodicidad de </w:t>
      </w:r>
      <w:r w:rsidRPr="0026649C">
        <w:rPr>
          <w:sz w:val="24"/>
        </w:rPr>
        <w:t xml:space="preserve">actualización </w:t>
      </w:r>
      <w:r w:rsidR="00E4332B">
        <w:rPr>
          <w:sz w:val="24"/>
        </w:rPr>
        <w:t>definida en</w:t>
      </w:r>
      <w:r w:rsidRPr="0026649C">
        <w:rPr>
          <w:sz w:val="24"/>
        </w:rPr>
        <w:t xml:space="preserve"> la política conozca a su cliente por cada sujeto obligado del Sistema Financiero Nacional, de acuerdo con lo dispuesto en el artículo 36 </w:t>
      </w:r>
      <w:r w:rsidRPr="0026649C">
        <w:rPr>
          <w:i/>
          <w:iCs/>
          <w:sz w:val="24"/>
        </w:rPr>
        <w:t>“Actualización de información de los clientes”</w:t>
      </w:r>
      <w:r w:rsidRPr="0026649C">
        <w:rPr>
          <w:sz w:val="24"/>
        </w:rPr>
        <w:t xml:space="preserve"> del </w:t>
      </w:r>
      <w:r w:rsidRPr="0080704C" w:rsidR="002A5877">
        <w:rPr>
          <w:sz w:val="24"/>
          <w:lang w:eastAsia="es-ES"/>
        </w:rPr>
        <w:t xml:space="preserve">Reglamento de prevención </w:t>
      </w:r>
      <w:r w:rsidR="007F1F47">
        <w:rPr>
          <w:sz w:val="24"/>
          <w:lang w:eastAsia="es-ES"/>
        </w:rPr>
        <w:t xml:space="preserve">del riesgo </w:t>
      </w:r>
      <w:r w:rsidRPr="0080704C" w:rsidR="002A5877">
        <w:rPr>
          <w:sz w:val="24"/>
          <w:lang w:eastAsia="es-ES"/>
        </w:rPr>
        <w:t xml:space="preserve">de legitimación de capitales, financiamiento al terrorismo, </w:t>
      </w:r>
      <w:r w:rsidR="007F1F47">
        <w:rPr>
          <w:sz w:val="24"/>
          <w:lang w:eastAsia="es-ES"/>
        </w:rPr>
        <w:t xml:space="preserve">y </w:t>
      </w:r>
      <w:r w:rsidRPr="0080704C" w:rsidR="002A5877">
        <w:rPr>
          <w:sz w:val="24"/>
          <w:lang w:eastAsia="es-ES"/>
        </w:rPr>
        <w:t xml:space="preserve">financiamiento </w:t>
      </w:r>
      <w:r w:rsidR="007F1F47">
        <w:rPr>
          <w:sz w:val="24"/>
          <w:lang w:eastAsia="es-ES"/>
        </w:rPr>
        <w:t>de</w:t>
      </w:r>
      <w:r w:rsidRPr="0080704C" w:rsidR="002A5877">
        <w:rPr>
          <w:sz w:val="24"/>
          <w:lang w:eastAsia="es-ES"/>
        </w:rPr>
        <w:t xml:space="preserve"> la proliferación de armas de destrucción masiva (LC/FT/FPADM)</w:t>
      </w:r>
      <w:r w:rsidR="007F1F47">
        <w:rPr>
          <w:sz w:val="24"/>
        </w:rPr>
        <w:t>, Acuerdo S</w:t>
      </w:r>
      <w:r w:rsidR="00976E17">
        <w:rPr>
          <w:sz w:val="24"/>
        </w:rPr>
        <w:t>ugef</w:t>
      </w:r>
      <w:r w:rsidR="007F1F47">
        <w:rPr>
          <w:sz w:val="24"/>
        </w:rPr>
        <w:t xml:space="preserve"> 12-21</w:t>
      </w:r>
      <w:r w:rsidR="00052FFD">
        <w:rPr>
          <w:sz w:val="24"/>
        </w:rPr>
        <w:t>.</w:t>
      </w:r>
    </w:p>
    <w:p w:rsidRPr="0026649C" w:rsidR="00EE1DF1" w:rsidP="00EE1DF1" w:rsidRDefault="00EE1DF1" w14:paraId="69771FB8" w14:textId="77777777">
      <w:pPr>
        <w:pStyle w:val="Texto"/>
        <w:spacing w:before="0" w:after="0" w:line="240" w:lineRule="auto"/>
        <w:ind w:left="993" w:hanging="284"/>
        <w:contextualSpacing/>
        <w:rPr>
          <w:sz w:val="24"/>
        </w:rPr>
      </w:pPr>
    </w:p>
    <w:p w:rsidR="00EE1DF1" w:rsidP="00EE1DF1" w:rsidRDefault="00EE1DF1" w14:paraId="1A08BD53" w14:textId="5AB1E59B">
      <w:pPr>
        <w:pStyle w:val="Texto"/>
        <w:numPr>
          <w:ilvl w:val="0"/>
          <w:numId w:val="7"/>
        </w:numPr>
        <w:spacing w:before="0" w:after="0" w:line="240" w:lineRule="auto"/>
        <w:ind w:left="993" w:hanging="284"/>
        <w:contextualSpacing/>
        <w:rPr>
          <w:sz w:val="24"/>
        </w:rPr>
      </w:pPr>
      <w:r w:rsidRPr="0026649C">
        <w:rPr>
          <w:sz w:val="24"/>
        </w:rPr>
        <w:t xml:space="preserve">El sujeto obligado debe incluir en el CICAC la información de </w:t>
      </w:r>
      <w:r>
        <w:rPr>
          <w:sz w:val="24"/>
        </w:rPr>
        <w:t xml:space="preserve">todos </w:t>
      </w:r>
      <w:r w:rsidRPr="0026649C">
        <w:rPr>
          <w:sz w:val="24"/>
        </w:rPr>
        <w:t>los clientes de nuevo ingreso</w:t>
      </w:r>
      <w:r w:rsidRPr="0026649C">
        <w:rPr>
          <w:sz w:val="24"/>
          <w:lang w:eastAsia="es-ES"/>
        </w:rPr>
        <w:t xml:space="preserve">, </w:t>
      </w:r>
      <w:r>
        <w:rPr>
          <w:sz w:val="24"/>
          <w:lang w:eastAsia="es-ES"/>
        </w:rPr>
        <w:t>a partir de la etapa en que se inicia su participación</w:t>
      </w:r>
      <w:r w:rsidRPr="0026649C">
        <w:rPr>
          <w:sz w:val="24"/>
          <w:lang w:eastAsia="es-ES"/>
        </w:rPr>
        <w:t>.</w:t>
      </w:r>
    </w:p>
    <w:p w:rsidR="00E4332B" w:rsidP="00E4332B" w:rsidRDefault="00E4332B" w14:paraId="75C24A51" w14:textId="77777777">
      <w:pPr>
        <w:pStyle w:val="Texto"/>
        <w:spacing w:before="0" w:after="0" w:line="240" w:lineRule="auto"/>
        <w:contextualSpacing/>
        <w:rPr>
          <w:sz w:val="24"/>
        </w:rPr>
      </w:pPr>
    </w:p>
    <w:p w:rsidRPr="00BC242A" w:rsidR="00BC242A" w:rsidP="00BC242A" w:rsidRDefault="00BC242A" w14:paraId="3AB138E6" w14:textId="403C0EF3">
      <w:pPr>
        <w:pStyle w:val="Texto"/>
        <w:numPr>
          <w:ilvl w:val="0"/>
          <w:numId w:val="7"/>
        </w:numPr>
        <w:spacing w:before="0" w:after="0" w:line="240" w:lineRule="auto"/>
        <w:ind w:left="993" w:hanging="284"/>
        <w:contextualSpacing/>
        <w:rPr>
          <w:sz w:val="24"/>
        </w:rPr>
      </w:pPr>
      <w:r w:rsidRPr="003C73B1">
        <w:rPr>
          <w:sz w:val="24"/>
        </w:rPr>
        <w:t>Con respecto a la información de los clientes asalariados y pensionados del</w:t>
      </w:r>
      <w:r w:rsidRPr="00BC242A">
        <w:rPr>
          <w:sz w:val="24"/>
        </w:rPr>
        <w:t xml:space="preserve"> Régimen Invalidez, Vejez y Muerte (IVM), serán incluidos en el CICAC a partir del momento en que la S</w:t>
      </w:r>
      <w:r w:rsidR="003043E8">
        <w:rPr>
          <w:sz w:val="24"/>
        </w:rPr>
        <w:t>UGEF</w:t>
      </w:r>
      <w:r w:rsidRPr="00BC242A">
        <w:rPr>
          <w:sz w:val="24"/>
        </w:rPr>
        <w:t xml:space="preserve"> lo comunique.</w:t>
      </w:r>
      <w:r w:rsidR="003043E8">
        <w:rPr>
          <w:sz w:val="24"/>
        </w:rPr>
        <w:t xml:space="preserve"> No obstante, si alguno de estos clientes presenta ingresos adicionales a los anteriores, por montos que igualen o superen los US$5.000 o su equivalente en otras monedas, deberá incorporase su información en CICAC, salvo lo relacionado con el salario y/o pensión</w:t>
      </w:r>
      <w:r w:rsidR="00FC0034">
        <w:rPr>
          <w:sz w:val="24"/>
        </w:rPr>
        <w:t xml:space="preserve"> antes indicada</w:t>
      </w:r>
      <w:r w:rsidR="003043E8">
        <w:rPr>
          <w:sz w:val="24"/>
        </w:rPr>
        <w:t>.</w:t>
      </w:r>
    </w:p>
    <w:p w:rsidRPr="00BC242A" w:rsidR="00BC242A" w:rsidP="00BC242A" w:rsidRDefault="00BC242A" w14:paraId="3BE09BC2" w14:textId="77777777">
      <w:pPr>
        <w:pStyle w:val="Texto"/>
        <w:spacing w:before="0" w:after="0" w:line="240" w:lineRule="auto"/>
        <w:contextualSpacing/>
        <w:rPr>
          <w:sz w:val="24"/>
        </w:rPr>
      </w:pPr>
    </w:p>
    <w:p w:rsidRPr="00BC242A" w:rsidR="00BC242A" w:rsidP="00BC242A" w:rsidRDefault="00BC242A" w14:paraId="32C430E7" w14:textId="7DBB2CDB">
      <w:pPr>
        <w:pStyle w:val="Texto"/>
        <w:numPr>
          <w:ilvl w:val="0"/>
          <w:numId w:val="7"/>
        </w:numPr>
        <w:spacing w:before="0" w:after="0" w:line="240" w:lineRule="auto"/>
        <w:ind w:left="993" w:hanging="284"/>
        <w:contextualSpacing/>
        <w:rPr>
          <w:sz w:val="24"/>
        </w:rPr>
      </w:pPr>
      <w:r w:rsidRPr="00BC242A">
        <w:rPr>
          <w:sz w:val="24"/>
        </w:rPr>
        <w:t xml:space="preserve">Cuando el cliente sea pensionado de un régimen diferente al régimen del IVM, el origen de fondos debe registrarse en el tipo origen de fondos “Otras Pensiones” definido en los </w:t>
      </w:r>
      <w:r w:rsidRPr="00DA31F4" w:rsidR="00417EF8">
        <w:rPr>
          <w:sz w:val="24"/>
        </w:rPr>
        <w:t>Lineamientos operativos para el funcionamiento, acceso y uso del CICAC</w:t>
      </w:r>
      <w:r w:rsidR="00417EF8">
        <w:rPr>
          <w:sz w:val="24"/>
        </w:rPr>
        <w:t>, del Acuerdo S</w:t>
      </w:r>
      <w:r w:rsidR="00A45B42">
        <w:rPr>
          <w:sz w:val="24"/>
        </w:rPr>
        <w:t>ugef</w:t>
      </w:r>
      <w:r w:rsidR="00417EF8">
        <w:rPr>
          <w:sz w:val="24"/>
        </w:rPr>
        <w:t xml:space="preserve"> 35-21 (en adelante Lineamientos operativos del CICAC)</w:t>
      </w:r>
      <w:r w:rsidRPr="00BC242A">
        <w:rPr>
          <w:sz w:val="24"/>
        </w:rPr>
        <w:t xml:space="preserve">. </w:t>
      </w:r>
    </w:p>
    <w:p w:rsidRPr="00BC242A" w:rsidR="00BC242A" w:rsidP="00BC242A" w:rsidRDefault="00BC242A" w14:paraId="2B94D613" w14:textId="77777777">
      <w:pPr>
        <w:pStyle w:val="Texto"/>
        <w:spacing w:before="0" w:after="0" w:line="240" w:lineRule="auto"/>
        <w:ind w:left="709"/>
        <w:contextualSpacing/>
        <w:rPr>
          <w:sz w:val="24"/>
        </w:rPr>
      </w:pPr>
    </w:p>
    <w:p w:rsidRPr="00DA31F4" w:rsidR="00EE1DF1" w:rsidP="00EE1DF1" w:rsidRDefault="00EE1DF1" w14:paraId="4BD442BA" w14:textId="6D218312">
      <w:pPr>
        <w:pStyle w:val="Texto"/>
        <w:numPr>
          <w:ilvl w:val="0"/>
          <w:numId w:val="4"/>
        </w:numPr>
        <w:spacing w:before="0" w:after="0" w:line="240" w:lineRule="auto"/>
        <w:contextualSpacing/>
        <w:rPr>
          <w:sz w:val="24"/>
        </w:rPr>
      </w:pPr>
      <w:r w:rsidRPr="00DA31F4">
        <w:rPr>
          <w:sz w:val="24"/>
        </w:rPr>
        <w:t xml:space="preserve">El sujeto obligado debe cumplir con lo requerido en el Reglamento del Centro de información </w:t>
      </w:r>
      <w:r>
        <w:rPr>
          <w:sz w:val="24"/>
        </w:rPr>
        <w:t>C</w:t>
      </w:r>
      <w:r w:rsidRPr="00DA31F4">
        <w:rPr>
          <w:sz w:val="24"/>
        </w:rPr>
        <w:t xml:space="preserve">onozca a su </w:t>
      </w:r>
      <w:r>
        <w:rPr>
          <w:sz w:val="24"/>
        </w:rPr>
        <w:t>C</w:t>
      </w:r>
      <w:r w:rsidRPr="00DA31F4">
        <w:rPr>
          <w:sz w:val="24"/>
        </w:rPr>
        <w:t>liente (CICAC)</w:t>
      </w:r>
      <w:r w:rsidR="009B2EB3">
        <w:rPr>
          <w:sz w:val="24"/>
        </w:rPr>
        <w:t xml:space="preserve"> </w:t>
      </w:r>
      <w:r w:rsidRPr="00DA31F4">
        <w:rPr>
          <w:sz w:val="24"/>
        </w:rPr>
        <w:t xml:space="preserve">y los Lineamientos operativos del CICAC, en particular con lo establecido en el artículo 15 “Autorizaciones”, inciso a) del Reglamento mencionado, donde se establece que en caso de que el cliente no brinde su autorización o consentimiento informado, el sujeto obligado debe mantener la evidencia sobre </w:t>
      </w:r>
      <w:r w:rsidR="00F370C7">
        <w:rPr>
          <w:sz w:val="24"/>
        </w:rPr>
        <w:t>tal</w:t>
      </w:r>
      <w:r w:rsidRPr="00DA31F4">
        <w:rPr>
          <w:sz w:val="24"/>
        </w:rPr>
        <w:t xml:space="preserve"> decisión del titular de la información. </w:t>
      </w:r>
    </w:p>
    <w:p w:rsidRPr="00B5390B" w:rsidR="00EE1DF1" w:rsidP="00EE1DF1" w:rsidRDefault="00EE1DF1" w14:paraId="2910AF11" w14:textId="77777777">
      <w:pPr>
        <w:pStyle w:val="Texto"/>
        <w:spacing w:before="0" w:after="0" w:line="240" w:lineRule="auto"/>
        <w:ind w:left="720"/>
        <w:contextualSpacing/>
        <w:rPr>
          <w:sz w:val="24"/>
          <w:highlight w:val="yellow"/>
        </w:rPr>
      </w:pPr>
    </w:p>
    <w:p w:rsidR="00EE1DF1" w:rsidP="00EE1DF1" w:rsidRDefault="00EE1DF1" w14:paraId="0018DC52" w14:textId="591912F0">
      <w:pPr>
        <w:numPr>
          <w:ilvl w:val="0"/>
          <w:numId w:val="4"/>
        </w:numPr>
        <w:spacing w:line="240" w:lineRule="auto"/>
        <w:contextualSpacing/>
        <w:outlineLvl w:val="0"/>
        <w:rPr>
          <w:sz w:val="24"/>
          <w:lang w:eastAsia="es-ES"/>
        </w:rPr>
      </w:pPr>
      <w:r w:rsidRPr="003C4A7D">
        <w:rPr>
          <w:sz w:val="24"/>
          <w:lang w:eastAsia="es-ES"/>
        </w:rPr>
        <w:t xml:space="preserve">El sujeto obligado debe designar </w:t>
      </w:r>
      <w:r>
        <w:rPr>
          <w:sz w:val="24"/>
          <w:lang w:eastAsia="es-ES"/>
        </w:rPr>
        <w:t xml:space="preserve">como </w:t>
      </w:r>
      <w:r w:rsidRPr="003C4A7D">
        <w:rPr>
          <w:sz w:val="24"/>
          <w:lang w:eastAsia="es-ES"/>
        </w:rPr>
        <w:t xml:space="preserve">usuarios autorizados </w:t>
      </w:r>
      <w:r>
        <w:rPr>
          <w:sz w:val="24"/>
          <w:lang w:eastAsia="es-ES"/>
        </w:rPr>
        <w:t>del CICAC a las personas que hayan aprobado la capacitación certificada impartida por la SUGEF y podrá designar otros usuarios que hayan sido debidamente capacitados por cada entidad financiera por parte de los usuarios certificados, condición que debe ser validada de previo por el sujeto obligado; esto con el fin de garantizar que el usuario autorizado posea los conocimientos necesarios para ingresar y hacer uso correcto del CICAC. En todo caso</w:t>
      </w:r>
      <w:r w:rsidR="00EF31BA">
        <w:rPr>
          <w:sz w:val="24"/>
          <w:lang w:eastAsia="es-ES"/>
        </w:rPr>
        <w:t>,</w:t>
      </w:r>
      <w:r>
        <w:rPr>
          <w:sz w:val="24"/>
          <w:lang w:eastAsia="es-ES"/>
        </w:rPr>
        <w:t xml:space="preserve"> los sujetos obligados son responsables por la incorporación y el uso de la información en el CICAC por parte de los usuarios autorizados.</w:t>
      </w:r>
    </w:p>
    <w:p w:rsidR="00EE1DF1" w:rsidP="00EE1DF1" w:rsidRDefault="00EE1DF1" w14:paraId="54C8F1A8" w14:textId="77777777">
      <w:pPr>
        <w:spacing w:line="240" w:lineRule="auto"/>
        <w:ind w:left="720"/>
        <w:contextualSpacing/>
        <w:outlineLvl w:val="0"/>
        <w:rPr>
          <w:sz w:val="24"/>
          <w:lang w:eastAsia="es-ES"/>
        </w:rPr>
      </w:pPr>
    </w:p>
    <w:p w:rsidR="00EE1DF1" w:rsidP="00EE1DF1" w:rsidRDefault="00EE1DF1" w14:paraId="3BEB98E4" w14:textId="62BF9FF2">
      <w:pPr>
        <w:pStyle w:val="Texto"/>
        <w:numPr>
          <w:ilvl w:val="0"/>
          <w:numId w:val="4"/>
        </w:numPr>
        <w:spacing w:before="0" w:after="0" w:line="240" w:lineRule="auto"/>
        <w:contextualSpacing/>
        <w:rPr>
          <w:sz w:val="24"/>
        </w:rPr>
      </w:pPr>
      <w:r w:rsidRPr="00391BA0">
        <w:rPr>
          <w:sz w:val="24"/>
        </w:rPr>
        <w:lastRenderedPageBreak/>
        <w:t xml:space="preserve">El sujeto obligado debe gestionar los permisos de los usuarios en el </w:t>
      </w:r>
      <w:r w:rsidRPr="00391BA0">
        <w:rPr>
          <w:sz w:val="24"/>
          <w:lang w:eastAsia="es-ES"/>
        </w:rPr>
        <w:t>Servicio de Administración de Esquemas de Seguridad (AES)</w:t>
      </w:r>
      <w:r>
        <w:rPr>
          <w:sz w:val="24"/>
          <w:lang w:eastAsia="es-ES"/>
        </w:rPr>
        <w:t xml:space="preserve"> </w:t>
      </w:r>
      <w:r w:rsidR="00BC242A">
        <w:rPr>
          <w:sz w:val="24"/>
          <w:lang w:eastAsia="es-ES"/>
        </w:rPr>
        <w:t xml:space="preserve">de la SUGEF, </w:t>
      </w:r>
      <w:r>
        <w:rPr>
          <w:sz w:val="24"/>
          <w:lang w:eastAsia="es-ES"/>
        </w:rPr>
        <w:t xml:space="preserve">de la siguiente forma: </w:t>
      </w:r>
    </w:p>
    <w:p w:rsidR="00EE1DF1" w:rsidP="00EE1DF1" w:rsidRDefault="00EE1DF1" w14:paraId="585548A8" w14:textId="77777777">
      <w:pPr>
        <w:pStyle w:val="Prrafodelista"/>
        <w:rPr>
          <w:sz w:val="24"/>
          <w:lang w:eastAsia="es-ES"/>
        </w:rPr>
      </w:pPr>
    </w:p>
    <w:p w:rsidR="00EE1DF1" w:rsidP="00EE1DF1" w:rsidRDefault="00EE1DF1" w14:paraId="5AD12919" w14:textId="33E20E4A">
      <w:pPr>
        <w:pStyle w:val="Texto"/>
        <w:spacing w:before="0" w:after="0" w:line="240" w:lineRule="auto"/>
        <w:ind w:left="720"/>
        <w:contextualSpacing/>
        <w:rPr>
          <w:sz w:val="24"/>
          <w:lang w:eastAsia="es-ES"/>
        </w:rPr>
      </w:pPr>
      <w:r w:rsidRPr="0025741F">
        <w:rPr>
          <w:b/>
          <w:bCs/>
          <w:sz w:val="24"/>
          <w:lang w:eastAsia="es-ES"/>
        </w:rPr>
        <w:t>Etapa 1:</w:t>
      </w:r>
      <w:r w:rsidRPr="0025741F">
        <w:rPr>
          <w:sz w:val="24"/>
          <w:lang w:eastAsia="es-ES"/>
        </w:rPr>
        <w:t xml:space="preserve"> a partir del </w:t>
      </w:r>
      <w:r>
        <w:rPr>
          <w:sz w:val="24"/>
          <w:lang w:eastAsia="es-ES"/>
        </w:rPr>
        <w:t xml:space="preserve">2 </w:t>
      </w:r>
      <w:r w:rsidRPr="0025741F">
        <w:rPr>
          <w:sz w:val="24"/>
          <w:lang w:eastAsia="es-ES"/>
        </w:rPr>
        <w:t xml:space="preserve">de </w:t>
      </w:r>
      <w:r>
        <w:rPr>
          <w:sz w:val="24"/>
          <w:lang w:eastAsia="es-ES"/>
        </w:rPr>
        <w:t>mayo</w:t>
      </w:r>
      <w:r w:rsidRPr="0025741F">
        <w:rPr>
          <w:sz w:val="24"/>
          <w:lang w:eastAsia="es-ES"/>
        </w:rPr>
        <w:t xml:space="preserve"> del 2022 el módulo de autorizaciones y a partir del 1</w:t>
      </w:r>
      <w:r>
        <w:rPr>
          <w:sz w:val="24"/>
          <w:lang w:eastAsia="es-ES"/>
        </w:rPr>
        <w:t xml:space="preserve">º </w:t>
      </w:r>
      <w:r w:rsidRPr="0025741F">
        <w:rPr>
          <w:sz w:val="24"/>
          <w:lang w:eastAsia="es-ES"/>
        </w:rPr>
        <w:t xml:space="preserve">de julio del 2022 el servicio </w:t>
      </w:r>
      <w:r w:rsidR="00BC242A">
        <w:rPr>
          <w:sz w:val="24"/>
          <w:lang w:eastAsia="es-ES"/>
        </w:rPr>
        <w:t xml:space="preserve">completo </w:t>
      </w:r>
      <w:r w:rsidRPr="0025741F">
        <w:rPr>
          <w:sz w:val="24"/>
          <w:lang w:eastAsia="es-ES"/>
        </w:rPr>
        <w:t>del CICAC.</w:t>
      </w:r>
    </w:p>
    <w:p w:rsidRPr="0025741F" w:rsidR="00EE1DF1" w:rsidP="00EE1DF1" w:rsidRDefault="00EE1DF1" w14:paraId="25229CA5" w14:textId="77777777">
      <w:pPr>
        <w:pStyle w:val="Texto"/>
        <w:spacing w:before="0" w:after="0" w:line="240" w:lineRule="auto"/>
        <w:ind w:left="720"/>
        <w:contextualSpacing/>
        <w:rPr>
          <w:sz w:val="24"/>
          <w:lang w:eastAsia="es-ES"/>
        </w:rPr>
      </w:pPr>
    </w:p>
    <w:p w:rsidRPr="0025741F" w:rsidR="00EE1DF1" w:rsidP="00EE1DF1" w:rsidRDefault="00EE1DF1" w14:paraId="3BE02362" w14:textId="13CCDDBE">
      <w:pPr>
        <w:pStyle w:val="Texto"/>
        <w:spacing w:before="0" w:after="0" w:line="240" w:lineRule="auto"/>
        <w:ind w:left="720"/>
        <w:contextualSpacing/>
        <w:rPr>
          <w:sz w:val="24"/>
          <w:lang w:eastAsia="es-ES"/>
        </w:rPr>
      </w:pPr>
      <w:r w:rsidRPr="0025741F">
        <w:rPr>
          <w:b/>
          <w:bCs/>
          <w:sz w:val="24"/>
          <w:lang w:eastAsia="es-ES"/>
        </w:rPr>
        <w:t>Etapa 2:</w:t>
      </w:r>
      <w:r w:rsidRPr="0025741F">
        <w:rPr>
          <w:sz w:val="24"/>
          <w:lang w:eastAsia="es-ES"/>
        </w:rPr>
        <w:t xml:space="preserve"> a partir del </w:t>
      </w:r>
      <w:r>
        <w:rPr>
          <w:sz w:val="24"/>
          <w:lang w:eastAsia="es-ES"/>
        </w:rPr>
        <w:t xml:space="preserve">1º </w:t>
      </w:r>
      <w:r w:rsidRPr="0025741F">
        <w:rPr>
          <w:sz w:val="24"/>
          <w:lang w:eastAsia="es-ES"/>
        </w:rPr>
        <w:t xml:space="preserve">de </w:t>
      </w:r>
      <w:r>
        <w:rPr>
          <w:sz w:val="24"/>
          <w:lang w:eastAsia="es-ES"/>
        </w:rPr>
        <w:t>nov</w:t>
      </w:r>
      <w:r w:rsidRPr="0025741F">
        <w:rPr>
          <w:sz w:val="24"/>
          <w:lang w:eastAsia="es-ES"/>
        </w:rPr>
        <w:t>iembre del 202</w:t>
      </w:r>
      <w:r>
        <w:rPr>
          <w:sz w:val="24"/>
          <w:lang w:eastAsia="es-ES"/>
        </w:rPr>
        <w:t>3</w:t>
      </w:r>
      <w:r w:rsidRPr="0025741F">
        <w:rPr>
          <w:sz w:val="24"/>
          <w:lang w:eastAsia="es-ES"/>
        </w:rPr>
        <w:t>, el módulo de autorizaciones y a partir del 2 de enero del 202</w:t>
      </w:r>
      <w:r>
        <w:rPr>
          <w:sz w:val="24"/>
          <w:lang w:eastAsia="es-ES"/>
        </w:rPr>
        <w:t>4</w:t>
      </w:r>
      <w:r w:rsidRPr="0025741F">
        <w:rPr>
          <w:sz w:val="24"/>
          <w:lang w:eastAsia="es-ES"/>
        </w:rPr>
        <w:t xml:space="preserve"> el servicio </w:t>
      </w:r>
      <w:r w:rsidRPr="0025741F" w:rsidR="00BC242A">
        <w:rPr>
          <w:sz w:val="24"/>
          <w:lang w:eastAsia="es-ES"/>
        </w:rPr>
        <w:t xml:space="preserve">completo </w:t>
      </w:r>
      <w:r w:rsidRPr="0025741F">
        <w:rPr>
          <w:sz w:val="24"/>
          <w:lang w:eastAsia="es-ES"/>
        </w:rPr>
        <w:t>del CICAC.</w:t>
      </w:r>
    </w:p>
    <w:p w:rsidRPr="0025741F" w:rsidR="00EE1DF1" w:rsidP="00EE1DF1" w:rsidRDefault="00EE1DF1" w14:paraId="20BA3E58" w14:textId="77777777">
      <w:pPr>
        <w:pStyle w:val="Texto"/>
        <w:spacing w:before="0" w:after="0" w:line="240" w:lineRule="auto"/>
        <w:ind w:left="720"/>
        <w:contextualSpacing/>
        <w:rPr>
          <w:sz w:val="24"/>
          <w:lang w:eastAsia="es-ES"/>
        </w:rPr>
      </w:pPr>
    </w:p>
    <w:p w:rsidRPr="006D116F" w:rsidR="00EE1DF1" w:rsidP="00EE1DF1" w:rsidRDefault="00EE1DF1" w14:paraId="23F68459" w14:textId="60CE22A7">
      <w:pPr>
        <w:numPr>
          <w:ilvl w:val="0"/>
          <w:numId w:val="4"/>
        </w:numPr>
        <w:spacing w:line="240" w:lineRule="auto"/>
        <w:contextualSpacing/>
        <w:outlineLvl w:val="0"/>
        <w:rPr>
          <w:sz w:val="24"/>
          <w:lang w:eastAsia="es-ES"/>
        </w:rPr>
      </w:pPr>
      <w:r>
        <w:rPr>
          <w:sz w:val="24"/>
          <w:lang w:eastAsia="es-ES"/>
        </w:rPr>
        <w:t>P</w:t>
      </w:r>
      <w:r w:rsidRPr="003C4A7D">
        <w:rPr>
          <w:sz w:val="24"/>
          <w:lang w:eastAsia="es-ES"/>
        </w:rPr>
        <w:t xml:space="preserve">ara designar los perfiles de los usuarios, </w:t>
      </w:r>
      <w:r>
        <w:rPr>
          <w:sz w:val="24"/>
          <w:lang w:eastAsia="es-ES"/>
        </w:rPr>
        <w:t xml:space="preserve">se </w:t>
      </w:r>
      <w:r w:rsidRPr="003C4A7D">
        <w:rPr>
          <w:sz w:val="24"/>
          <w:lang w:eastAsia="es-ES"/>
        </w:rPr>
        <w:t>debe gestionar los permisos mediante el Servicio de Administración de Esquemas de Seguridad (AES) de</w:t>
      </w:r>
      <w:r>
        <w:rPr>
          <w:sz w:val="24"/>
          <w:lang w:eastAsia="es-ES"/>
        </w:rPr>
        <w:t xml:space="preserve"> la S</w:t>
      </w:r>
      <w:r w:rsidR="006202CF">
        <w:rPr>
          <w:sz w:val="24"/>
          <w:lang w:eastAsia="es-ES"/>
        </w:rPr>
        <w:t>ugef</w:t>
      </w:r>
      <w:r>
        <w:rPr>
          <w:sz w:val="24"/>
          <w:lang w:eastAsia="es-ES"/>
        </w:rPr>
        <w:t>.</w:t>
      </w:r>
    </w:p>
    <w:p w:rsidR="00EE1DF1" w:rsidP="00EE1DF1" w:rsidRDefault="00EE1DF1" w14:paraId="433FFDA8" w14:textId="77777777">
      <w:pPr>
        <w:pStyle w:val="Texto"/>
        <w:spacing w:before="0" w:after="0" w:line="240" w:lineRule="auto"/>
        <w:ind w:left="720"/>
        <w:contextualSpacing/>
        <w:rPr>
          <w:sz w:val="24"/>
          <w:lang w:eastAsia="es-ES"/>
        </w:rPr>
      </w:pPr>
    </w:p>
    <w:p w:rsidRPr="00391BA0" w:rsidR="00EE1DF1" w:rsidP="00EE1DF1" w:rsidRDefault="00EE1DF1" w14:paraId="08F30022" w14:textId="62C7F7EC">
      <w:pPr>
        <w:pStyle w:val="Texto"/>
        <w:spacing w:before="0" w:after="0" w:line="240" w:lineRule="auto"/>
        <w:ind w:left="720"/>
        <w:contextualSpacing/>
        <w:rPr>
          <w:sz w:val="24"/>
        </w:rPr>
      </w:pPr>
      <w:r w:rsidRPr="0025741F">
        <w:rPr>
          <w:sz w:val="24"/>
          <w:lang w:eastAsia="es-ES"/>
        </w:rPr>
        <w:t xml:space="preserve">Los perfiles vigentes a la fecha de esta </w:t>
      </w:r>
      <w:r>
        <w:rPr>
          <w:sz w:val="24"/>
          <w:lang w:eastAsia="es-ES"/>
        </w:rPr>
        <w:t>Resolución</w:t>
      </w:r>
      <w:r w:rsidRPr="0025741F">
        <w:rPr>
          <w:sz w:val="24"/>
          <w:lang w:eastAsia="es-ES"/>
        </w:rPr>
        <w:t xml:space="preserve"> son los que se detallan a continuación, no obstante, el sujeto obligado deber verificar </w:t>
      </w:r>
      <w:r>
        <w:rPr>
          <w:sz w:val="24"/>
          <w:lang w:eastAsia="es-ES"/>
        </w:rPr>
        <w:t>en la página web de la S</w:t>
      </w:r>
      <w:r w:rsidR="003E215D">
        <w:rPr>
          <w:sz w:val="24"/>
          <w:lang w:eastAsia="es-ES"/>
        </w:rPr>
        <w:t>ugef</w:t>
      </w:r>
      <w:r>
        <w:rPr>
          <w:sz w:val="24"/>
          <w:lang w:eastAsia="es-ES"/>
        </w:rPr>
        <w:t xml:space="preserve">, </w:t>
      </w:r>
      <w:r w:rsidRPr="0025741F">
        <w:rPr>
          <w:sz w:val="24"/>
          <w:lang w:eastAsia="es-ES"/>
        </w:rPr>
        <w:t xml:space="preserve">en los Lineamientos operativos </w:t>
      </w:r>
      <w:r w:rsidR="00417EF8">
        <w:rPr>
          <w:sz w:val="24"/>
          <w:lang w:eastAsia="es-ES"/>
        </w:rPr>
        <w:t xml:space="preserve">del </w:t>
      </w:r>
      <w:r w:rsidRPr="0025741F">
        <w:rPr>
          <w:sz w:val="24"/>
          <w:lang w:eastAsia="es-ES"/>
        </w:rPr>
        <w:t>CICAC</w:t>
      </w:r>
      <w:r>
        <w:rPr>
          <w:sz w:val="24"/>
          <w:lang w:eastAsia="es-ES"/>
        </w:rPr>
        <w:t>,</w:t>
      </w:r>
      <w:r w:rsidRPr="0025741F">
        <w:rPr>
          <w:sz w:val="24"/>
          <w:lang w:eastAsia="es-ES"/>
        </w:rPr>
        <w:t xml:space="preserve"> los perfiles vigentes para el período en que debe gestionar los permisos para los usuarios.</w:t>
      </w:r>
      <w:r w:rsidRPr="00391BA0">
        <w:rPr>
          <w:sz w:val="24"/>
          <w:lang w:eastAsia="es-ES"/>
        </w:rPr>
        <w:t xml:space="preserve"> </w:t>
      </w:r>
    </w:p>
    <w:p w:rsidRPr="005B4B89" w:rsidR="00EE1DF1" w:rsidP="00EE1DF1" w:rsidRDefault="00EE1DF1" w14:paraId="6D58D39E" w14:textId="77777777">
      <w:pPr>
        <w:spacing w:line="240" w:lineRule="auto"/>
        <w:contextualSpacing/>
        <w:rPr>
          <w:sz w:val="24"/>
        </w:rPr>
      </w:pPr>
    </w:p>
    <w:tbl>
      <w:tblPr>
        <w:tblStyle w:val="Tablaconcuadrcula1clara-nfasis1"/>
        <w:tblW w:w="9493" w:type="dxa"/>
        <w:tblLook w:val="04A0" w:firstRow="1" w:lastRow="0" w:firstColumn="1" w:lastColumn="0" w:noHBand="0" w:noVBand="1"/>
      </w:tblPr>
      <w:tblGrid>
        <w:gridCol w:w="3024"/>
        <w:gridCol w:w="4247"/>
        <w:gridCol w:w="2222"/>
      </w:tblGrid>
      <w:tr w:rsidRPr="00951B5F" w:rsidR="00EE1DF1" w:rsidTr="00951B5F" w14:paraId="723954EE" w14:textId="7777777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024" w:type="dxa"/>
            <w:hideMark/>
          </w:tcPr>
          <w:p w:rsidRPr="00951B5F" w:rsidR="00EE1DF1" w:rsidP="003B72F9" w:rsidRDefault="00EE1DF1" w14:paraId="03BB483E" w14:textId="77777777">
            <w:pPr>
              <w:spacing w:line="240" w:lineRule="auto"/>
              <w:contextualSpacing/>
              <w:jc w:val="center"/>
              <w:rPr>
                <w:rFonts w:cs="Calibri"/>
                <w:color w:val="000000"/>
                <w:szCs w:val="22"/>
                <w:lang w:val="es-CR" w:eastAsia="es-CR"/>
              </w:rPr>
            </w:pPr>
            <w:r w:rsidRPr="00951B5F">
              <w:rPr>
                <w:rFonts w:cs="Calibri"/>
                <w:color w:val="000000"/>
                <w:szCs w:val="22"/>
                <w:lang w:val="es-CR" w:eastAsia="es-CR"/>
              </w:rPr>
              <w:t>Nombre en AES</w:t>
            </w:r>
          </w:p>
        </w:tc>
        <w:tc>
          <w:tcPr>
            <w:tcW w:w="4247" w:type="dxa"/>
          </w:tcPr>
          <w:p w:rsidRPr="00951B5F" w:rsidR="00EE1DF1" w:rsidP="003B72F9" w:rsidRDefault="007D4F44" w14:paraId="42CF1F1B" w14:textId="4996A6E4">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cs="Calibri"/>
                <w:color w:val="000000"/>
                <w:szCs w:val="22"/>
                <w:lang w:val="es-CR" w:eastAsia="es-CR"/>
              </w:rPr>
            </w:pPr>
            <w:r>
              <w:rPr>
                <w:rFonts w:cs="Calibri"/>
                <w:color w:val="000000"/>
                <w:szCs w:val="22"/>
                <w:lang w:val="es-CR" w:eastAsia="es-CR"/>
              </w:rPr>
              <w:t xml:space="preserve">Perfil que permite al usuario del sujeto obligado </w:t>
            </w:r>
          </w:p>
        </w:tc>
        <w:tc>
          <w:tcPr>
            <w:tcW w:w="2222" w:type="dxa"/>
            <w:hideMark/>
          </w:tcPr>
          <w:p w:rsidRPr="00951B5F" w:rsidR="00EE1DF1" w:rsidP="003B72F9" w:rsidRDefault="00EE1DF1" w14:paraId="1EE92B92" w14:textId="77777777">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cs="Calibri"/>
                <w:color w:val="000000"/>
                <w:szCs w:val="22"/>
                <w:lang w:val="es-CR" w:eastAsia="es-CR"/>
              </w:rPr>
            </w:pPr>
            <w:r w:rsidRPr="00951B5F">
              <w:rPr>
                <w:rFonts w:cs="Calibri"/>
                <w:color w:val="000000"/>
                <w:szCs w:val="22"/>
                <w:lang w:val="es-CR" w:eastAsia="es-CR"/>
              </w:rPr>
              <w:t>Opción</w:t>
            </w:r>
          </w:p>
        </w:tc>
      </w:tr>
      <w:tr w:rsidRPr="00951B5F" w:rsidR="00EE1DF1" w:rsidTr="00951B5F" w14:paraId="0378B00A"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tcPr>
          <w:p w:rsidRPr="00951B5F" w:rsidR="00EE1DF1" w:rsidP="003B72F9" w:rsidRDefault="00951B5F" w14:paraId="1C7C26F3" w14:textId="07903A67">
            <w:pPr>
              <w:spacing w:line="240" w:lineRule="auto"/>
              <w:contextualSpacing/>
              <w:jc w:val="left"/>
              <w:rPr>
                <w:rFonts w:cs="Calibri"/>
                <w:b w:val="0"/>
                <w:bCs w:val="0"/>
                <w:szCs w:val="22"/>
                <w:lang w:val="es-CR" w:eastAsia="es-CR"/>
              </w:rPr>
            </w:pPr>
            <w:r w:rsidRPr="00951B5F">
              <w:rPr>
                <w:rFonts w:cs="Calibri"/>
                <w:b w:val="0"/>
                <w:bCs w:val="0"/>
                <w:szCs w:val="22"/>
                <w:lang w:val="es-CR" w:eastAsia="es-CR"/>
              </w:rPr>
              <w:t>Encargado de solicitar autorizaciones</w:t>
            </w:r>
          </w:p>
        </w:tc>
        <w:tc>
          <w:tcPr>
            <w:tcW w:w="4247" w:type="dxa"/>
          </w:tcPr>
          <w:p w:rsidRPr="00951B5F" w:rsidR="00EE1DF1" w:rsidP="003B72F9" w:rsidRDefault="007D4F44" w14:paraId="61EEEEC0" w14:textId="522FFEB2">
            <w:p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Pr>
                <w:rFonts w:cs="Calibri"/>
                <w:szCs w:val="22"/>
                <w:lang w:val="es-CR" w:eastAsia="es-CR"/>
              </w:rPr>
              <w:t>S</w:t>
            </w:r>
            <w:r w:rsidRPr="00951B5F" w:rsidR="00951B5F">
              <w:rPr>
                <w:rFonts w:cs="Calibri"/>
                <w:szCs w:val="22"/>
                <w:lang w:val="es-CR" w:eastAsia="es-CR"/>
              </w:rPr>
              <w:t xml:space="preserve">olicitar y aprobar al cliente la autorización de consulta. </w:t>
            </w:r>
          </w:p>
        </w:tc>
        <w:tc>
          <w:tcPr>
            <w:tcW w:w="2222" w:type="dxa"/>
          </w:tcPr>
          <w:p w:rsidRPr="00951B5F" w:rsidR="00EE1DF1" w:rsidP="003B72F9" w:rsidRDefault="00951B5F" w14:paraId="264A179D" w14:textId="51602C39">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51B5F">
              <w:rPr>
                <w:rFonts w:cs="Calibri"/>
                <w:szCs w:val="22"/>
                <w:lang w:val="es-CR" w:eastAsia="es-CR"/>
              </w:rPr>
              <w:t>Autorizaciones</w:t>
            </w:r>
          </w:p>
        </w:tc>
      </w:tr>
      <w:tr w:rsidRPr="00951B5F" w:rsidR="00951B5F" w:rsidTr="00951B5F" w14:paraId="3AC6A489"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tcPr>
          <w:p w:rsidRPr="00951B5F" w:rsidR="00951B5F" w:rsidP="00951B5F" w:rsidRDefault="00951B5F" w14:paraId="789BF909" w14:textId="0D0CA3E9">
            <w:pPr>
              <w:spacing w:line="240" w:lineRule="auto"/>
              <w:contextualSpacing/>
              <w:jc w:val="left"/>
              <w:rPr>
                <w:rFonts w:cs="Calibri"/>
                <w:b w:val="0"/>
                <w:bCs w:val="0"/>
                <w:szCs w:val="22"/>
                <w:lang w:val="es-CR" w:eastAsia="es-CR"/>
              </w:rPr>
            </w:pPr>
            <w:r w:rsidRPr="00951B5F">
              <w:rPr>
                <w:rFonts w:cs="Calibri"/>
                <w:b w:val="0"/>
                <w:bCs w:val="0"/>
                <w:szCs w:val="22"/>
                <w:lang w:val="es-CR" w:eastAsia="es-CR"/>
              </w:rPr>
              <w:t>Consultante de autorizaciones del cliente</w:t>
            </w:r>
          </w:p>
        </w:tc>
        <w:tc>
          <w:tcPr>
            <w:tcW w:w="4247" w:type="dxa"/>
          </w:tcPr>
          <w:p w:rsidRPr="00951B5F" w:rsidR="00951B5F" w:rsidP="00951B5F" w:rsidRDefault="007D4F44" w14:paraId="12ADD837" w14:textId="1934E354">
            <w:p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Pr>
                <w:rFonts w:cs="Calibri"/>
                <w:szCs w:val="22"/>
                <w:lang w:val="es-CR" w:eastAsia="es-CR"/>
              </w:rPr>
              <w:t>R</w:t>
            </w:r>
            <w:r w:rsidRPr="00951B5F" w:rsidR="00951B5F">
              <w:rPr>
                <w:rFonts w:cs="Calibri"/>
                <w:szCs w:val="22"/>
                <w:lang w:val="es-CR" w:eastAsia="es-CR"/>
              </w:rPr>
              <w:t>evisar las autorizaciones de consultas otorgadas por el cliente y registradas en el expediente conozca a su cliente y en la bitácora de consulta del módulo de autorizaciones.</w:t>
            </w:r>
          </w:p>
        </w:tc>
        <w:tc>
          <w:tcPr>
            <w:tcW w:w="2222" w:type="dxa"/>
          </w:tcPr>
          <w:p w:rsidRPr="00951B5F" w:rsidR="00951B5F" w:rsidP="00951B5F" w:rsidRDefault="00951B5F" w14:paraId="324C78E5" w14:textId="3BDB860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51B5F">
              <w:rPr>
                <w:rFonts w:cs="Calibri"/>
                <w:szCs w:val="22"/>
                <w:lang w:val="es-CR" w:eastAsia="es-CR"/>
              </w:rPr>
              <w:t>Autorizaciones</w:t>
            </w:r>
          </w:p>
        </w:tc>
      </w:tr>
      <w:tr w:rsidRPr="00951B5F" w:rsidR="00951B5F" w:rsidTr="00951B5F" w14:paraId="11F6E140"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tcPr>
          <w:p w:rsidRPr="00951B5F" w:rsidR="00951B5F" w:rsidP="00951B5F" w:rsidRDefault="00951B5F" w14:paraId="304366F0" w14:textId="760AD529">
            <w:pPr>
              <w:spacing w:line="240" w:lineRule="auto"/>
              <w:contextualSpacing/>
              <w:jc w:val="left"/>
              <w:rPr>
                <w:rFonts w:cs="Calibri"/>
                <w:szCs w:val="22"/>
                <w:lang w:val="es-CR" w:eastAsia="es-CR"/>
              </w:rPr>
            </w:pPr>
            <w:r w:rsidRPr="00951B5F">
              <w:rPr>
                <w:rFonts w:cs="Calibri"/>
                <w:b w:val="0"/>
                <w:bCs w:val="0"/>
                <w:szCs w:val="22"/>
                <w:lang w:val="es-CR" w:eastAsia="es-CR"/>
              </w:rPr>
              <w:t xml:space="preserve">Digitador de conozca a su cliente </w:t>
            </w:r>
          </w:p>
        </w:tc>
        <w:tc>
          <w:tcPr>
            <w:tcW w:w="4247" w:type="dxa"/>
          </w:tcPr>
          <w:p w:rsidRPr="00951B5F" w:rsidR="00951B5F" w:rsidP="00951B5F" w:rsidRDefault="007D4F44" w14:paraId="24D0C720" w14:textId="6BDEEDB2">
            <w:p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Pr>
                <w:rFonts w:cs="Calibri"/>
                <w:szCs w:val="22"/>
                <w:lang w:val="es-CR" w:eastAsia="es-CR"/>
              </w:rPr>
              <w:t>C</w:t>
            </w:r>
            <w:r w:rsidRPr="00951B5F" w:rsidR="00951B5F">
              <w:rPr>
                <w:rFonts w:cs="Calibri"/>
                <w:szCs w:val="22"/>
                <w:lang w:val="es-CR" w:eastAsia="es-CR"/>
              </w:rPr>
              <w:t>rear y modificar la información contenida en el expediente conozca a su cliente.</w:t>
            </w:r>
          </w:p>
        </w:tc>
        <w:tc>
          <w:tcPr>
            <w:tcW w:w="2222" w:type="dxa"/>
          </w:tcPr>
          <w:p w:rsidRPr="00951B5F" w:rsidR="00951B5F" w:rsidP="00951B5F" w:rsidRDefault="00951B5F" w14:paraId="7873EA77" w14:textId="6114611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51B5F">
              <w:rPr>
                <w:rFonts w:cs="Calibri"/>
                <w:szCs w:val="22"/>
                <w:lang w:val="es-CR" w:eastAsia="es-CR"/>
              </w:rPr>
              <w:t>Registrar cliente</w:t>
            </w:r>
          </w:p>
        </w:tc>
      </w:tr>
      <w:tr w:rsidRPr="00951B5F" w:rsidR="00951B5F" w:rsidTr="00951B5F" w14:paraId="4CEEDD1E"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tcPr>
          <w:p w:rsidRPr="00951B5F" w:rsidR="00951B5F" w:rsidP="00951B5F" w:rsidRDefault="00951B5F" w14:paraId="1DB23A29" w14:textId="2F0B664E">
            <w:pPr>
              <w:spacing w:line="240" w:lineRule="auto"/>
              <w:contextualSpacing/>
              <w:jc w:val="left"/>
              <w:rPr>
                <w:rFonts w:cs="Calibri"/>
                <w:szCs w:val="22"/>
                <w:lang w:val="es-CR" w:eastAsia="es-CR"/>
              </w:rPr>
            </w:pPr>
            <w:r w:rsidRPr="00951B5F">
              <w:rPr>
                <w:rFonts w:cs="Calibri"/>
                <w:b w:val="0"/>
                <w:bCs w:val="0"/>
                <w:szCs w:val="22"/>
                <w:lang w:val="es-CR" w:eastAsia="es-CR"/>
              </w:rPr>
              <w:t>Consultante de expediente del cliente</w:t>
            </w:r>
          </w:p>
        </w:tc>
        <w:tc>
          <w:tcPr>
            <w:tcW w:w="4247" w:type="dxa"/>
          </w:tcPr>
          <w:p w:rsidRPr="00951B5F" w:rsidR="00951B5F" w:rsidP="00951B5F" w:rsidRDefault="007D4F44" w14:paraId="596E0139" w14:textId="67FFD102">
            <w:p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Pr>
                <w:rFonts w:cs="Calibri"/>
                <w:szCs w:val="22"/>
                <w:lang w:val="es-CR" w:eastAsia="es-CR"/>
              </w:rPr>
              <w:t>C</w:t>
            </w:r>
            <w:r w:rsidRPr="00951B5F" w:rsidR="00951B5F">
              <w:rPr>
                <w:rFonts w:cs="Calibri"/>
                <w:szCs w:val="22"/>
                <w:lang w:val="es-CR" w:eastAsia="es-CR"/>
              </w:rPr>
              <w:t xml:space="preserve">onsultar la información contenida en el expediente conozca a su cliente. </w:t>
            </w:r>
          </w:p>
        </w:tc>
        <w:tc>
          <w:tcPr>
            <w:tcW w:w="2222" w:type="dxa"/>
          </w:tcPr>
          <w:p w:rsidRPr="00951B5F" w:rsidR="00951B5F" w:rsidP="00951B5F" w:rsidRDefault="00951B5F" w14:paraId="6C31C8BD" w14:textId="08708DEA">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51B5F">
              <w:rPr>
                <w:rFonts w:cs="Calibri"/>
                <w:szCs w:val="22"/>
                <w:lang w:val="es-CR" w:eastAsia="es-CR"/>
              </w:rPr>
              <w:t>Expediente del cliente</w:t>
            </w:r>
          </w:p>
        </w:tc>
      </w:tr>
      <w:tr w:rsidRPr="00951B5F" w:rsidR="00951B5F" w:rsidTr="00951B5F" w14:paraId="5073FDFE"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tcPr>
          <w:p w:rsidRPr="00951B5F" w:rsidR="00951B5F" w:rsidP="00951B5F" w:rsidRDefault="00951B5F" w14:paraId="1D985BC2" w14:textId="29CAACE5">
            <w:pPr>
              <w:spacing w:line="240" w:lineRule="auto"/>
              <w:contextualSpacing/>
              <w:jc w:val="left"/>
              <w:rPr>
                <w:rFonts w:cs="Calibri"/>
                <w:szCs w:val="22"/>
                <w:lang w:val="es-CR" w:eastAsia="es-CR"/>
              </w:rPr>
            </w:pPr>
            <w:r w:rsidRPr="00951B5F">
              <w:rPr>
                <w:rFonts w:cs="Calibri"/>
                <w:b w:val="0"/>
                <w:bCs w:val="0"/>
                <w:szCs w:val="22"/>
                <w:lang w:val="es-CR" w:eastAsia="es-CR"/>
              </w:rPr>
              <w:t>Digitador de Evidencias del cliente</w:t>
            </w:r>
          </w:p>
        </w:tc>
        <w:tc>
          <w:tcPr>
            <w:tcW w:w="4247" w:type="dxa"/>
          </w:tcPr>
          <w:p w:rsidRPr="00951B5F" w:rsidR="00951B5F" w:rsidP="00951B5F" w:rsidRDefault="007D4F44" w14:paraId="7904E715" w14:textId="59CECFA7">
            <w:p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Pr>
                <w:rFonts w:cs="Calibri"/>
                <w:szCs w:val="22"/>
                <w:lang w:val="es-CR" w:eastAsia="es-CR"/>
              </w:rPr>
              <w:t>S</w:t>
            </w:r>
            <w:r w:rsidRPr="00951B5F" w:rsidR="00951B5F">
              <w:rPr>
                <w:rFonts w:cs="Calibri"/>
                <w:szCs w:val="22"/>
                <w:lang w:val="es-CR" w:eastAsia="es-CR"/>
              </w:rPr>
              <w:t>ubir y asociar en el CICAC la evidencia que respalda a los orígenes de fondos.</w:t>
            </w:r>
          </w:p>
        </w:tc>
        <w:tc>
          <w:tcPr>
            <w:tcW w:w="2222" w:type="dxa"/>
          </w:tcPr>
          <w:p w:rsidRPr="00951B5F" w:rsidR="00951B5F" w:rsidP="00951B5F" w:rsidRDefault="00951B5F" w14:paraId="4C220704" w14:textId="3F84BD0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51B5F">
              <w:rPr>
                <w:rFonts w:cs="Calibri"/>
                <w:szCs w:val="22"/>
                <w:lang w:val="es-CR" w:eastAsia="es-CR"/>
              </w:rPr>
              <w:t>Evidencia origen de fondos</w:t>
            </w:r>
          </w:p>
        </w:tc>
      </w:tr>
      <w:tr w:rsidRPr="00951B5F" w:rsidR="00951B5F" w:rsidTr="00951B5F" w14:paraId="60208BCA"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tcPr>
          <w:p w:rsidRPr="00951B5F" w:rsidR="00951B5F" w:rsidP="00951B5F" w:rsidRDefault="00951B5F" w14:paraId="1082ADFE" w14:textId="62549586">
            <w:pPr>
              <w:spacing w:line="240" w:lineRule="auto"/>
              <w:contextualSpacing/>
              <w:jc w:val="left"/>
              <w:rPr>
                <w:rFonts w:cs="Calibri"/>
                <w:szCs w:val="22"/>
                <w:lang w:val="es-CR" w:eastAsia="es-CR"/>
              </w:rPr>
            </w:pPr>
            <w:r w:rsidRPr="00951B5F">
              <w:rPr>
                <w:rFonts w:cs="Calibri"/>
                <w:b w:val="0"/>
                <w:bCs w:val="0"/>
                <w:szCs w:val="22"/>
                <w:lang w:val="es-CR" w:eastAsia="es-CR"/>
              </w:rPr>
              <w:t>Aprobador de Evidencias del cliente</w:t>
            </w:r>
          </w:p>
        </w:tc>
        <w:tc>
          <w:tcPr>
            <w:tcW w:w="4247" w:type="dxa"/>
          </w:tcPr>
          <w:p w:rsidRPr="00951B5F" w:rsidR="00951B5F" w:rsidP="00951B5F" w:rsidRDefault="007D4F44" w14:paraId="0059AD16" w14:textId="2C6C2AD1">
            <w:p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Pr>
                <w:rFonts w:cs="Calibri"/>
                <w:szCs w:val="22"/>
                <w:lang w:val="es-CR" w:eastAsia="es-CR"/>
              </w:rPr>
              <w:t>A</w:t>
            </w:r>
            <w:r w:rsidRPr="00951B5F" w:rsidR="00951B5F">
              <w:rPr>
                <w:rFonts w:cs="Calibri"/>
                <w:szCs w:val="22"/>
                <w:lang w:val="es-CR" w:eastAsia="es-CR"/>
              </w:rPr>
              <w:t>probar o rechazar en el CICAC la evidencia que</w:t>
            </w:r>
            <w:r>
              <w:rPr>
                <w:rFonts w:cs="Calibri"/>
                <w:szCs w:val="22"/>
                <w:lang w:val="es-CR" w:eastAsia="es-CR"/>
              </w:rPr>
              <w:t xml:space="preserve"> </w:t>
            </w:r>
            <w:r w:rsidRPr="00951B5F" w:rsidR="00951B5F">
              <w:rPr>
                <w:rFonts w:cs="Calibri"/>
                <w:szCs w:val="22"/>
                <w:lang w:val="es-CR" w:eastAsia="es-CR"/>
              </w:rPr>
              <w:t>respalda los orígenes de fondos.</w:t>
            </w:r>
          </w:p>
        </w:tc>
        <w:tc>
          <w:tcPr>
            <w:tcW w:w="2222" w:type="dxa"/>
          </w:tcPr>
          <w:p w:rsidRPr="00951B5F" w:rsidR="00951B5F" w:rsidP="00951B5F" w:rsidRDefault="00951B5F" w14:paraId="0B51E73B" w14:textId="26104925">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51B5F">
              <w:rPr>
                <w:rFonts w:cs="Calibri"/>
                <w:szCs w:val="22"/>
                <w:lang w:val="es-CR" w:eastAsia="es-CR"/>
              </w:rPr>
              <w:t>Evidencia origen de fondos</w:t>
            </w:r>
          </w:p>
        </w:tc>
      </w:tr>
      <w:tr w:rsidRPr="00951B5F" w:rsidR="00951B5F" w:rsidTr="00951B5F" w14:paraId="7FA8C37B"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tcPr>
          <w:p w:rsidRPr="00951B5F" w:rsidR="00951B5F" w:rsidP="00951B5F" w:rsidRDefault="00951B5F" w14:paraId="3AE93B6C" w14:textId="5783289E">
            <w:pPr>
              <w:spacing w:line="240" w:lineRule="auto"/>
              <w:contextualSpacing/>
              <w:jc w:val="left"/>
              <w:rPr>
                <w:rFonts w:cs="Calibri"/>
                <w:szCs w:val="22"/>
                <w:lang w:val="es-CR" w:eastAsia="es-CR"/>
              </w:rPr>
            </w:pPr>
            <w:r w:rsidRPr="00951B5F">
              <w:rPr>
                <w:rFonts w:cs="Calibri"/>
                <w:b w:val="0"/>
                <w:bCs w:val="0"/>
                <w:szCs w:val="22"/>
                <w:lang w:val="es-CR" w:eastAsia="es-CR"/>
              </w:rPr>
              <w:t>Consultante de Evidencias del cliente</w:t>
            </w:r>
          </w:p>
        </w:tc>
        <w:tc>
          <w:tcPr>
            <w:tcW w:w="4247" w:type="dxa"/>
          </w:tcPr>
          <w:p w:rsidRPr="00951B5F" w:rsidR="00951B5F" w:rsidP="00951B5F" w:rsidRDefault="007D4F44" w14:paraId="20998291" w14:textId="3FFB6FC4">
            <w:p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Pr>
                <w:rFonts w:cs="Calibri"/>
                <w:szCs w:val="22"/>
                <w:lang w:val="es-CR" w:eastAsia="es-CR"/>
              </w:rPr>
              <w:t>C</w:t>
            </w:r>
            <w:r w:rsidRPr="00951B5F" w:rsidR="00951B5F">
              <w:rPr>
                <w:rFonts w:cs="Calibri"/>
                <w:szCs w:val="22"/>
                <w:lang w:val="es-CR" w:eastAsia="es-CR"/>
              </w:rPr>
              <w:t>onsultar en el CICAC las evidencias que respaldan los orígenes de fondos.</w:t>
            </w:r>
          </w:p>
        </w:tc>
        <w:tc>
          <w:tcPr>
            <w:tcW w:w="2222" w:type="dxa"/>
          </w:tcPr>
          <w:p w:rsidRPr="00951B5F" w:rsidR="00951B5F" w:rsidP="00951B5F" w:rsidRDefault="00951B5F" w14:paraId="3C32B078" w14:textId="4A3FD6C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51B5F">
              <w:rPr>
                <w:rFonts w:cs="Calibri"/>
                <w:szCs w:val="22"/>
                <w:lang w:val="es-CR" w:eastAsia="es-CR"/>
              </w:rPr>
              <w:t>Evidencia origen de fondos</w:t>
            </w:r>
          </w:p>
        </w:tc>
      </w:tr>
      <w:tr w:rsidRPr="00951B5F" w:rsidR="00951B5F" w:rsidTr="00951B5F" w14:paraId="3996B8AB"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tcPr>
          <w:p w:rsidRPr="00951B5F" w:rsidR="00951B5F" w:rsidP="00951B5F" w:rsidRDefault="00951B5F" w14:paraId="2052B170" w14:textId="72492316">
            <w:pPr>
              <w:spacing w:line="240" w:lineRule="auto"/>
              <w:contextualSpacing/>
              <w:jc w:val="left"/>
              <w:rPr>
                <w:rFonts w:cs="Calibri"/>
                <w:szCs w:val="22"/>
                <w:lang w:val="es-CR" w:eastAsia="es-CR"/>
              </w:rPr>
            </w:pPr>
            <w:r w:rsidRPr="00951B5F">
              <w:rPr>
                <w:rFonts w:cs="Calibri"/>
                <w:b w:val="0"/>
                <w:bCs w:val="0"/>
                <w:szCs w:val="22"/>
                <w:lang w:val="es-CR" w:eastAsia="es-CR"/>
              </w:rPr>
              <w:lastRenderedPageBreak/>
              <w:t>Consultante de bitácora de consulta del cliente</w:t>
            </w:r>
          </w:p>
        </w:tc>
        <w:tc>
          <w:tcPr>
            <w:tcW w:w="4247" w:type="dxa"/>
          </w:tcPr>
          <w:p w:rsidRPr="00951B5F" w:rsidR="00951B5F" w:rsidP="00951B5F" w:rsidRDefault="007D4F44" w14:paraId="1F6DD441" w14:textId="6A7AC7B6">
            <w:p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Pr>
                <w:rFonts w:cs="Calibri"/>
                <w:szCs w:val="22"/>
                <w:lang w:val="es-CR" w:eastAsia="es-CR"/>
              </w:rPr>
              <w:t>C</w:t>
            </w:r>
            <w:r w:rsidRPr="00951B5F" w:rsidR="00951B5F">
              <w:rPr>
                <w:rFonts w:cs="Calibri"/>
                <w:szCs w:val="22"/>
                <w:lang w:val="es-CR" w:eastAsia="es-CR"/>
              </w:rPr>
              <w:t>onsultar los registros históricos sobre las consultas realizadas a la información contenida en el CICAC.</w:t>
            </w:r>
          </w:p>
        </w:tc>
        <w:tc>
          <w:tcPr>
            <w:tcW w:w="2222" w:type="dxa"/>
          </w:tcPr>
          <w:p w:rsidRPr="00951B5F" w:rsidR="00951B5F" w:rsidP="00951B5F" w:rsidRDefault="00951B5F" w14:paraId="53748ECA" w14:textId="2F104F01">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51B5F">
              <w:rPr>
                <w:rFonts w:cs="Calibri"/>
                <w:szCs w:val="22"/>
                <w:lang w:val="es-CR" w:eastAsia="es-CR"/>
              </w:rPr>
              <w:t>Bitácora de consulta del cliente</w:t>
            </w:r>
          </w:p>
        </w:tc>
      </w:tr>
      <w:tr w:rsidRPr="00951B5F" w:rsidR="00951B5F" w:rsidTr="00951B5F" w14:paraId="5E37E445"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hideMark/>
          </w:tcPr>
          <w:p w:rsidRPr="00951B5F" w:rsidR="00951B5F" w:rsidP="00951B5F" w:rsidRDefault="00951B5F" w14:paraId="4806267B" w14:textId="77777777">
            <w:pPr>
              <w:spacing w:line="240" w:lineRule="auto"/>
              <w:contextualSpacing/>
              <w:jc w:val="left"/>
              <w:rPr>
                <w:rFonts w:cs="Calibri"/>
                <w:b w:val="0"/>
                <w:bCs w:val="0"/>
                <w:szCs w:val="22"/>
                <w:lang w:val="es-CR" w:eastAsia="es-CR"/>
              </w:rPr>
            </w:pPr>
            <w:r w:rsidRPr="00951B5F">
              <w:rPr>
                <w:rFonts w:cs="Calibri"/>
                <w:b w:val="0"/>
                <w:bCs w:val="0"/>
                <w:szCs w:val="22"/>
                <w:lang w:val="es-CR" w:eastAsia="es-CR"/>
              </w:rPr>
              <w:t>Consultante de bitácora de actualización del cliente</w:t>
            </w:r>
          </w:p>
        </w:tc>
        <w:tc>
          <w:tcPr>
            <w:tcW w:w="4247" w:type="dxa"/>
          </w:tcPr>
          <w:p w:rsidRPr="00951B5F" w:rsidR="00951B5F" w:rsidP="00951B5F" w:rsidRDefault="007D4F44" w14:paraId="2EFF1507" w14:textId="4987AA7C">
            <w:p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Pr>
                <w:rFonts w:cs="Calibri"/>
                <w:szCs w:val="22"/>
                <w:lang w:val="es-CR" w:eastAsia="es-CR"/>
              </w:rPr>
              <w:t>C</w:t>
            </w:r>
            <w:r w:rsidRPr="00951B5F" w:rsidR="00951B5F">
              <w:rPr>
                <w:rFonts w:cs="Calibri"/>
                <w:szCs w:val="22"/>
                <w:lang w:val="es-CR" w:eastAsia="es-CR"/>
              </w:rPr>
              <w:t>onsultar la información histórica sobre las actualizaciones realizadas en el expediente conozca a su cliente.</w:t>
            </w:r>
          </w:p>
        </w:tc>
        <w:tc>
          <w:tcPr>
            <w:tcW w:w="2222" w:type="dxa"/>
            <w:hideMark/>
          </w:tcPr>
          <w:p w:rsidRPr="00951B5F" w:rsidR="00951B5F" w:rsidP="00951B5F" w:rsidRDefault="00951B5F" w14:paraId="0AD666F1"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51B5F">
              <w:rPr>
                <w:rFonts w:cs="Calibri"/>
                <w:szCs w:val="22"/>
                <w:lang w:val="es-CR" w:eastAsia="es-CR"/>
              </w:rPr>
              <w:t>Bitácora de actualización del cliente</w:t>
            </w:r>
          </w:p>
        </w:tc>
      </w:tr>
      <w:tr w:rsidRPr="00951B5F" w:rsidR="00951B5F" w:rsidTr="00951B5F" w14:paraId="4BF0D906"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hideMark/>
          </w:tcPr>
          <w:p w:rsidRPr="00951B5F" w:rsidR="00951B5F" w:rsidP="00951B5F" w:rsidRDefault="00951B5F" w14:paraId="6CAA2D4A" w14:textId="56362AD9">
            <w:pPr>
              <w:spacing w:line="240" w:lineRule="auto"/>
              <w:contextualSpacing/>
              <w:jc w:val="left"/>
              <w:rPr>
                <w:rFonts w:cs="Calibri"/>
                <w:b w:val="0"/>
                <w:bCs w:val="0"/>
                <w:szCs w:val="22"/>
                <w:lang w:val="es-CR" w:eastAsia="es-CR"/>
              </w:rPr>
            </w:pPr>
            <w:bookmarkStart w:name="_Hlk76557710" w:id="2"/>
            <w:r w:rsidRPr="00951B5F">
              <w:rPr>
                <w:rFonts w:cs="Calibri"/>
                <w:b w:val="0"/>
                <w:bCs w:val="0"/>
                <w:szCs w:val="22"/>
                <w:lang w:val="es-CR" w:eastAsia="es-CR"/>
              </w:rPr>
              <w:t>Consultante de bitácora evidencia del cliente</w:t>
            </w:r>
          </w:p>
        </w:tc>
        <w:tc>
          <w:tcPr>
            <w:tcW w:w="4247" w:type="dxa"/>
          </w:tcPr>
          <w:p w:rsidRPr="00951B5F" w:rsidR="00951B5F" w:rsidP="00951B5F" w:rsidRDefault="007D4F44" w14:paraId="5798582F" w14:textId="5CC5C5AD">
            <w:p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Pr>
                <w:rFonts w:cs="Calibri"/>
                <w:szCs w:val="22"/>
                <w:lang w:val="es-CR" w:eastAsia="es-CR"/>
              </w:rPr>
              <w:t>C</w:t>
            </w:r>
            <w:r w:rsidRPr="00951B5F" w:rsidR="00951B5F">
              <w:rPr>
                <w:rFonts w:cs="Calibri"/>
                <w:szCs w:val="22"/>
                <w:lang w:val="es-CR" w:eastAsia="es-CR"/>
              </w:rPr>
              <w:t>onsultar las acciones realizadas en las evidencias que respaldan los orígenes de fondos.</w:t>
            </w:r>
          </w:p>
        </w:tc>
        <w:tc>
          <w:tcPr>
            <w:tcW w:w="2222" w:type="dxa"/>
            <w:hideMark/>
          </w:tcPr>
          <w:p w:rsidRPr="00951B5F" w:rsidR="00951B5F" w:rsidP="00951B5F" w:rsidRDefault="00951B5F" w14:paraId="0A7BD6EC"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51B5F">
              <w:rPr>
                <w:rFonts w:cs="Calibri"/>
                <w:szCs w:val="22"/>
                <w:lang w:val="es-CR" w:eastAsia="es-CR"/>
              </w:rPr>
              <w:t>Bitácora de evidencia origen de fondos</w:t>
            </w:r>
          </w:p>
        </w:tc>
      </w:tr>
      <w:bookmarkEnd w:id="2"/>
      <w:tr w:rsidRPr="00951B5F" w:rsidR="00951B5F" w:rsidTr="00951B5F" w14:paraId="3CF1BA0B"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tcPr>
          <w:p w:rsidRPr="00951B5F" w:rsidR="00951B5F" w:rsidP="00951B5F" w:rsidRDefault="00951B5F" w14:paraId="084D3617" w14:textId="009FE2B7">
            <w:pPr>
              <w:spacing w:line="240" w:lineRule="auto"/>
              <w:contextualSpacing/>
              <w:jc w:val="left"/>
              <w:rPr>
                <w:rFonts w:cs="Calibri"/>
                <w:szCs w:val="22"/>
                <w:lang w:val="es-CR" w:eastAsia="es-CR"/>
              </w:rPr>
            </w:pPr>
            <w:r w:rsidRPr="00951B5F">
              <w:rPr>
                <w:rFonts w:cs="Calibri"/>
                <w:b w:val="0"/>
                <w:bCs w:val="0"/>
                <w:szCs w:val="22"/>
                <w:lang w:val="es-CR" w:eastAsia="es-CR"/>
              </w:rPr>
              <w:t>Consultante de mi bitácora de consulta</w:t>
            </w:r>
          </w:p>
        </w:tc>
        <w:tc>
          <w:tcPr>
            <w:tcW w:w="4247" w:type="dxa"/>
          </w:tcPr>
          <w:p w:rsidRPr="00951B5F" w:rsidR="00951B5F" w:rsidP="00951B5F" w:rsidRDefault="007D4F44" w14:paraId="1520B78C" w14:textId="0E820ACD">
            <w:p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Pr>
                <w:rFonts w:cs="Calibri"/>
                <w:szCs w:val="22"/>
                <w:lang w:val="es-CR" w:eastAsia="es-CR"/>
              </w:rPr>
              <w:t>C</w:t>
            </w:r>
            <w:r w:rsidRPr="00951B5F" w:rsidR="00951B5F">
              <w:rPr>
                <w:rFonts w:cs="Calibri"/>
                <w:szCs w:val="22"/>
                <w:lang w:val="es-CR" w:eastAsia="es-CR"/>
              </w:rPr>
              <w:t>onsultar los registros históricos sobre las consultas realizadas a la información de los clientes que han autorizado a la entidad.</w:t>
            </w:r>
          </w:p>
        </w:tc>
        <w:tc>
          <w:tcPr>
            <w:tcW w:w="2222" w:type="dxa"/>
          </w:tcPr>
          <w:p w:rsidRPr="00951B5F" w:rsidR="00951B5F" w:rsidP="00951B5F" w:rsidRDefault="00951B5F" w14:paraId="232E2943" w14:textId="103A7AC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51B5F">
              <w:rPr>
                <w:rFonts w:cs="Calibri"/>
                <w:szCs w:val="22"/>
                <w:lang w:val="es-CR" w:eastAsia="es-CR"/>
              </w:rPr>
              <w:t>Mi bitácora de consulta</w:t>
            </w:r>
          </w:p>
        </w:tc>
      </w:tr>
      <w:tr w:rsidRPr="00951B5F" w:rsidR="00951B5F" w:rsidTr="00951B5F" w14:paraId="3B0DBE1F"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tcPr>
          <w:p w:rsidRPr="00951B5F" w:rsidR="00951B5F" w:rsidP="00951B5F" w:rsidRDefault="00951B5F" w14:paraId="5309D775" w14:textId="25E2A09C">
            <w:pPr>
              <w:spacing w:line="240" w:lineRule="auto"/>
              <w:contextualSpacing/>
              <w:jc w:val="left"/>
              <w:rPr>
                <w:rFonts w:cs="Calibri"/>
                <w:szCs w:val="22"/>
                <w:lang w:val="es-CR" w:eastAsia="es-CR"/>
              </w:rPr>
            </w:pPr>
            <w:r w:rsidRPr="00951B5F">
              <w:rPr>
                <w:rFonts w:cs="Calibri"/>
                <w:b w:val="0"/>
                <w:bCs w:val="0"/>
                <w:szCs w:val="22"/>
                <w:lang w:val="es-CR" w:eastAsia="es-CR"/>
              </w:rPr>
              <w:t>Consultante de bitácora de consulta por colaborador</w:t>
            </w:r>
          </w:p>
        </w:tc>
        <w:tc>
          <w:tcPr>
            <w:tcW w:w="4247" w:type="dxa"/>
          </w:tcPr>
          <w:p w:rsidRPr="00951B5F" w:rsidR="00951B5F" w:rsidP="00951B5F" w:rsidRDefault="007D4F44" w14:paraId="3B9B75B3" w14:textId="757C7C8C">
            <w:p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Pr>
                <w:rFonts w:cs="Calibri"/>
                <w:szCs w:val="22"/>
                <w:lang w:val="es-CR" w:eastAsia="es-CR"/>
              </w:rPr>
              <w:t>C</w:t>
            </w:r>
            <w:r w:rsidRPr="00951B5F" w:rsidR="00951B5F">
              <w:rPr>
                <w:rFonts w:cs="Calibri"/>
                <w:szCs w:val="22"/>
                <w:lang w:val="es-CR" w:eastAsia="es-CR"/>
              </w:rPr>
              <w:t>onsultar las acciones que realizan los colaboradores sobre las consultas realizadas a la información de los clientes que han autorizado a la entidad.</w:t>
            </w:r>
          </w:p>
        </w:tc>
        <w:tc>
          <w:tcPr>
            <w:tcW w:w="2222" w:type="dxa"/>
          </w:tcPr>
          <w:p w:rsidRPr="00951B5F" w:rsidR="00951B5F" w:rsidP="00951B5F" w:rsidRDefault="00951B5F" w14:paraId="55FF37D5" w14:textId="43DEA8D4">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51B5F">
              <w:rPr>
                <w:rFonts w:cs="Calibri"/>
                <w:szCs w:val="22"/>
                <w:lang w:val="es-CR" w:eastAsia="es-CR"/>
              </w:rPr>
              <w:t>Bitácora de consulta colaboradores</w:t>
            </w:r>
          </w:p>
        </w:tc>
      </w:tr>
      <w:tr w:rsidRPr="007D4212" w:rsidR="00951B5F" w:rsidTr="00951B5F" w14:paraId="1C7FAEE5" w14:textId="77777777">
        <w:trPr>
          <w:trHeight w:val="826"/>
        </w:trPr>
        <w:tc>
          <w:tcPr>
            <w:cnfStyle w:val="001000000000" w:firstRow="0" w:lastRow="0" w:firstColumn="1" w:lastColumn="0" w:oddVBand="0" w:evenVBand="0" w:oddHBand="0" w:evenHBand="0" w:firstRowFirstColumn="0" w:firstRowLastColumn="0" w:lastRowFirstColumn="0" w:lastRowLastColumn="0"/>
            <w:tcW w:w="3024" w:type="dxa"/>
            <w:hideMark/>
          </w:tcPr>
          <w:p w:rsidRPr="00951B5F" w:rsidR="00951B5F" w:rsidP="00951B5F" w:rsidRDefault="00951B5F" w14:paraId="71C2AB58" w14:textId="77777777">
            <w:pPr>
              <w:spacing w:line="240" w:lineRule="auto"/>
              <w:contextualSpacing/>
              <w:jc w:val="left"/>
              <w:rPr>
                <w:rFonts w:cs="Calibri"/>
                <w:b w:val="0"/>
                <w:bCs w:val="0"/>
                <w:szCs w:val="22"/>
                <w:lang w:val="es-CR" w:eastAsia="es-CR"/>
              </w:rPr>
            </w:pPr>
            <w:r w:rsidRPr="00951B5F">
              <w:rPr>
                <w:rFonts w:cs="Calibri"/>
                <w:b w:val="0"/>
                <w:bCs w:val="0"/>
                <w:szCs w:val="22"/>
                <w:lang w:val="es-CR" w:eastAsia="es-CR"/>
              </w:rPr>
              <w:t>Encargado de revocar autorizaciones</w:t>
            </w:r>
          </w:p>
        </w:tc>
        <w:tc>
          <w:tcPr>
            <w:tcW w:w="4247" w:type="dxa"/>
            <w:shd w:val="clear" w:color="auto" w:fill="auto"/>
          </w:tcPr>
          <w:p w:rsidRPr="00951B5F" w:rsidR="00951B5F" w:rsidP="00951B5F" w:rsidRDefault="007D4F44" w14:paraId="54344BF3" w14:textId="61E323C4">
            <w:p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Pr>
                <w:rFonts w:cs="Calibri"/>
                <w:szCs w:val="22"/>
                <w:lang w:val="es-CR" w:eastAsia="es-CR"/>
              </w:rPr>
              <w:t>A</w:t>
            </w:r>
            <w:r w:rsidRPr="00951B5F" w:rsidR="00951B5F">
              <w:rPr>
                <w:rFonts w:cs="Calibri"/>
                <w:szCs w:val="22"/>
                <w:lang w:val="es-CR" w:eastAsia="es-CR"/>
              </w:rPr>
              <w:t xml:space="preserve">probar o rechazar en el CICAC la solicitud de revocación de una autorización de consulta. </w:t>
            </w:r>
          </w:p>
          <w:p w:rsidRPr="00951B5F" w:rsidR="00951B5F" w:rsidP="00951B5F" w:rsidRDefault="00951B5F" w14:paraId="75528237" w14:textId="77777777">
            <w:pPr>
              <w:spacing w:line="240" w:lineRule="auto"/>
              <w:contextualSpacing/>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p>
        </w:tc>
        <w:tc>
          <w:tcPr>
            <w:tcW w:w="2222" w:type="dxa"/>
            <w:hideMark/>
          </w:tcPr>
          <w:p w:rsidRPr="00951B5F" w:rsidR="00951B5F" w:rsidP="00951B5F" w:rsidRDefault="00951B5F" w14:paraId="795A691E" w14:textId="77777777">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cs="Calibri"/>
                <w:szCs w:val="22"/>
                <w:lang w:val="es-CR" w:eastAsia="es-CR"/>
              </w:rPr>
            </w:pPr>
            <w:r w:rsidRPr="00951B5F">
              <w:rPr>
                <w:rFonts w:cs="Calibri"/>
                <w:szCs w:val="22"/>
                <w:lang w:val="es-CR" w:eastAsia="es-CR"/>
              </w:rPr>
              <w:t>Revocaciones</w:t>
            </w:r>
          </w:p>
        </w:tc>
      </w:tr>
    </w:tbl>
    <w:p w:rsidRPr="00BE68B4" w:rsidR="00EE1DF1" w:rsidP="00EE1DF1" w:rsidRDefault="00EE1DF1" w14:paraId="433CAADE" w14:textId="77777777">
      <w:pPr>
        <w:spacing w:line="240" w:lineRule="auto"/>
        <w:ind w:left="360"/>
        <w:contextualSpacing/>
        <w:rPr>
          <w:sz w:val="24"/>
          <w:lang w:eastAsia="es-ES"/>
        </w:rPr>
      </w:pPr>
    </w:p>
    <w:p w:rsidR="00EE1DF1" w:rsidP="00EE1DF1" w:rsidRDefault="00EE1DF1" w14:paraId="0973E0F1" w14:textId="77777777">
      <w:pPr>
        <w:numPr>
          <w:ilvl w:val="0"/>
          <w:numId w:val="4"/>
        </w:numPr>
        <w:spacing w:line="240" w:lineRule="auto"/>
        <w:contextualSpacing/>
        <w:outlineLvl w:val="0"/>
        <w:rPr>
          <w:sz w:val="24"/>
          <w:lang w:eastAsia="es-ES"/>
        </w:rPr>
      </w:pPr>
      <w:r w:rsidRPr="003C4A7D">
        <w:rPr>
          <w:sz w:val="24"/>
          <w:lang w:eastAsia="es-ES"/>
        </w:rPr>
        <w:t xml:space="preserve">El medio de autenticación </w:t>
      </w:r>
      <w:r>
        <w:rPr>
          <w:sz w:val="24"/>
          <w:lang w:eastAsia="es-ES"/>
        </w:rPr>
        <w:t>y única forma de acceso por parte de los usuarios del sistema financiero a</w:t>
      </w:r>
      <w:r w:rsidRPr="003C4A7D">
        <w:rPr>
          <w:sz w:val="24"/>
          <w:lang w:eastAsia="es-ES"/>
        </w:rPr>
        <w:t xml:space="preserve">l sistema CICAC es </w:t>
      </w:r>
      <w:r>
        <w:rPr>
          <w:sz w:val="24"/>
          <w:lang w:eastAsia="es-ES"/>
        </w:rPr>
        <w:t xml:space="preserve">por medio de </w:t>
      </w:r>
      <w:r w:rsidRPr="003C4A7D">
        <w:rPr>
          <w:sz w:val="24"/>
          <w:lang w:eastAsia="es-ES"/>
        </w:rPr>
        <w:t>la firma digital certificada emitida por el BCCR.</w:t>
      </w:r>
    </w:p>
    <w:p w:rsidR="00EE1DF1" w:rsidP="00EE1DF1" w:rsidRDefault="00EE1DF1" w14:paraId="3D892C4E" w14:textId="77777777">
      <w:pPr>
        <w:pStyle w:val="Prrafodelista"/>
        <w:spacing w:line="240" w:lineRule="auto"/>
        <w:rPr>
          <w:sz w:val="24"/>
          <w:lang w:eastAsia="es-ES"/>
        </w:rPr>
      </w:pPr>
    </w:p>
    <w:p w:rsidR="00EE1DF1" w:rsidP="00EE1DF1" w:rsidRDefault="00EE1DF1" w14:paraId="5275935D" w14:textId="77777777">
      <w:pPr>
        <w:pStyle w:val="Texto"/>
        <w:numPr>
          <w:ilvl w:val="0"/>
          <w:numId w:val="4"/>
        </w:numPr>
        <w:spacing w:before="0" w:after="0" w:line="240" w:lineRule="auto"/>
        <w:contextualSpacing/>
        <w:rPr>
          <w:sz w:val="24"/>
        </w:rPr>
      </w:pPr>
      <w:r>
        <w:rPr>
          <w:sz w:val="24"/>
        </w:rPr>
        <w:t>Los usuarios autorizados por el sujeto obligado deben contar con:</w:t>
      </w:r>
    </w:p>
    <w:p w:rsidR="00EE1DF1" w:rsidP="00EE1DF1" w:rsidRDefault="00EE1DF1" w14:paraId="03A32743" w14:textId="77777777">
      <w:pPr>
        <w:pStyle w:val="Texto"/>
        <w:spacing w:before="0" w:after="0" w:line="240" w:lineRule="auto"/>
        <w:ind w:left="720"/>
        <w:contextualSpacing/>
        <w:rPr>
          <w:sz w:val="24"/>
        </w:rPr>
      </w:pPr>
    </w:p>
    <w:p w:rsidR="00EE1DF1" w:rsidP="00EE1DF1" w:rsidRDefault="00EE1DF1" w14:paraId="2525EBF7" w14:textId="77777777">
      <w:pPr>
        <w:pStyle w:val="Texto"/>
        <w:numPr>
          <w:ilvl w:val="0"/>
          <w:numId w:val="5"/>
        </w:numPr>
        <w:spacing w:before="0" w:after="0" w:line="240" w:lineRule="auto"/>
        <w:contextualSpacing/>
        <w:rPr>
          <w:sz w:val="24"/>
        </w:rPr>
      </w:pPr>
      <w:r>
        <w:rPr>
          <w:sz w:val="24"/>
        </w:rPr>
        <w:t xml:space="preserve">Acceso a internet, con un ancho de banda de al menos 5 megas de subida y al menos 10 megas de descarga. </w:t>
      </w:r>
    </w:p>
    <w:p w:rsidR="00EE1DF1" w:rsidP="00EE1DF1" w:rsidRDefault="00EE1DF1" w14:paraId="3ADA262B" w14:textId="77777777">
      <w:pPr>
        <w:pStyle w:val="Texto"/>
        <w:numPr>
          <w:ilvl w:val="0"/>
          <w:numId w:val="5"/>
        </w:numPr>
        <w:spacing w:before="0" w:after="0" w:line="240" w:lineRule="auto"/>
        <w:contextualSpacing/>
        <w:rPr>
          <w:sz w:val="24"/>
        </w:rPr>
      </w:pPr>
      <w:r>
        <w:rPr>
          <w:sz w:val="24"/>
        </w:rPr>
        <w:t xml:space="preserve">Tener en sus estaciones de trabajo, navegadores compatibles con el BCCR, tal como: </w:t>
      </w:r>
      <w:r w:rsidRPr="009E758E">
        <w:rPr>
          <w:sz w:val="24"/>
        </w:rPr>
        <w:t>Versión: 11 del Internet Explorer</w:t>
      </w:r>
      <w:r>
        <w:rPr>
          <w:sz w:val="24"/>
        </w:rPr>
        <w:t xml:space="preserve">; </w:t>
      </w:r>
      <w:r w:rsidRPr="009E758E">
        <w:rPr>
          <w:sz w:val="24"/>
        </w:rPr>
        <w:t>Versiones: 82, 83 y 84 de Mozilla Firefo</w:t>
      </w:r>
      <w:r>
        <w:rPr>
          <w:sz w:val="24"/>
        </w:rPr>
        <w:t xml:space="preserve">x; </w:t>
      </w:r>
      <w:r w:rsidRPr="009E758E">
        <w:rPr>
          <w:sz w:val="24"/>
        </w:rPr>
        <w:t>Versiones: 86, 87 y 88 de Google Chrome</w:t>
      </w:r>
      <w:r>
        <w:rPr>
          <w:sz w:val="24"/>
        </w:rPr>
        <w:t xml:space="preserve">; </w:t>
      </w:r>
      <w:r w:rsidRPr="009E758E">
        <w:rPr>
          <w:sz w:val="24"/>
        </w:rPr>
        <w:t>Versión: 13 de Safari</w:t>
      </w:r>
      <w:r>
        <w:rPr>
          <w:sz w:val="24"/>
        </w:rPr>
        <w:t>.</w:t>
      </w:r>
    </w:p>
    <w:p w:rsidRPr="00070759" w:rsidR="00EE1DF1" w:rsidP="00EE1DF1" w:rsidRDefault="00EE1DF1" w14:paraId="5DF70561" w14:textId="77777777">
      <w:pPr>
        <w:pStyle w:val="Texto"/>
        <w:numPr>
          <w:ilvl w:val="0"/>
          <w:numId w:val="5"/>
        </w:numPr>
        <w:spacing w:before="0" w:after="0" w:line="240" w:lineRule="auto"/>
        <w:contextualSpacing/>
        <w:rPr>
          <w:sz w:val="24"/>
        </w:rPr>
      </w:pPr>
      <w:r>
        <w:rPr>
          <w:sz w:val="24"/>
        </w:rPr>
        <w:t>Firma digital certificada (certificado digital del BCCR)</w:t>
      </w:r>
    </w:p>
    <w:p w:rsidR="00EE1DF1" w:rsidP="00EE1DF1" w:rsidRDefault="00EE1DF1" w14:paraId="68963832" w14:textId="77777777">
      <w:pPr>
        <w:pStyle w:val="Texto"/>
        <w:spacing w:before="0" w:after="0" w:line="240" w:lineRule="auto"/>
        <w:contextualSpacing/>
        <w:rPr>
          <w:b/>
          <w:bCs/>
          <w:sz w:val="24"/>
        </w:rPr>
      </w:pPr>
    </w:p>
    <w:p w:rsidRPr="00B1135B" w:rsidR="00EE1DF1" w:rsidP="00EE1DF1" w:rsidRDefault="00EE1DF1" w14:paraId="65F6CDD3" w14:textId="105D614F">
      <w:pPr>
        <w:pStyle w:val="Texto"/>
        <w:numPr>
          <w:ilvl w:val="0"/>
          <w:numId w:val="4"/>
        </w:numPr>
        <w:spacing w:before="0" w:after="0" w:line="240" w:lineRule="auto"/>
        <w:contextualSpacing/>
        <w:rPr>
          <w:sz w:val="24"/>
        </w:rPr>
      </w:pPr>
      <w:r w:rsidRPr="00B1135B">
        <w:rPr>
          <w:b/>
          <w:bCs/>
          <w:sz w:val="24"/>
        </w:rPr>
        <w:t xml:space="preserve">Informe de seguimiento semestral: </w:t>
      </w:r>
      <w:r w:rsidRPr="00B1135B">
        <w:rPr>
          <w:sz w:val="24"/>
        </w:rPr>
        <w:t xml:space="preserve">El sujeto obligado debe completar el informe de seguimiento de puesta en marcha del CICAC que se adjunta en el </w:t>
      </w:r>
      <w:r w:rsidRPr="00B1135B">
        <w:rPr>
          <w:b/>
          <w:bCs/>
          <w:sz w:val="24"/>
        </w:rPr>
        <w:t>Anexo</w:t>
      </w:r>
      <w:r w:rsidRPr="00B1135B">
        <w:rPr>
          <w:sz w:val="24"/>
        </w:rPr>
        <w:t xml:space="preserve"> a esta Resolución, el cual debe ser remitido a la SUGEF al correo cicac@sugef.fi.cr, dentro de los primeros 10 días hábiles después del cierre de cada semestre natural.</w:t>
      </w:r>
    </w:p>
    <w:p w:rsidR="00EE1DF1" w:rsidP="00EE1DF1" w:rsidRDefault="00EE1DF1" w14:paraId="4842F490" w14:textId="77777777">
      <w:pPr>
        <w:pStyle w:val="Texto"/>
        <w:spacing w:before="0" w:after="0" w:line="240" w:lineRule="auto"/>
        <w:contextualSpacing/>
        <w:rPr>
          <w:b/>
          <w:bCs/>
          <w:sz w:val="24"/>
        </w:rPr>
      </w:pPr>
    </w:p>
    <w:p w:rsidRPr="00651625" w:rsidR="00EE1DF1" w:rsidP="00EE1DF1" w:rsidRDefault="00EE1DF1" w14:paraId="4BAD1B24" w14:textId="3DC0660D">
      <w:pPr>
        <w:pStyle w:val="Texto"/>
        <w:numPr>
          <w:ilvl w:val="0"/>
          <w:numId w:val="4"/>
        </w:numPr>
        <w:spacing w:before="0" w:after="0" w:line="240" w:lineRule="auto"/>
        <w:contextualSpacing/>
        <w:rPr>
          <w:sz w:val="24"/>
        </w:rPr>
      </w:pPr>
      <w:r w:rsidRPr="00651625">
        <w:rPr>
          <w:sz w:val="24"/>
        </w:rPr>
        <w:t xml:space="preserve">El sujeto obligado debe designar una o dos personas que funcionen como enlace entre la entidad y la SUGEF, </w:t>
      </w:r>
      <w:r w:rsidR="00D94C5F">
        <w:rPr>
          <w:sz w:val="24"/>
        </w:rPr>
        <w:t xml:space="preserve">para </w:t>
      </w:r>
      <w:r w:rsidRPr="00651625">
        <w:rPr>
          <w:sz w:val="24"/>
        </w:rPr>
        <w:t xml:space="preserve">canalizar las consultas escritas o telefónicas y </w:t>
      </w:r>
      <w:r w:rsidRPr="00651625">
        <w:rPr>
          <w:sz w:val="24"/>
        </w:rPr>
        <w:lastRenderedPageBreak/>
        <w:t>retroalimentar a los usuarios por parte de su entidad durante el período de puesta en operación.</w:t>
      </w:r>
    </w:p>
    <w:p w:rsidRPr="00651625" w:rsidR="00EE1DF1" w:rsidP="00EE1DF1" w:rsidRDefault="00EE1DF1" w14:paraId="4AF72452" w14:textId="77777777">
      <w:pPr>
        <w:pStyle w:val="Texto"/>
        <w:spacing w:before="0" w:after="0" w:line="240" w:lineRule="auto"/>
        <w:contextualSpacing/>
        <w:rPr>
          <w:sz w:val="24"/>
          <w:highlight w:val="yellow"/>
        </w:rPr>
      </w:pPr>
    </w:p>
    <w:p w:rsidR="00EE1DF1" w:rsidP="00EE1DF1" w:rsidRDefault="00EE1DF1" w14:paraId="06393B61" w14:textId="77777777">
      <w:pPr>
        <w:pStyle w:val="Texto"/>
        <w:spacing w:before="0" w:after="0" w:line="240" w:lineRule="auto"/>
        <w:ind w:left="708"/>
        <w:rPr>
          <w:sz w:val="24"/>
        </w:rPr>
      </w:pPr>
      <w:r w:rsidRPr="0025741F">
        <w:rPr>
          <w:sz w:val="24"/>
        </w:rPr>
        <w:t>El sujeto obligado, por medio del Oficial de Cumplimiento, debe remitir la información de la</w:t>
      </w:r>
      <w:r>
        <w:rPr>
          <w:sz w:val="24"/>
        </w:rPr>
        <w:t>s</w:t>
      </w:r>
      <w:r w:rsidRPr="0025741F">
        <w:rPr>
          <w:sz w:val="24"/>
        </w:rPr>
        <w:t xml:space="preserve"> persona</w:t>
      </w:r>
      <w:r>
        <w:rPr>
          <w:sz w:val="24"/>
        </w:rPr>
        <w:t>s</w:t>
      </w:r>
      <w:r w:rsidRPr="0025741F">
        <w:rPr>
          <w:sz w:val="24"/>
        </w:rPr>
        <w:t xml:space="preserve"> designada</w:t>
      </w:r>
      <w:r>
        <w:rPr>
          <w:sz w:val="24"/>
        </w:rPr>
        <w:t>s</w:t>
      </w:r>
      <w:r w:rsidRPr="0025741F">
        <w:rPr>
          <w:sz w:val="24"/>
        </w:rPr>
        <w:t xml:space="preserve"> como enlace (nombre, número de cédula, puesto y correo electrónico) al correo </w:t>
      </w:r>
      <w:hyperlink w:history="1" r:id="rId12">
        <w:r w:rsidRPr="0025741F">
          <w:rPr>
            <w:rStyle w:val="Hipervnculo"/>
            <w:sz w:val="24"/>
          </w:rPr>
          <w:t>cicac@sugef.fi.cr</w:t>
        </w:r>
      </w:hyperlink>
      <w:r w:rsidRPr="0025741F">
        <w:rPr>
          <w:sz w:val="24"/>
        </w:rPr>
        <w:t>, a más tardar</w:t>
      </w:r>
      <w:r>
        <w:rPr>
          <w:sz w:val="24"/>
        </w:rPr>
        <w:t>:</w:t>
      </w:r>
      <w:r w:rsidRPr="0025741F">
        <w:rPr>
          <w:sz w:val="24"/>
        </w:rPr>
        <w:t xml:space="preserve"> </w:t>
      </w:r>
    </w:p>
    <w:p w:rsidR="00EE1DF1" w:rsidP="00EE1DF1" w:rsidRDefault="00EE1DF1" w14:paraId="5CA7A6B1" w14:textId="77777777">
      <w:pPr>
        <w:pStyle w:val="Texto"/>
        <w:spacing w:before="0" w:after="0" w:line="240" w:lineRule="auto"/>
        <w:ind w:left="708"/>
        <w:rPr>
          <w:sz w:val="24"/>
        </w:rPr>
      </w:pPr>
    </w:p>
    <w:p w:rsidR="00EE1DF1" w:rsidP="00EE1DF1" w:rsidRDefault="00EE1DF1" w14:paraId="26B2C5D2" w14:textId="77777777">
      <w:pPr>
        <w:pStyle w:val="Texto"/>
        <w:numPr>
          <w:ilvl w:val="0"/>
          <w:numId w:val="8"/>
        </w:numPr>
        <w:spacing w:before="0" w:after="0" w:line="240" w:lineRule="auto"/>
        <w:rPr>
          <w:sz w:val="24"/>
        </w:rPr>
      </w:pPr>
      <w:r w:rsidRPr="0025741F">
        <w:rPr>
          <w:sz w:val="24"/>
        </w:rPr>
        <w:t xml:space="preserve">el </w:t>
      </w:r>
      <w:r>
        <w:rPr>
          <w:sz w:val="24"/>
        </w:rPr>
        <w:t>30</w:t>
      </w:r>
      <w:r w:rsidRPr="0025741F">
        <w:rPr>
          <w:sz w:val="24"/>
        </w:rPr>
        <w:t xml:space="preserve"> de </w:t>
      </w:r>
      <w:r>
        <w:rPr>
          <w:sz w:val="24"/>
        </w:rPr>
        <w:t>abril</w:t>
      </w:r>
      <w:r w:rsidRPr="0025741F">
        <w:rPr>
          <w:sz w:val="24"/>
        </w:rPr>
        <w:t xml:space="preserve"> de 2022 para </w:t>
      </w:r>
      <w:r>
        <w:rPr>
          <w:sz w:val="24"/>
        </w:rPr>
        <w:t>los sujetos participantes en la</w:t>
      </w:r>
      <w:r w:rsidRPr="0025741F">
        <w:rPr>
          <w:sz w:val="24"/>
        </w:rPr>
        <w:t xml:space="preserve"> etapa 1</w:t>
      </w:r>
      <w:r>
        <w:rPr>
          <w:sz w:val="24"/>
        </w:rPr>
        <w:t>.</w:t>
      </w:r>
      <w:r w:rsidRPr="0025741F">
        <w:rPr>
          <w:sz w:val="24"/>
        </w:rPr>
        <w:t xml:space="preserve"> </w:t>
      </w:r>
    </w:p>
    <w:p w:rsidRPr="0025741F" w:rsidR="00EE1DF1" w:rsidP="00EE1DF1" w:rsidRDefault="00EE1DF1" w14:paraId="335BC3E2" w14:textId="77777777">
      <w:pPr>
        <w:pStyle w:val="Texto"/>
        <w:numPr>
          <w:ilvl w:val="0"/>
          <w:numId w:val="8"/>
        </w:numPr>
        <w:spacing w:before="0" w:after="0" w:line="240" w:lineRule="auto"/>
        <w:rPr>
          <w:sz w:val="24"/>
        </w:rPr>
      </w:pPr>
      <w:r w:rsidRPr="0025741F">
        <w:rPr>
          <w:sz w:val="24"/>
        </w:rPr>
        <w:t>el 1</w:t>
      </w:r>
      <w:r>
        <w:rPr>
          <w:sz w:val="24"/>
        </w:rPr>
        <w:t xml:space="preserve">º </w:t>
      </w:r>
      <w:r w:rsidRPr="0025741F">
        <w:rPr>
          <w:sz w:val="24"/>
        </w:rPr>
        <w:t>de noviembre del 202</w:t>
      </w:r>
      <w:r>
        <w:rPr>
          <w:sz w:val="24"/>
        </w:rPr>
        <w:t>3</w:t>
      </w:r>
      <w:r w:rsidRPr="0025741F">
        <w:rPr>
          <w:sz w:val="24"/>
        </w:rPr>
        <w:t xml:space="preserve"> para </w:t>
      </w:r>
      <w:r>
        <w:rPr>
          <w:sz w:val="24"/>
        </w:rPr>
        <w:t xml:space="preserve">los sujetos participantes en </w:t>
      </w:r>
      <w:r w:rsidRPr="0025741F">
        <w:rPr>
          <w:sz w:val="24"/>
        </w:rPr>
        <w:t>la etapa 2.</w:t>
      </w:r>
    </w:p>
    <w:p w:rsidRPr="0025741F" w:rsidR="00EE1DF1" w:rsidP="00EE1DF1" w:rsidRDefault="00EE1DF1" w14:paraId="62769096" w14:textId="77777777">
      <w:pPr>
        <w:pStyle w:val="Texto"/>
        <w:spacing w:before="0" w:after="0" w:line="240" w:lineRule="auto"/>
        <w:rPr>
          <w:sz w:val="24"/>
        </w:rPr>
      </w:pPr>
    </w:p>
    <w:p w:rsidR="00EE1DF1" w:rsidP="00EE1DF1" w:rsidRDefault="00EE1DF1" w14:paraId="7995C260" w14:textId="77777777">
      <w:pPr>
        <w:pStyle w:val="Texto"/>
        <w:spacing w:before="0" w:after="0" w:line="240" w:lineRule="auto"/>
        <w:ind w:left="720"/>
        <w:rPr>
          <w:sz w:val="24"/>
        </w:rPr>
      </w:pPr>
      <w:r w:rsidRPr="0025741F">
        <w:rPr>
          <w:sz w:val="24"/>
        </w:rPr>
        <w:t>Por efectos de orden sólo se atenderán consultas por parte de la</w:t>
      </w:r>
      <w:r>
        <w:rPr>
          <w:sz w:val="24"/>
        </w:rPr>
        <w:t>s</w:t>
      </w:r>
      <w:r w:rsidRPr="0025741F">
        <w:rPr>
          <w:sz w:val="24"/>
        </w:rPr>
        <w:t xml:space="preserve"> persona</w:t>
      </w:r>
      <w:r>
        <w:rPr>
          <w:sz w:val="24"/>
        </w:rPr>
        <w:t>s</w:t>
      </w:r>
      <w:r w:rsidRPr="0025741F">
        <w:rPr>
          <w:sz w:val="24"/>
        </w:rPr>
        <w:t xml:space="preserve"> de enlace y deben enviarlas al correo </w:t>
      </w:r>
      <w:hyperlink w:history="1" r:id="rId13">
        <w:r w:rsidRPr="0025741F">
          <w:rPr>
            <w:rStyle w:val="Hipervnculo"/>
            <w:sz w:val="24"/>
          </w:rPr>
          <w:t>cicac@sugef.fi.cr</w:t>
        </w:r>
      </w:hyperlink>
      <w:r w:rsidRPr="0025741F">
        <w:rPr>
          <w:sz w:val="24"/>
        </w:rPr>
        <w:t>.</w:t>
      </w:r>
    </w:p>
    <w:p w:rsidR="00EE1DF1" w:rsidP="00EE1DF1" w:rsidRDefault="00EE1DF1" w14:paraId="014ECEB2" w14:textId="77777777">
      <w:pPr>
        <w:pStyle w:val="Texto"/>
        <w:spacing w:before="0" w:after="0" w:line="240" w:lineRule="auto"/>
        <w:contextualSpacing/>
        <w:rPr>
          <w:sz w:val="24"/>
          <w:lang w:eastAsia="es-ES"/>
        </w:rPr>
      </w:pPr>
    </w:p>
    <w:p w:rsidRPr="007A7F91" w:rsidR="00DA59C1" w:rsidP="00DA59C1" w:rsidRDefault="00EE1DF1" w14:paraId="141116ED" w14:textId="31E48C60">
      <w:pPr>
        <w:spacing w:line="240" w:lineRule="auto"/>
        <w:ind w:left="708"/>
        <w:contextualSpacing/>
        <w:rPr>
          <w:sz w:val="24"/>
          <w:lang w:val="es-CR" w:eastAsia="es-ES"/>
        </w:rPr>
      </w:pPr>
      <w:r>
        <w:rPr>
          <w:sz w:val="24"/>
          <w:lang w:val="es-CR" w:eastAsia="es-ES"/>
        </w:rPr>
        <w:t>L</w:t>
      </w:r>
      <w:r w:rsidRPr="00A17385">
        <w:rPr>
          <w:sz w:val="24"/>
          <w:lang w:val="es-CR" w:eastAsia="es-ES"/>
        </w:rPr>
        <w:t xml:space="preserve">as consultas telefónicas </w:t>
      </w:r>
      <w:r>
        <w:rPr>
          <w:sz w:val="24"/>
          <w:lang w:val="es-CR" w:eastAsia="es-ES"/>
        </w:rPr>
        <w:t xml:space="preserve">sobre la puesta en operación del CICAC </w:t>
      </w:r>
      <w:r w:rsidRPr="00A17385">
        <w:rPr>
          <w:sz w:val="24"/>
          <w:lang w:val="es-CR" w:eastAsia="es-ES"/>
        </w:rPr>
        <w:t>se deben hacer únicamente a las siguientes personas:</w:t>
      </w:r>
      <w:r w:rsidR="00DA59C1">
        <w:rPr>
          <w:sz w:val="24"/>
          <w:lang w:val="es-CR" w:eastAsia="es-ES"/>
        </w:rPr>
        <w:t xml:space="preserve"> </w:t>
      </w:r>
      <w:r w:rsidRPr="008B7BE3" w:rsidR="00DA59C1">
        <w:rPr>
          <w:color w:val="000000"/>
          <w:sz w:val="24"/>
          <w:lang w:val="es-CR" w:eastAsia="es-CR"/>
        </w:rPr>
        <w:t>Jackeline Morales Miranda</w:t>
      </w:r>
      <w:r w:rsidR="00DA59C1">
        <w:rPr>
          <w:color w:val="000000"/>
          <w:sz w:val="24"/>
          <w:lang w:val="es-CR" w:eastAsia="es-CR"/>
        </w:rPr>
        <w:t xml:space="preserve">, correo electrónico </w:t>
      </w:r>
      <w:hyperlink w:history="1" r:id="rId14">
        <w:r w:rsidRPr="0083202A" w:rsidR="00DA59C1">
          <w:rPr>
            <w:rStyle w:val="Hipervnculo"/>
            <w:sz w:val="24"/>
            <w:lang w:val="es-CR" w:eastAsia="es-CR"/>
          </w:rPr>
          <w:t>moralesmj@sugef.fi.cr</w:t>
        </w:r>
      </w:hyperlink>
      <w:r w:rsidR="00DA59C1">
        <w:rPr>
          <w:color w:val="000000"/>
          <w:sz w:val="24"/>
          <w:lang w:val="es-CR" w:eastAsia="es-CR"/>
        </w:rPr>
        <w:t xml:space="preserve">, teléfono 2243-4763 o con Andrea Segura Solís, correo electrónico </w:t>
      </w:r>
      <w:hyperlink w:history="1" r:id="rId15">
        <w:r w:rsidRPr="0083202A" w:rsidR="00DA59C1">
          <w:rPr>
            <w:rStyle w:val="Hipervnculo"/>
            <w:sz w:val="24"/>
            <w:lang w:val="es-CR" w:eastAsia="es-CR"/>
          </w:rPr>
          <w:t>segurasa@sugef.fi.cr</w:t>
        </w:r>
      </w:hyperlink>
      <w:r w:rsidR="00DA59C1">
        <w:rPr>
          <w:color w:val="000000"/>
          <w:sz w:val="24"/>
          <w:lang w:val="es-CR" w:eastAsia="es-CR"/>
        </w:rPr>
        <w:t>, teléfono 2243-4780.</w:t>
      </w:r>
    </w:p>
    <w:p w:rsidR="00EE1DF1" w:rsidP="00EE1DF1" w:rsidRDefault="00EE1DF1" w14:paraId="37175A71" w14:textId="77777777">
      <w:pPr>
        <w:spacing w:line="240" w:lineRule="auto"/>
        <w:ind w:left="284"/>
        <w:contextualSpacing/>
        <w:rPr>
          <w:sz w:val="24"/>
          <w:lang w:val="es-CR" w:eastAsia="es-ES"/>
        </w:rPr>
      </w:pPr>
    </w:p>
    <w:p w:rsidRPr="000B6878" w:rsidR="007A7F91" w:rsidP="007A7F91" w:rsidRDefault="007A7F91" w14:paraId="245D2098" w14:textId="0F7E9B82">
      <w:pPr>
        <w:pStyle w:val="Texto"/>
        <w:numPr>
          <w:ilvl w:val="0"/>
          <w:numId w:val="4"/>
        </w:numPr>
        <w:spacing w:before="0" w:after="0" w:line="240" w:lineRule="auto"/>
        <w:contextualSpacing/>
        <w:rPr>
          <w:sz w:val="24"/>
          <w:lang w:val="es-CR" w:eastAsia="es-ES"/>
        </w:rPr>
      </w:pPr>
      <w:r w:rsidRPr="000B6878">
        <w:rPr>
          <w:sz w:val="24"/>
          <w:lang w:val="es-CR" w:eastAsia="es-ES"/>
        </w:rPr>
        <w:t xml:space="preserve">Trasladar esta resolución a la </w:t>
      </w:r>
      <w:r w:rsidRPr="000B6878">
        <w:rPr>
          <w:sz w:val="24"/>
          <w:lang w:eastAsia="es-ES"/>
        </w:rPr>
        <w:t>Superintendencia General de Seguros (SUGESE), la Superintendencia General de Valores (SUGEVAL) y la Superintendencia de Pensiones (SUPEN), para que procedan con la comunicación respectiva a sus sujetos obligados.</w:t>
      </w:r>
    </w:p>
    <w:p w:rsidRPr="007A7F91" w:rsidR="007A7F91" w:rsidP="007A7F91" w:rsidRDefault="007A7F91" w14:paraId="4C16EE76" w14:textId="58B0712F">
      <w:pPr>
        <w:pStyle w:val="Texto"/>
        <w:spacing w:before="0" w:after="0" w:line="240" w:lineRule="auto"/>
        <w:ind w:left="360"/>
        <w:contextualSpacing/>
        <w:rPr>
          <w:sz w:val="24"/>
          <w:lang w:val="es-CR" w:eastAsia="es-ES"/>
        </w:rPr>
      </w:pPr>
    </w:p>
    <w:p w:rsidR="005650C5" w:rsidP="00EE1DF1" w:rsidRDefault="005650C5" w14:paraId="3B8B93F2" w14:textId="77777777">
      <w:pPr>
        <w:pStyle w:val="Texto"/>
        <w:spacing w:before="0" w:after="0" w:line="240" w:lineRule="auto"/>
        <w:contextualSpacing/>
        <w:rPr>
          <w:sz w:val="24"/>
        </w:rPr>
      </w:pPr>
    </w:p>
    <w:p w:rsidRPr="002E2B0A" w:rsidR="00EE1DF1" w:rsidP="00EE1DF1" w:rsidRDefault="00EE1DF1" w14:paraId="4ECC59B8" w14:textId="11C48769">
      <w:pPr>
        <w:pStyle w:val="Texto"/>
        <w:spacing w:before="0" w:after="0" w:line="240" w:lineRule="auto"/>
        <w:contextualSpacing/>
        <w:rPr>
          <w:sz w:val="24"/>
        </w:rPr>
      </w:pPr>
      <w:r w:rsidRPr="002E2B0A">
        <w:rPr>
          <w:sz w:val="24"/>
        </w:rPr>
        <w:t>Atentamente,</w:t>
      </w:r>
    </w:p>
    <w:p w:rsidR="00EE1DF1" w:rsidP="00EE1DF1" w:rsidRDefault="00EE1DF1" w14:paraId="109AD23F" w14:textId="77777777">
      <w:pPr>
        <w:spacing w:line="240" w:lineRule="auto"/>
        <w:contextualSpacing/>
        <w:rPr>
          <w:sz w:val="24"/>
        </w:rPr>
      </w:pPr>
      <w:r>
        <w:rPr>
          <w:noProof/>
          <w:lang w:val="es-CR" w:eastAsia="es-CR"/>
        </w:rPr>
        <w:drawing>
          <wp:anchor distT="0" distB="0" distL="114300" distR="114300" simplePos="0" relativeHeight="251661312" behindDoc="1" locked="0" layoutInCell="1" allowOverlap="1" wp14:editId="7DBD9074" wp14:anchorId="377AD156">
            <wp:simplePos x="0" y="0"/>
            <wp:positionH relativeFrom="column">
              <wp:posOffset>-78105</wp:posOffset>
            </wp:positionH>
            <wp:positionV relativeFrom="paragraph">
              <wp:posOffset>144145</wp:posOffset>
            </wp:positionV>
            <wp:extent cx="2519680" cy="3905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2E2B0A" w:rsidR="00EE1DF1" w:rsidP="00EE1DF1" w:rsidRDefault="00EE1DF1" w14:paraId="1E806BAB" w14:textId="77777777">
      <w:pPr>
        <w:spacing w:line="240" w:lineRule="auto"/>
        <w:contextualSpacing/>
        <w:rPr>
          <w:sz w:val="24"/>
        </w:rPr>
      </w:pPr>
    </w:p>
    <w:p w:rsidR="00EE1DF1" w:rsidP="00EE1DF1" w:rsidRDefault="00EE1DF1" w14:paraId="3FAF3C1D" w14:textId="77777777">
      <w:pPr>
        <w:pStyle w:val="Negrita"/>
        <w:spacing w:line="240" w:lineRule="auto"/>
        <w:contextualSpacing/>
        <w:jc w:val="left"/>
        <w:rPr>
          <w:sz w:val="24"/>
        </w:rPr>
      </w:pPr>
    </w:p>
    <w:p w:rsidR="00EE1DF1" w:rsidP="00EE1DF1" w:rsidRDefault="00EE1DF1" w14:paraId="40A1F8D4" w14:textId="77777777">
      <w:pPr>
        <w:pStyle w:val="Negrita"/>
        <w:spacing w:line="240" w:lineRule="auto"/>
        <w:contextualSpacing/>
        <w:jc w:val="left"/>
        <w:rPr>
          <w:b w:val="0"/>
          <w:sz w:val="24"/>
        </w:rPr>
      </w:pPr>
    </w:p>
    <w:p w:rsidRPr="002733E1" w:rsidR="00EE1DF1" w:rsidP="00EE1DF1" w:rsidRDefault="00EE1DF1" w14:paraId="20D3C41F" w14:textId="77777777">
      <w:pPr>
        <w:pStyle w:val="Negrita"/>
        <w:spacing w:line="240" w:lineRule="auto"/>
        <w:contextualSpacing/>
        <w:jc w:val="left"/>
        <w:rPr>
          <w:b w:val="0"/>
          <w:sz w:val="24"/>
        </w:rPr>
      </w:pPr>
      <w:r>
        <w:rPr>
          <w:b w:val="0"/>
          <w:sz w:val="24"/>
        </w:rPr>
        <w:t>Rocío Aguilar Montoya</w:t>
      </w:r>
    </w:p>
    <w:p w:rsidR="00EE1DF1" w:rsidP="00EE1DF1" w:rsidRDefault="00EE1DF1" w14:paraId="77178A56" w14:textId="77777777">
      <w:pPr>
        <w:pStyle w:val="Negrita"/>
        <w:spacing w:line="240" w:lineRule="auto"/>
        <w:contextualSpacing/>
        <w:jc w:val="left"/>
        <w:rPr>
          <w:noProof/>
          <w:lang w:val="es-CR" w:eastAsia="es-CR"/>
        </w:rPr>
      </w:pPr>
      <w:r>
        <w:rPr>
          <w:sz w:val="24"/>
        </w:rPr>
        <w:t>Superintendente General</w:t>
      </w:r>
      <w:r w:rsidRPr="00A35D0A">
        <w:rPr>
          <w:sz w:val="24"/>
        </w:rPr>
        <w:t xml:space="preserve"> </w:t>
      </w:r>
      <w:r>
        <w:rPr>
          <w:noProof/>
          <w:lang w:val="es-CR" w:eastAsia="es-CR"/>
        </w:rPr>
        <w:t xml:space="preserve"> </w:t>
      </w:r>
    </w:p>
    <w:bookmarkEnd w:id="0"/>
    <w:p w:rsidR="00EE1DF1" w:rsidP="00EE1DF1" w:rsidRDefault="00EE1DF1" w14:paraId="5D230478" w14:textId="77777777">
      <w:pPr>
        <w:spacing w:line="240" w:lineRule="auto"/>
        <w:contextualSpacing/>
        <w:rPr>
          <w:b/>
          <w:bCs/>
        </w:rPr>
      </w:pPr>
    </w:p>
    <w:p w:rsidR="00EE1DF1" w:rsidP="00EE1DF1" w:rsidRDefault="00EE1DF1" w14:paraId="236F59EB" w14:textId="77777777">
      <w:pPr>
        <w:spacing w:line="240" w:lineRule="auto"/>
        <w:contextualSpacing/>
        <w:rPr>
          <w:b/>
          <w:bCs/>
        </w:rPr>
      </w:pPr>
    </w:p>
    <w:p w:rsidR="00E92A8A" w:rsidP="00704DB1" w:rsidRDefault="00E92A8A" w14:paraId="1C0EDC2D" w14:textId="77777777">
      <w:pPr>
        <w:spacing w:line="240" w:lineRule="auto"/>
        <w:contextualSpacing/>
        <w:rPr>
          <w:b/>
          <w:bCs/>
        </w:rPr>
      </w:pPr>
    </w:p>
    <w:p w:rsidR="00EE1DF1" w:rsidP="00EE1DF1" w:rsidRDefault="00EE1DF1" w14:paraId="0AC027FA" w14:textId="31ABBBB9">
      <w:pPr>
        <w:spacing w:line="240" w:lineRule="auto"/>
        <w:contextualSpacing/>
        <w:jc w:val="center"/>
        <w:rPr>
          <w:b/>
          <w:bCs/>
        </w:rPr>
      </w:pPr>
      <w:r>
        <w:rPr>
          <w:b/>
          <w:bCs/>
        </w:rPr>
        <w:t>Anexo</w:t>
      </w:r>
    </w:p>
    <w:p w:rsidR="00EE1DF1" w:rsidP="00EE1DF1" w:rsidRDefault="00EE1DF1" w14:paraId="08CA4F62" w14:textId="0BC62692">
      <w:pPr>
        <w:spacing w:line="240" w:lineRule="auto"/>
        <w:contextualSpacing/>
        <w:jc w:val="center"/>
        <w:rPr>
          <w:b/>
          <w:bCs/>
        </w:rPr>
      </w:pPr>
      <w:r>
        <w:rPr>
          <w:b/>
          <w:bCs/>
        </w:rPr>
        <w:t>Informe de Seguimiento</w:t>
      </w:r>
    </w:p>
    <w:p w:rsidR="002E1187" w:rsidP="00EE1DF1" w:rsidRDefault="002E1187" w14:paraId="4BC270FA" w14:textId="77777777">
      <w:pPr>
        <w:spacing w:line="240" w:lineRule="auto"/>
        <w:contextualSpacing/>
        <w:jc w:val="center"/>
        <w:rPr>
          <w:b/>
          <w:bCs/>
        </w:rPr>
      </w:pPr>
    </w:p>
    <w:p w:rsidR="00EE1DF1" w:rsidP="00EE1DF1" w:rsidRDefault="00EE1DF1" w14:paraId="5454177E" w14:textId="77777777">
      <w:pPr>
        <w:spacing w:line="240" w:lineRule="auto"/>
        <w:contextualSpacing/>
        <w:jc w:val="center"/>
        <w:rPr>
          <w:b/>
          <w:bCs/>
        </w:rPr>
      </w:pPr>
    </w:p>
    <w:bookmarkStart w:name="_MON_1708314966" w:id="3"/>
    <w:bookmarkEnd w:id="3"/>
    <w:p w:rsidR="00EE1DF1" w:rsidP="00EE1DF1" w:rsidRDefault="000E6E9B" w14:paraId="3916107F" w14:textId="3AC39E5A">
      <w:pPr>
        <w:spacing w:line="240" w:lineRule="auto"/>
        <w:contextualSpacing/>
        <w:jc w:val="center"/>
        <w:rPr>
          <w:b/>
          <w:bCs/>
        </w:rPr>
      </w:pPr>
      <w:r>
        <w:rPr>
          <w:b/>
          <w:bCs/>
        </w:rPr>
        <w:object w:dxaOrig="1360" w:dyaOrig="880" w14:anchorId="5767DCD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8.25pt;height:44.25pt" o:ole="" type="#_x0000_t75">
            <v:imagedata o:title="" r:id="rId17"/>
          </v:shape>
          <o:OLEObject Type="Embed" ProgID="Excel.Sheet.12" ShapeID="_x0000_i1025" DrawAspect="Icon" ObjectID="_1710058328" r:id="rId18"/>
        </w:object>
      </w:r>
    </w:p>
    <w:p w:rsidRPr="006972C9" w:rsidR="00EE1DF1" w:rsidP="00EE1DF1" w:rsidRDefault="00EE1DF1" w14:paraId="1E83B546" w14:textId="77777777"/>
    <w:p w:rsidRPr="006972C9" w:rsidR="00EE1DF1" w:rsidP="00EE1DF1" w:rsidRDefault="00EE1DF1" w14:paraId="3DCE0FCD" w14:textId="77777777"/>
    <w:p w:rsidRPr="00B306D9" w:rsidR="00AF06C5" w:rsidP="00B306D9" w:rsidRDefault="00EE1DF1" w14:paraId="2205B78A" w14:textId="7063C062">
      <w:pPr>
        <w:pStyle w:val="CC"/>
        <w:spacing w:line="240" w:lineRule="auto"/>
        <w:contextualSpacing/>
        <w:rPr>
          <w:b/>
          <w:bCs/>
        </w:rPr>
      </w:pPr>
      <w:r>
        <w:rPr>
          <w:i/>
          <w:iCs/>
          <w:sz w:val="16"/>
          <w:szCs w:val="16"/>
          <w:lang w:val="es-CR"/>
        </w:rPr>
        <w:t>RAM/</w:t>
      </w:r>
      <w:r w:rsidRPr="00B56EFA">
        <w:rPr>
          <w:i/>
          <w:iCs/>
          <w:sz w:val="16"/>
          <w:szCs w:val="16"/>
          <w:lang w:val="es-CR"/>
        </w:rPr>
        <w:t>RCA/JMM/</w:t>
      </w:r>
      <w:r w:rsidRPr="0086144E">
        <w:rPr>
          <w:i/>
          <w:iCs/>
          <w:sz w:val="16"/>
          <w:szCs w:val="16"/>
          <w:lang w:val="es-CR"/>
        </w:rPr>
        <w:t>ASS</w:t>
      </w:r>
      <w:bookmarkEnd w:id="1"/>
      <w:r w:rsidR="00B449A6">
        <w:rPr>
          <w:i/>
          <w:iCs/>
          <w:sz w:val="16"/>
          <w:szCs w:val="16"/>
          <w:lang w:val="es-CR"/>
        </w:rPr>
        <w:t>/.</w:t>
      </w:r>
    </w:p>
    <w:sectPr w:rsidRPr="00B306D9" w:rsidR="00AF06C5">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1AB80" w14:textId="77777777" w:rsidR="00F676B9" w:rsidRDefault="00F676B9" w:rsidP="009349F3">
      <w:pPr>
        <w:spacing w:line="240" w:lineRule="auto"/>
      </w:pPr>
      <w:r>
        <w:separator/>
      </w:r>
    </w:p>
  </w:endnote>
  <w:endnote w:type="continuationSeparator" w:id="0">
    <w:p w14:paraId="4898AF16" w14:textId="77777777" w:rsidR="00F676B9" w:rsidRDefault="00F676B9"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02D537BF"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1F7B1988" w14:textId="77777777">
      <w:tc>
        <w:tcPr>
          <w:tcW w:w="2942" w:type="dxa"/>
        </w:tcPr>
        <w:p w:rsidR="00DD0C27" w:rsidP="00DD0C27" w:rsidRDefault="00DD0C27" w14:paraId="46D02F6D" w14:textId="77777777">
          <w:pPr>
            <w:pStyle w:val="Piedepgina"/>
            <w:rPr>
              <w:b/>
              <w:color w:val="7F7F7F" w:themeColor="text1" w:themeTint="80"/>
              <w:sz w:val="16"/>
              <w:szCs w:val="16"/>
            </w:rPr>
          </w:pPr>
          <w:r>
            <w:rPr>
              <w:b/>
              <w:color w:val="7F7F7F" w:themeColor="text1" w:themeTint="80"/>
              <w:sz w:val="16"/>
              <w:szCs w:val="16"/>
            </w:rPr>
            <w:t>Teléfono: (506) 2243-4848</w:t>
          </w:r>
        </w:p>
        <w:p w:rsidR="00DD0C27" w:rsidP="00DD0C27" w:rsidRDefault="00DD0C27" w14:paraId="3BB840DD"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D0C27" w:rsidRDefault="00517D62" w14:paraId="269D3714" w14:textId="77777777">
          <w:pPr>
            <w:pStyle w:val="Piedepgina"/>
            <w:rPr>
              <w:b/>
              <w:color w:val="7F7F7F" w:themeColor="text1" w:themeTint="80"/>
              <w:sz w:val="16"/>
              <w:szCs w:val="16"/>
            </w:rPr>
          </w:pPr>
        </w:p>
      </w:tc>
      <w:tc>
        <w:tcPr>
          <w:tcW w:w="2943" w:type="dxa"/>
        </w:tcPr>
        <w:p w:rsidRPr="009349F3" w:rsidR="00517D62" w:rsidP="00855792" w:rsidRDefault="00517D62" w14:paraId="7856B71B"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31BB7388"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7F4BF17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508F2BFB"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15E6FC8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50C69" w14:textId="77777777" w:rsidR="00F676B9" w:rsidRDefault="00F676B9" w:rsidP="009349F3">
      <w:pPr>
        <w:spacing w:line="240" w:lineRule="auto"/>
      </w:pPr>
      <w:r>
        <w:separator/>
      </w:r>
    </w:p>
  </w:footnote>
  <w:footnote w:type="continuationSeparator" w:id="0">
    <w:p w14:paraId="6D6B9440" w14:textId="77777777" w:rsidR="00F676B9" w:rsidRDefault="00F676B9"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224E7604"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5036706C" w14:textId="77777777">
    <w:pPr>
      <w:pStyle w:val="Encabezado"/>
    </w:pPr>
    <w:r>
      <w:ptab w:alignment="center" w:relativeTo="margin" w:leader="none"/>
    </w:r>
    <w:r>
      <w:rPr>
        <w:noProof/>
        <w:lang w:val="es-CR" w:eastAsia="es-CR"/>
      </w:rPr>
      <w:drawing>
        <wp:inline distT="0" distB="0" distL="0" distR="0" wp14:anchorId="64678E10" wp14:editId="73C1DCE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0179DE43"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D19FF"/>
    <w:multiLevelType w:val="hybridMultilevel"/>
    <w:tmpl w:val="8D28A7A4"/>
    <w:lvl w:ilvl="0" w:tplc="140A0017">
      <w:start w:val="1"/>
      <w:numFmt w:val="lowerLetter"/>
      <w:lvlText w:val="%1)"/>
      <w:lvlJc w:val="left"/>
      <w:pPr>
        <w:ind w:left="1440" w:hanging="360"/>
      </w:pPr>
      <w:rPr>
        <w:rFont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3D3B363B"/>
    <w:multiLevelType w:val="hybridMultilevel"/>
    <w:tmpl w:val="4BDC93F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4" w15:restartNumberingAfterBreak="0">
    <w:nsid w:val="45AB6778"/>
    <w:multiLevelType w:val="hybridMultilevel"/>
    <w:tmpl w:val="8D28A7A4"/>
    <w:lvl w:ilvl="0" w:tplc="140A0017">
      <w:start w:val="1"/>
      <w:numFmt w:val="lowerLetter"/>
      <w:lvlText w:val="%1)"/>
      <w:lvlJc w:val="left"/>
      <w:pPr>
        <w:ind w:left="1440" w:hanging="360"/>
      </w:pPr>
      <w:rPr>
        <w:rFont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690526A5"/>
    <w:multiLevelType w:val="hybridMultilevel"/>
    <w:tmpl w:val="8344265E"/>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7" w15:restartNumberingAfterBreak="0">
    <w:nsid w:val="7A025F82"/>
    <w:multiLevelType w:val="hybridMultilevel"/>
    <w:tmpl w:val="78501F82"/>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A130361"/>
    <w:multiLevelType w:val="hybridMultilevel"/>
    <w:tmpl w:val="9AC4F9B0"/>
    <w:lvl w:ilvl="0" w:tplc="74BCE182">
      <w:start w:val="1"/>
      <w:numFmt w:val="decimal"/>
      <w:lvlText w:val="%1."/>
      <w:lvlJc w:val="left"/>
      <w:pPr>
        <w:ind w:left="360" w:hanging="360"/>
      </w:pPr>
      <w:rPr>
        <w:b w:val="0"/>
        <w:bCs/>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
  </w:num>
  <w:num w:numId="2">
    <w:abstractNumId w:val="5"/>
  </w:num>
  <w:num w:numId="3">
    <w:abstractNumId w:val="8"/>
  </w:num>
  <w:num w:numId="4">
    <w:abstractNumId w:val="7"/>
  </w:num>
  <w:num w:numId="5">
    <w:abstractNumId w:val="3"/>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B9"/>
    <w:rsid w:val="000056E7"/>
    <w:rsid w:val="00025BB5"/>
    <w:rsid w:val="000407E5"/>
    <w:rsid w:val="00052FFD"/>
    <w:rsid w:val="000A51F8"/>
    <w:rsid w:val="000B658C"/>
    <w:rsid w:val="000B6878"/>
    <w:rsid w:val="000E6E9B"/>
    <w:rsid w:val="0014354C"/>
    <w:rsid w:val="00150546"/>
    <w:rsid w:val="001A18B4"/>
    <w:rsid w:val="001F63F9"/>
    <w:rsid w:val="0021799E"/>
    <w:rsid w:val="00225A71"/>
    <w:rsid w:val="002275A9"/>
    <w:rsid w:val="002A5877"/>
    <w:rsid w:val="002A6526"/>
    <w:rsid w:val="002D6ACD"/>
    <w:rsid w:val="002E1187"/>
    <w:rsid w:val="00303EEB"/>
    <w:rsid w:val="003043E8"/>
    <w:rsid w:val="00311644"/>
    <w:rsid w:val="00322C6D"/>
    <w:rsid w:val="0033556F"/>
    <w:rsid w:val="0034725E"/>
    <w:rsid w:val="003C73B1"/>
    <w:rsid w:val="003E0A6C"/>
    <w:rsid w:val="003E215D"/>
    <w:rsid w:val="003E3D6E"/>
    <w:rsid w:val="0040286A"/>
    <w:rsid w:val="00411659"/>
    <w:rsid w:val="00417EF8"/>
    <w:rsid w:val="0042653C"/>
    <w:rsid w:val="00517D62"/>
    <w:rsid w:val="005650C5"/>
    <w:rsid w:val="005D605E"/>
    <w:rsid w:val="005F7C14"/>
    <w:rsid w:val="00616E94"/>
    <w:rsid w:val="006202CF"/>
    <w:rsid w:val="00653280"/>
    <w:rsid w:val="00660882"/>
    <w:rsid w:val="0066384E"/>
    <w:rsid w:val="006972C9"/>
    <w:rsid w:val="006C628C"/>
    <w:rsid w:val="006D1E13"/>
    <w:rsid w:val="006D4935"/>
    <w:rsid w:val="00704DB1"/>
    <w:rsid w:val="0075045B"/>
    <w:rsid w:val="00762A11"/>
    <w:rsid w:val="00771515"/>
    <w:rsid w:val="007A7F91"/>
    <w:rsid w:val="007D4F44"/>
    <w:rsid w:val="007F1F47"/>
    <w:rsid w:val="0080131E"/>
    <w:rsid w:val="00812B9A"/>
    <w:rsid w:val="008200B7"/>
    <w:rsid w:val="00852F96"/>
    <w:rsid w:val="00855792"/>
    <w:rsid w:val="0086144E"/>
    <w:rsid w:val="008643F9"/>
    <w:rsid w:val="008840B0"/>
    <w:rsid w:val="008C3719"/>
    <w:rsid w:val="008D0062"/>
    <w:rsid w:val="008D1D59"/>
    <w:rsid w:val="008F0662"/>
    <w:rsid w:val="008F0CC1"/>
    <w:rsid w:val="00900B79"/>
    <w:rsid w:val="009349F3"/>
    <w:rsid w:val="00951B5F"/>
    <w:rsid w:val="00965A9D"/>
    <w:rsid w:val="00972EAD"/>
    <w:rsid w:val="00976E17"/>
    <w:rsid w:val="009A1D50"/>
    <w:rsid w:val="009A2B26"/>
    <w:rsid w:val="009B2EB3"/>
    <w:rsid w:val="009C1C2B"/>
    <w:rsid w:val="009C75B4"/>
    <w:rsid w:val="00A45B42"/>
    <w:rsid w:val="00AC501E"/>
    <w:rsid w:val="00AC7612"/>
    <w:rsid w:val="00AF06C5"/>
    <w:rsid w:val="00B237E7"/>
    <w:rsid w:val="00B306D9"/>
    <w:rsid w:val="00B449A6"/>
    <w:rsid w:val="00B45F3C"/>
    <w:rsid w:val="00B673FC"/>
    <w:rsid w:val="00BC242A"/>
    <w:rsid w:val="00BC6B77"/>
    <w:rsid w:val="00C5070F"/>
    <w:rsid w:val="00C50DC5"/>
    <w:rsid w:val="00C87C9D"/>
    <w:rsid w:val="00CC3244"/>
    <w:rsid w:val="00CD5DD8"/>
    <w:rsid w:val="00D637F3"/>
    <w:rsid w:val="00D90A30"/>
    <w:rsid w:val="00D94C5F"/>
    <w:rsid w:val="00DA59C1"/>
    <w:rsid w:val="00DD0C27"/>
    <w:rsid w:val="00DD7E91"/>
    <w:rsid w:val="00DE2D06"/>
    <w:rsid w:val="00DE4281"/>
    <w:rsid w:val="00E17FE8"/>
    <w:rsid w:val="00E4332B"/>
    <w:rsid w:val="00E92A8A"/>
    <w:rsid w:val="00EE1DF1"/>
    <w:rsid w:val="00EF31BA"/>
    <w:rsid w:val="00F370C7"/>
    <w:rsid w:val="00F676B9"/>
    <w:rsid w:val="00FA69E2"/>
    <w:rsid w:val="00FA7AB6"/>
    <w:rsid w:val="00FC0034"/>
    <w:rsid w:val="00FF596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08B777"/>
  <w15:chartTrackingRefBased/>
  <w15:docId w15:val="{86B26218-5B0E-4066-94BA-3A24705C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EE1DF1"/>
    <w:pPr>
      <w:ind w:left="720"/>
      <w:contextualSpacing/>
    </w:pPr>
  </w:style>
  <w:style w:type="character" w:customStyle="1" w:styleId="PrrafodelistaCar">
    <w:name w:val="Párrafo de lista Car"/>
    <w:link w:val="Prrafodelista"/>
    <w:uiPriority w:val="34"/>
    <w:locked/>
    <w:rsid w:val="00EE1DF1"/>
    <w:rPr>
      <w:rFonts w:ascii="Cambria" w:eastAsia="Times New Roman" w:hAnsi="Cambria" w:cs="Times New Roman"/>
      <w:szCs w:val="24"/>
      <w:lang w:val="es-ES"/>
    </w:rPr>
  </w:style>
  <w:style w:type="table" w:styleId="Tablaconcuadrcula1clara-nfasis1">
    <w:name w:val="Grid Table 1 Light Accent 1"/>
    <w:basedOn w:val="Tablanormal"/>
    <w:uiPriority w:val="46"/>
    <w:rsid w:val="00EE1D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EE1D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Mencinsinresolver">
    <w:name w:val="Unresolved Mention"/>
    <w:basedOn w:val="Fuentedeprrafopredeter"/>
    <w:uiPriority w:val="99"/>
    <w:semiHidden/>
    <w:unhideWhenUsed/>
    <w:rsid w:val="007A7F91"/>
    <w:rPr>
      <w:color w:val="605E5C"/>
      <w:shd w:val="clear" w:color="auto" w:fill="E1DFDD"/>
    </w:rPr>
  </w:style>
  <w:style w:type="character" w:styleId="Refdecomentario">
    <w:name w:val="annotation reference"/>
    <w:basedOn w:val="Fuentedeprrafopredeter"/>
    <w:uiPriority w:val="99"/>
    <w:semiHidden/>
    <w:unhideWhenUsed/>
    <w:rsid w:val="009B2EB3"/>
    <w:rPr>
      <w:sz w:val="16"/>
      <w:szCs w:val="16"/>
    </w:rPr>
  </w:style>
  <w:style w:type="paragraph" w:styleId="Textocomentario">
    <w:name w:val="annotation text"/>
    <w:basedOn w:val="Normal"/>
    <w:link w:val="TextocomentarioCar"/>
    <w:uiPriority w:val="99"/>
    <w:semiHidden/>
    <w:unhideWhenUsed/>
    <w:rsid w:val="009B2E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2EB3"/>
    <w:rPr>
      <w:rFonts w:ascii="Cambria" w:eastAsia="Times New Roman" w:hAnsi="Cambria"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9B2EB3"/>
    <w:rPr>
      <w:b/>
      <w:bCs/>
    </w:rPr>
  </w:style>
  <w:style w:type="character" w:customStyle="1" w:styleId="AsuntodelcomentarioCar">
    <w:name w:val="Asunto del comentario Car"/>
    <w:basedOn w:val="TextocomentarioCar"/>
    <w:link w:val="Asuntodelcomentario"/>
    <w:uiPriority w:val="99"/>
    <w:semiHidden/>
    <w:rsid w:val="009B2EB3"/>
    <w:rPr>
      <w:rFonts w:ascii="Cambria" w:eastAsia="Times New Roman" w:hAnsi="Cambria"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icac@sugef.fi.cr" TargetMode="External"/><Relationship Id="rId18" Type="http://schemas.openxmlformats.org/officeDocument/2006/relationships/package" Target="embeddings/Microsoft_Excel_Worksheet.xlsx"/><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cicac@sugef.fi.cr"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egurasa@sugef.fi.cr" TargetMode="External"/><Relationship Id="rId23" Type="http://schemas.openxmlformats.org/officeDocument/2006/relationships/header" Target="header3.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ralesmj@sugef.fi.cr"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9A078340824BFAA28E2CADD5893CA3"/>
        <w:category>
          <w:name w:val="General"/>
          <w:gallery w:val="placeholder"/>
        </w:category>
        <w:types>
          <w:type w:val="bbPlcHdr"/>
        </w:types>
        <w:behaviors>
          <w:behavior w:val="content"/>
        </w:behaviors>
        <w:guid w:val="{70715204-12DF-4247-B0FB-EEA6E85793A6}"/>
      </w:docPartPr>
      <w:docPartBody>
        <w:p w:rsidR="00C8523E" w:rsidRDefault="00C8523E">
          <w:pPr>
            <w:pStyle w:val="DA9A078340824BFAA28E2CADD5893CA3"/>
          </w:pPr>
          <w:r w:rsidRPr="001E0779">
            <w:rPr>
              <w:rStyle w:val="Textodelmarcadordeposicin"/>
            </w:rPr>
            <w:t>Haga clic aquí para escribir texto.</w:t>
          </w:r>
        </w:p>
      </w:docPartBody>
    </w:docPart>
    <w:docPart>
      <w:docPartPr>
        <w:name w:val="C0FE43C564EC4F55A9C1503EAEBA0690"/>
        <w:category>
          <w:name w:val="General"/>
          <w:gallery w:val="placeholder"/>
        </w:category>
        <w:types>
          <w:type w:val="bbPlcHdr"/>
        </w:types>
        <w:behaviors>
          <w:behavior w:val="content"/>
        </w:behaviors>
        <w:guid w:val="{D38344D4-E489-41CE-B97F-36C50BD6AC48}"/>
      </w:docPartPr>
      <w:docPartBody>
        <w:p w:rsidR="00C8523E" w:rsidRDefault="00C8523E">
          <w:pPr>
            <w:pStyle w:val="C0FE43C564EC4F55A9C1503EAEBA069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3E"/>
    <w:rsid w:val="00C852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A9A078340824BFAA28E2CADD5893CA3">
    <w:name w:val="DA9A078340824BFAA28E2CADD5893CA3"/>
  </w:style>
  <w:style w:type="paragraph" w:customStyle="1" w:styleId="C0FE43C564EC4F55A9C1503EAEBA0690">
    <w:name w:val="C0FE43C564EC4F55A9C1503EAEBA06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OtmfE9laFb2qvSdqFJt6oOKh5fp92Q5AkSnE7dMIu0c=</DigestValue>
    </Reference>
    <Reference Type="http://www.w3.org/2000/09/xmldsig#Object" URI="#idOfficeObject">
      <DigestMethod Algorithm="http://www.w3.org/2001/04/xmlenc#sha256"/>
      <DigestValue>a9NATRrVn0A+MpQk4Gxdwa1M2lW167QQPmEGPA8eVmo=</DigestValue>
    </Reference>
    <Reference Type="http://uri.etsi.org/01903#SignedProperties" URI="#idSignedProperties">
      <Transforms>
        <Transform Algorithm="http://www.w3.org/TR/2001/REC-xml-c14n-20010315"/>
      </Transforms>
      <DigestMethod Algorithm="http://www.w3.org/2001/04/xmlenc#sha256"/>
      <DigestValue>Hm0rDjRBfrQGceBZw4qWZYYUyMoquvyFcBtYSiBifm0=</DigestValue>
    </Reference>
  </SignedInfo>
  <SignatureValue>VD+QMwa8IqyoylfPc/doSmD9Yjp4CLTXSY5EZsP/jqJakIv20hjzabtdTkZu8gNdmm8zw3Usmt7m
SJT4kD2YDXoQ3u65kkYNNpqMKEwIpVT7NwUeA7UZTR3KTXdqGS87o8x/d0Bc4VKcdFN+tpIO5hu0
TTvDU7GhklRtzU//SO44lPWPbokMfXILuUWD/T3c3+QnBcKNzvEmMNMscLyJ1F436p7HIk6ZOYz4
r4fc8JcOdOWPUOE78+5wZOleUMsw/brPTOSD0zZeVLa314YKxadQ2A+n4gy1IqKbrce3KEUJwbZW
zk7v/BNN8ZKVQ2ZgHdUEc8cT1F+JXdhEVECe1g==</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JALMv0mBpe8KlLeRmM2vqGknsjjbXQw1Qa2o5I/B6Is=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xnWcwGnTPhJzxPrMnsZp1A6CIjq397QHrOU+8UoJyos=</DigestValue>
      </Reference>
      <Reference URI="/word/embeddings/Microsoft_Excel_Worksheet.xlsx?ContentType=application/vnd.openxmlformats-officedocument.spreadsheetml.sheet">
        <DigestMethod Algorithm="http://www.w3.org/2001/04/xmlenc#sha256"/>
        <DigestValue>PtdVXesVuSKXcyDgnNgBRsPABXkgGwGAuYjisM2Zbxk=</DigestValue>
      </Reference>
      <Reference URI="/word/endnotes.xml?ContentType=application/vnd.openxmlformats-officedocument.wordprocessingml.endnotes+xml">
        <DigestMethod Algorithm="http://www.w3.org/2001/04/xmlenc#sha256"/>
        <DigestValue>PqFjKCcOvwUic4I1XtgEdj9fWtYs/BBro34KsMaX45Q=</DigestValue>
      </Reference>
      <Reference URI="/word/fontTable.xml?ContentType=application/vnd.openxmlformats-officedocument.wordprocessingml.fontTable+xml">
        <DigestMethod Algorithm="http://www.w3.org/2001/04/xmlenc#sha256"/>
        <DigestValue>Z1bbC/xT9ttJSnmDhi+erjXa3xH8GVNA8D0g8/CLsOs=</DigestValue>
      </Reference>
      <Reference URI="/word/footer1.xml?ContentType=application/vnd.openxmlformats-officedocument.wordprocessingml.footer+xml">
        <DigestMethod Algorithm="http://www.w3.org/2001/04/xmlenc#sha256"/>
        <DigestValue>fPo+P7WbHK2358MA22V7nex93fb1Pf5TWLTb74W4GdE=</DigestValue>
      </Reference>
      <Reference URI="/word/footer2.xml?ContentType=application/vnd.openxmlformats-officedocument.wordprocessingml.footer+xml">
        <DigestMethod Algorithm="http://www.w3.org/2001/04/xmlenc#sha256"/>
        <DigestValue>uEgxybW2+9XJhcwPt28u5DvkfIqU0SlRgS8/5rI5RVg=</DigestValue>
      </Reference>
      <Reference URI="/word/footer3.xml?ContentType=application/vnd.openxmlformats-officedocument.wordprocessingml.footer+xml">
        <DigestMethod Algorithm="http://www.w3.org/2001/04/xmlenc#sha256"/>
        <DigestValue>j+28/lTfDRn3WH1bMYR8n7YmVOTt/RGtB5fyv/u+4xY=</DigestValue>
      </Reference>
      <Reference URI="/word/footnotes.xml?ContentType=application/vnd.openxmlformats-officedocument.wordprocessingml.footnotes+xml">
        <DigestMethod Algorithm="http://www.w3.org/2001/04/xmlenc#sha256"/>
        <DigestValue>utDrVNANW1cIewubM+yLuZDC6PPuRzJjENLAEpyOi4U=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WOoyhvmTFknUEhd+snbnYAF3iDpNxVtllrZl7xWm2II=</DigestValue>
      </Reference>
      <Reference URI="/word/glossary/fontTable.xml?ContentType=application/vnd.openxmlformats-officedocument.wordprocessingml.fontTable+xml">
        <DigestMethod Algorithm="http://www.w3.org/2001/04/xmlenc#sha256"/>
        <DigestValue>Z1bbC/xT9ttJSnmDhi+erjXa3xH8GVNA8D0g8/CLsOs=</DigestValue>
      </Reference>
      <Reference URI="/word/glossary/settings.xml?ContentType=application/vnd.openxmlformats-officedocument.wordprocessingml.settings+xml">
        <DigestMethod Algorithm="http://www.w3.org/2001/04/xmlenc#sha256"/>
        <DigestValue>J34GGnSWPtJZfOAZgl6yS4B0pdObL9z2Brr8k+GSReA=</DigestValue>
      </Reference>
      <Reference URI="/word/glossary/styles.xml?ContentType=application/vnd.openxmlformats-officedocument.wordprocessingml.styles+xml">
        <DigestMethod Algorithm="http://www.w3.org/2001/04/xmlenc#sha256"/>
        <DigestValue>zUAuKKUwkpswf0it9GBEErpT+EgBTjzYonlhdfM97nY=</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xFna74rp6hLzaJN2zFzXBWvwESnVy4Zx4/zba8asL/4=</DigestValue>
      </Reference>
      <Reference URI="/word/header2.xml?ContentType=application/vnd.openxmlformats-officedocument.wordprocessingml.header+xml">
        <DigestMethod Algorithm="http://www.w3.org/2001/04/xmlenc#sha256"/>
        <DigestValue>8/BFvIqkVQz50MSV7X1sXbWHZJ2/k4cSYv5+eLyxz34=</DigestValue>
      </Reference>
      <Reference URI="/word/header3.xml?ContentType=application/vnd.openxmlformats-officedocument.wordprocessingml.header+xml">
        <DigestMethod Algorithm="http://www.w3.org/2001/04/xmlenc#sha256"/>
        <DigestValue>L0gGLatXYBglX/IjtO84LQaQu/ZtbT4FbNcJq2hL/qw=</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NIclyh8QQLaO1ZFgFamX8iYnVGLzYkkqy6x6In9aqGE=</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nnCS+Spa6mQ0wJQCG6Jppbmf7G9W6IPFtewl+GGGgpI=</DigestValue>
      </Reference>
      <Reference URI="/word/settings.xml?ContentType=application/vnd.openxmlformats-officedocument.wordprocessingml.settings+xml">
        <DigestMethod Algorithm="http://www.w3.org/2001/04/xmlenc#sha256"/>
        <DigestValue>QU8z3e4InguJGr7BVZV4RLhVf260pBhbuRAnLSps0ao=</DigestValue>
      </Reference>
      <Reference URI="/word/styles.xml?ContentType=application/vnd.openxmlformats-officedocument.wordprocessingml.styles+xml">
        <DigestMethod Algorithm="http://www.w3.org/2001/04/xmlenc#sha256"/>
        <DigestValue>un2mRGdRHlL1dfhDrpFEXMlvQO5WCN90lQuxLCBp6Xk=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4eE2UUZZMkzOsyQ9cXRPJSQbWiYEkDN7Ub1pyNuwqtQ=</DigestValue>
      </Reference>
    </Manifest>
    <SignatureProperties>
      <SignatureProperty Id="idSignatureTime" Target="#idPackageSignature">
        <mdssi:SignatureTime xmlns:mdssi="http://schemas.openxmlformats.org/package/2006/digital-signature">
          <mdssi:Format>YYYY-MM-DDThh:mm:ssTZD</mdssi:Format>
          <mdssi:Value>2022-03-30T00:23:41Z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2022-03-30T00:23:41Z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k65Kg2E+3SklL0BjNlnyje42icYKrx/RzXx90HoCQA8CBA6Eb9kYDzIwMjIwMzMwMDAyMzU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</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uPvg7TxOL+LPiquK4aH4npGpqYE=</xd:ByKey>
                  </xd:ResponderID>
                  <xd:ProducedAt>2022-03-30T00:23:40Z</xd:ProducedAt>
                </xd:OCSPIdentifier>
                <xd:DigestAlgAndValue>
                  <DigestMethod Algorithm="http://www.w3.org/2001/04/xmlenc#sha256"/>
                  <DigestValue>mHyuGjk3yaNmHsPPjg6kiBP+7KBaxuQyZ3bTMvO1mn4=</DigestValue>
                </xd:DigestAlgAndValue>
              </xd:OCSPRef>
            </xd:OCSPRefs>
            <xd:CRLRefs>
              <xd:CRLRef>
                <xd:DigestAlgAndValue>
                  <DigestMethod Algorithm="http://www.w3.org/2001/04/xmlenc#sha256"/>
                  <DigestValue>Q0fyxLiK3ld3dudnB5tjZ29VGB/YpVFroNqXJuoJ8gM=</DigestValue>
                </xd:DigestAlgAndValue>
                <xd:CRLIdentifier>
                  <xd:Issuer>CN=CA POLITICA PERSONA FISICA - COSTA RICA v2, OU=DCFD, O=MICITT, C=CR, SERIALNUMBER=CPJ-2-100-098311</xd:Issuer>
                  <xd:IssueTime>2022-02-17T20:03:06Z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</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</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vcCi6gC+gHrxdHnL/v2xNrZq2UdKs0fSC/z4Inw6XgUCBA6Eb9sYDzIwMjIwMzMwMDAyMzU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</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67" ma:contentTypeDescription="Crear nuevo documento." ma:contentTypeScope="" ma:versionID="d7c5c98d80094a50763066314ce73b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127</Value>
      <Value>161</Value>
      <Value>128</Value>
      <Value>183</Value>
      <Value>63</Value>
    </TaxCatchAll>
    <OtraEntidadExterna xmlns="b875e23b-67d9-4b2e-bdec-edacbf90b326" xsi:nil="true"/>
    <Firmado xmlns="b875e23b-67d9-4b2e-bdec-edacbf90b326">true</Firmado>
    <Responsable xmlns="b875e23b-67d9-4b2e-bdec-edacbf90b326">
      <UserInfo>
        <DisplayName>MORALES MIRANDA JACKELINE REBECCA</DisplayName>
        <AccountId>1797</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i:0#.w|pdc-atlantida\segurasa</DisplayName>
        <AccountId>2018</AccountId>
        <AccountType/>
      </UserInfo>
      <UserInfo>
        <DisplayName>i:0#.w|pdc-atlantida\cotoar</DisplayName>
        <AccountId>291</AccountId>
        <AccountType/>
      </UserInfo>
      <UserInfo>
        <DisplayName>i:0#.w|pdc-atlantida\moralesmj</DisplayName>
        <AccountId>1797</AccountId>
        <AccountType/>
      </UserInfo>
      <UserInfo>
        <DisplayName>i:0#.w|pdc-atlantida\lopezsm</DisplayName>
        <AccountId>1743</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2022-03-23T06:00:00+00:00</FechaDocumento>
    <RemitenteOriginal xmlns="b875e23b-67d9-4b2e-bdec-edacbf90b326">Cumplimiento Entidades Financieras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Resolución del Superintentende - Puesta en Marcha CICAC</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52EB8969-5CB8-4539-9894-F6840925353F}"/>
</file>

<file path=customXml/itemProps2.xml><?xml version="1.0" encoding="utf-8"?>
<ds:datastoreItem xmlns:ds="http://schemas.openxmlformats.org/officeDocument/2006/customXml" ds:itemID="{ED897CB9-BBE0-4FFE-A3D2-BAE215A79924}"/>
</file>

<file path=customXml/itemProps3.xml><?xml version="1.0" encoding="utf-8"?>
<ds:datastoreItem xmlns:ds="http://schemas.openxmlformats.org/officeDocument/2006/customXml" ds:itemID="{88CD77DF-0BE8-43A6-BC1D-6D156B9F5AAD}">
  <ds:schemaRefs>
    <ds:schemaRef ds:uri="Microsoft.SharePoint.Taxonomy.ContentTypeSync"/>
  </ds:schemaRefs>
</ds:datastoreItem>
</file>

<file path=customXml/itemProps4.xml><?xml version="1.0" encoding="utf-8"?>
<ds:datastoreItem xmlns:ds="http://schemas.openxmlformats.org/officeDocument/2006/customXml" ds:itemID="{3FAB2C39-471D-4519-88AB-63A90D9D8687}">
  <ds:schemaRefs>
    <ds:schemaRef ds:uri="http://schemas.microsoft.com/office/2006/metadata/properties"/>
    <ds:schemaRef ds:uri="b875e23b-67d9-4b2e-bdec-edacbf90b326"/>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DCCD5671-F524-4D98-AE5E-3F033D6F6E8B}"/>
</file>

<file path=customXml/itemProps6.xml><?xml version="1.0" encoding="utf-8"?>
<ds:datastoreItem xmlns:ds="http://schemas.openxmlformats.org/officeDocument/2006/customXml" ds:itemID="{FBFFC568-592B-4AE9-840F-34A2E519DC8D}"/>
</file>

<file path=docProps/app.xml><?xml version="1.0" encoding="utf-8"?>
<Properties xmlns="http://schemas.openxmlformats.org/officeDocument/2006/extended-properties" xmlns:vt="http://schemas.openxmlformats.org/officeDocument/2006/docPropsVTypes">
  <Template>plantillas-SGF-ACL-CEF-13-E</Template>
  <TotalTime>301</TotalTime>
  <Pages>8</Pages>
  <Words>2873</Words>
  <Characters>15804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MIRANDA JACKELINE REBECCA</dc:creator>
  <cp:keywords/>
  <dc:description/>
  <cp:lastModifiedBy>COTO ALFARO RAFAEL</cp:lastModifiedBy>
  <cp:revision>89</cp:revision>
  <dcterms:created xsi:type="dcterms:W3CDTF">2022-03-23T17:51:00Z</dcterms:created>
  <dcterms:modified xsi:type="dcterms:W3CDTF">2022-03-29T17:26:00Z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183;#Resolución|8250c29f-4595-4728-bcc1-a5fc6a20ed53</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127;#Propietario|172cdb65-abed-4947-8339-a6c2477d21bb</vt:lpwstr>
  </property>
  <property fmtid="{D5CDD505-2E9C-101B-9397-08002B2CF9AE}" pid="11" name="Order">
    <vt:r8>77000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58129e4d-2a7c-4442-ab86-f4288b01d5ff,4;7dedacbb-5c77-4a35-8847-40abd1245d4d,6;</vt:lpwstr>
  </property>
</Properties>
</file>