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3554C5" w14:paraId="70D41132" w14:textId="77777777">
      <w:pPr>
        <w:tabs>
          <w:tab w:val="left" w:pos="2843"/>
        </w:tabs>
        <w:spacing w:line="240" w:lineRule="auto"/>
        <w:rPr>
          <w:sz w:val="24"/>
        </w:rPr>
      </w:pPr>
    </w:p>
    <w:p w:rsidR="00251BA2" w:rsidP="00251BA2" w:rsidRDefault="00251BA2" w14:paraId="12A4A467" w14:textId="77777777">
      <w:pPr>
        <w:pStyle w:val="Texto0"/>
        <w:spacing w:before="0" w:after="0" w:line="240" w:lineRule="auto"/>
        <w:jc w:val="center"/>
        <w:rPr>
          <w:sz w:val="24"/>
        </w:rPr>
      </w:pPr>
      <w:r>
        <w:rPr>
          <w:rFonts w:asciiTheme="majorHAnsi" w:hAnsiTheme="majorHAnsi"/>
          <w:b/>
          <w:sz w:val="24"/>
        </w:rPr>
        <w:t>Resolución</w:t>
      </w:r>
    </w:p>
    <w:p w:rsidR="00251BA2" w:rsidP="00251BA2" w:rsidRDefault="00376CB8" w14:paraId="5143B2FF" w14:textId="3CB45719">
      <w:pPr>
        <w:pStyle w:val="Texto0"/>
        <w:spacing w:before="0" w:after="0" w:line="240" w:lineRule="auto"/>
        <w:jc w:val="center"/>
        <w:rPr>
          <w:sz w:val="24"/>
        </w:rPr>
      </w:pPr>
      <w:r>
        <w:rPr>
          <w:sz w:val="24"/>
        </w:rPr>
        <w:t>1</w:t>
      </w:r>
      <w:r w:rsidR="00727EB6">
        <w:rPr>
          <w:sz w:val="24"/>
        </w:rPr>
        <w:t>4</w:t>
      </w:r>
      <w:bookmarkStart w:name="_GoBack" w:id="0"/>
      <w:bookmarkEnd w:id="0"/>
      <w:r w:rsidR="00251BA2">
        <w:rPr>
          <w:sz w:val="24"/>
        </w:rPr>
        <w:t xml:space="preserve"> de enero del 2019</w:t>
      </w:r>
    </w:p>
    <w:sdt>
      <w:sdtPr>
        <w:rPr>
          <w:sz w:val="24"/>
        </w:rPr>
        <w:alias w:val="Consecutivo"/>
        <w:tag w:val="Consecutivo"/>
        <w:id w:val="2052717023"/>
        <w:placeholder>
          <w:docPart w:val="C7EA259747C3476A918838FE91963471"/>
        </w:placeholder>
        <w:text/>
      </w:sdtPr>
      <w:sdtEndPr/>
      <w:sdtContent>
        <w:p w:rsidR="00251BA2" w:rsidP="00251BA2" w:rsidRDefault="00251BA2" w14:paraId="2D36C797" w14:textId="77777777">
          <w:pPr>
            <w:tabs>
              <w:tab w:val="left" w:pos="2843"/>
            </w:tabs>
            <w:spacing w:line="240" w:lineRule="auto"/>
            <w:jc w:val="center"/>
            <w:rPr>
              <w:sz w:val="24"/>
            </w:rPr>
          </w:pPr>
          <w:r>
            <w:t>SGF-0077-2019</w:t>
          </w:r>
        </w:p>
      </w:sdtContent>
    </w:sdt>
    <w:p w:rsidR="00251BA2" w:rsidP="00251BA2" w:rsidRDefault="00251BA2" w14:paraId="2993B55D" w14:textId="77777777">
      <w:pPr>
        <w:tabs>
          <w:tab w:val="left" w:pos="2843"/>
        </w:tabs>
        <w:spacing w:line="240" w:lineRule="auto"/>
        <w:jc w:val="center"/>
        <w:rPr>
          <w:sz w:val="24"/>
        </w:rPr>
      </w:pPr>
      <w:r>
        <w:rPr>
          <w:sz w:val="24"/>
        </w:rPr>
        <w:t xml:space="preserve"> </w:t>
      </w: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00251BA2" w:rsidP="00251BA2" w:rsidRDefault="00251BA2" w14:paraId="22A16B88" w14:textId="77777777">
      <w:pPr>
        <w:tabs>
          <w:tab w:val="left" w:pos="2843"/>
        </w:tabs>
        <w:spacing w:line="240" w:lineRule="auto"/>
        <w:rPr>
          <w:sz w:val="24"/>
        </w:rPr>
      </w:pPr>
    </w:p>
    <w:p w:rsidR="00251BA2" w:rsidP="00251BA2" w:rsidRDefault="00251BA2" w14:paraId="25A70378" w14:textId="77777777">
      <w:pPr>
        <w:widowControl w:val="0"/>
        <w:spacing w:line="240" w:lineRule="auto"/>
        <w:ind w:left="34" w:right="86"/>
        <w:outlineLvl w:val="0"/>
        <w:rPr>
          <w:rFonts w:asciiTheme="majorHAnsi" w:hAnsiTheme="majorHAnsi"/>
          <w:b/>
          <w:sz w:val="24"/>
          <w:lang w:val="es-CR"/>
        </w:rPr>
      </w:pPr>
      <w:r>
        <w:rPr>
          <w:rFonts w:asciiTheme="majorHAnsi" w:hAnsiTheme="majorHAnsi"/>
          <w:b/>
          <w:sz w:val="24"/>
          <w:lang w:val="es-CR"/>
        </w:rPr>
        <w:t xml:space="preserve">Dirigida a: </w:t>
      </w:r>
    </w:p>
    <w:p w:rsidR="00251BA2" w:rsidP="00251BA2" w:rsidRDefault="00251BA2" w14:paraId="133CDBE0" w14:textId="77777777">
      <w:pPr>
        <w:widowControl w:val="0"/>
        <w:spacing w:line="240" w:lineRule="auto"/>
        <w:ind w:left="34" w:right="86"/>
        <w:outlineLvl w:val="0"/>
        <w:rPr>
          <w:rFonts w:asciiTheme="majorHAnsi" w:hAnsiTheme="majorHAnsi"/>
          <w:b/>
          <w:sz w:val="24"/>
          <w:lang w:val="es-CR"/>
        </w:rPr>
      </w:pPr>
    </w:p>
    <w:p w:rsidR="00251BA2" w:rsidP="00251BA2" w:rsidRDefault="00251BA2" w14:paraId="20CBEC94"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Bancos Comerciales del Estado</w:t>
      </w:r>
    </w:p>
    <w:p w:rsidR="00251BA2" w:rsidP="00251BA2" w:rsidRDefault="00251BA2" w14:paraId="4A3FB930"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Bancos Creados por Leyes Especiales</w:t>
      </w:r>
    </w:p>
    <w:p w:rsidR="00251BA2" w:rsidP="00251BA2" w:rsidRDefault="00251BA2" w14:paraId="09B054F6"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Bancos Privados</w:t>
      </w:r>
    </w:p>
    <w:p w:rsidR="00251BA2" w:rsidP="00251BA2" w:rsidRDefault="00251BA2" w14:paraId="4CB811C5"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Empresas Financieras no Bancarias</w:t>
      </w:r>
    </w:p>
    <w:p w:rsidR="00251BA2" w:rsidP="00251BA2" w:rsidRDefault="00251BA2" w14:paraId="4C8E9971"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Otras Entidades Financieras</w:t>
      </w:r>
    </w:p>
    <w:p w:rsidR="00251BA2" w:rsidP="00251BA2" w:rsidRDefault="00251BA2" w14:paraId="15A16CF4"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Organizaciones Cooperativas de Ahorro y Crédito</w:t>
      </w:r>
    </w:p>
    <w:p w:rsidR="00251BA2" w:rsidP="00251BA2" w:rsidRDefault="00251BA2" w14:paraId="6CDD8B81"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 xml:space="preserve">Entidades Autorizadas del Sistema </w:t>
      </w:r>
      <w:r>
        <w:rPr>
          <w:rFonts w:asciiTheme="majorHAnsi" w:hAnsiTheme="majorHAnsi"/>
          <w:b/>
          <w:sz w:val="24"/>
          <w:lang w:val="es-CR" w:eastAsia="es-ES"/>
        </w:rPr>
        <w:lastRenderedPageBreak/>
        <w:t>Financiera Nacional para la Vivienda</w:t>
      </w:r>
    </w:p>
    <w:p w:rsidR="00251BA2" w:rsidP="00251BA2" w:rsidRDefault="00251BA2" w14:paraId="0A3DBCEB" w14:textId="77777777">
      <w:pPr>
        <w:widowControl w:val="0"/>
        <w:spacing w:line="240" w:lineRule="auto"/>
        <w:ind w:left="34" w:right="86"/>
        <w:rPr>
          <w:rFonts w:asciiTheme="majorHAnsi" w:hAnsiTheme="majorHAnsi"/>
          <w:sz w:val="24"/>
          <w:lang w:val="es-CR"/>
        </w:rPr>
      </w:pPr>
    </w:p>
    <w:p w:rsidR="00251BA2" w:rsidP="00251BA2" w:rsidRDefault="00251BA2" w14:paraId="7D8529F5" w14:textId="77777777">
      <w:pPr>
        <w:pStyle w:val="Texto0"/>
        <w:spacing w:after="0" w:line="240" w:lineRule="auto"/>
        <w:rPr>
          <w:rFonts w:asciiTheme="majorHAnsi" w:hAnsiTheme="majorHAnsi"/>
          <w:b/>
          <w:sz w:val="24"/>
        </w:rPr>
      </w:pPr>
      <w:r>
        <w:rPr>
          <w:rFonts w:asciiTheme="majorHAnsi" w:hAnsiTheme="majorHAnsi"/>
          <w:b/>
          <w:sz w:val="24"/>
        </w:rPr>
        <w:t xml:space="preserve">Asunto: </w:t>
      </w:r>
      <w:r>
        <w:rPr>
          <w:rFonts w:asciiTheme="majorHAnsi" w:hAnsiTheme="majorHAnsi"/>
          <w:sz w:val="24"/>
        </w:rPr>
        <w:t>Disminución del</w:t>
      </w:r>
      <w:r>
        <w:rPr>
          <w:rFonts w:asciiTheme="majorHAnsi" w:hAnsiTheme="majorHAnsi"/>
          <w:b/>
          <w:sz w:val="24"/>
        </w:rPr>
        <w:t xml:space="preserve"> </w:t>
      </w:r>
      <w:r>
        <w:rPr>
          <w:rFonts w:asciiTheme="majorHAnsi" w:hAnsiTheme="majorHAnsi"/>
          <w:sz w:val="24"/>
        </w:rPr>
        <w:t>porcentaje de acumulación que se aplica sobre utilidades que se destina para la conformación de la estimación contra cíclica. (Acuerdo SUGEF 19-16)</w:t>
      </w:r>
    </w:p>
    <w:p w:rsidR="00251BA2" w:rsidP="00251BA2" w:rsidRDefault="00251BA2" w14:paraId="78A78ABF" w14:textId="77777777">
      <w:pPr>
        <w:pStyle w:val="Texto0"/>
        <w:spacing w:before="0" w:after="0" w:line="240" w:lineRule="auto"/>
        <w:rPr>
          <w:rFonts w:asciiTheme="majorHAnsi" w:hAnsiTheme="majorHAnsi"/>
          <w:sz w:val="24"/>
        </w:rPr>
      </w:pPr>
    </w:p>
    <w:p w:rsidR="00251BA2" w:rsidP="00251BA2" w:rsidRDefault="00251BA2" w14:paraId="4E82AD35" w14:textId="77777777">
      <w:pPr>
        <w:spacing w:line="240" w:lineRule="auto"/>
        <w:ind w:left="34"/>
        <w:jc w:val="left"/>
        <w:outlineLvl w:val="0"/>
        <w:rPr>
          <w:rFonts w:asciiTheme="majorHAnsi" w:hAnsiTheme="majorHAnsi"/>
          <w:sz w:val="24"/>
        </w:rPr>
      </w:pPr>
      <w:r>
        <w:rPr>
          <w:rFonts w:asciiTheme="majorHAnsi" w:hAnsiTheme="majorHAnsi"/>
          <w:b/>
          <w:sz w:val="24"/>
        </w:rPr>
        <w:t>El Superintendente General de Entidades Financieras,</w:t>
      </w:r>
    </w:p>
    <w:p w:rsidR="00251BA2" w:rsidP="00251BA2" w:rsidRDefault="00251BA2" w14:paraId="063BB2C8" w14:textId="77777777">
      <w:pPr>
        <w:spacing w:line="240" w:lineRule="auto"/>
        <w:ind w:left="34"/>
        <w:jc w:val="left"/>
        <w:rPr>
          <w:rFonts w:asciiTheme="majorHAnsi" w:hAnsiTheme="majorHAnsi"/>
          <w:sz w:val="24"/>
        </w:rPr>
      </w:pPr>
    </w:p>
    <w:p w:rsidR="00251BA2" w:rsidP="00251BA2" w:rsidRDefault="00251BA2" w14:paraId="3B46650B" w14:textId="77777777">
      <w:pPr>
        <w:spacing w:line="240" w:lineRule="auto"/>
        <w:ind w:left="34"/>
        <w:jc w:val="left"/>
        <w:outlineLvl w:val="0"/>
        <w:rPr>
          <w:rFonts w:asciiTheme="majorHAnsi" w:hAnsiTheme="majorHAnsi"/>
          <w:sz w:val="24"/>
        </w:rPr>
      </w:pPr>
      <w:r>
        <w:rPr>
          <w:rFonts w:asciiTheme="majorHAnsi" w:hAnsiTheme="majorHAnsi"/>
          <w:b/>
          <w:sz w:val="24"/>
        </w:rPr>
        <w:t>Considerando que</w:t>
      </w:r>
      <w:r>
        <w:rPr>
          <w:rFonts w:asciiTheme="majorHAnsi" w:hAnsiTheme="majorHAnsi"/>
          <w:sz w:val="24"/>
        </w:rPr>
        <w:t>:</w:t>
      </w:r>
    </w:p>
    <w:p w:rsidR="00251BA2" w:rsidP="00251BA2" w:rsidRDefault="00251BA2" w14:paraId="169F2E4A" w14:textId="77777777">
      <w:pPr>
        <w:pStyle w:val="Prrafodelista"/>
        <w:numPr>
          <w:ilvl w:val="0"/>
          <w:numId w:val="14"/>
        </w:numPr>
        <w:spacing w:before="120" w:after="120" w:line="240" w:lineRule="auto"/>
        <w:jc w:val="both"/>
        <w:rPr>
          <w:rFonts w:asciiTheme="majorHAnsi" w:hAnsiTheme="majorHAnsi"/>
          <w:sz w:val="24"/>
          <w:szCs w:val="24"/>
        </w:rPr>
      </w:pPr>
      <w:r>
        <w:rPr>
          <w:rFonts w:asciiTheme="majorHAnsi" w:hAnsiTheme="majorHAnsi"/>
          <w:sz w:val="24"/>
          <w:szCs w:val="24"/>
          <w:lang w:val="es-ES"/>
        </w:rPr>
        <w:t xml:space="preserve">El </w:t>
      </w:r>
      <w:r>
        <w:rPr>
          <w:rFonts w:asciiTheme="majorHAnsi" w:hAnsiTheme="majorHAnsi"/>
          <w:i/>
          <w:sz w:val="24"/>
          <w:szCs w:val="24"/>
          <w:lang w:val="es-ES"/>
        </w:rPr>
        <w:t>Reglamento para la determinación y el registro de estimaciones contra cíclicas,</w:t>
      </w:r>
      <w:r>
        <w:rPr>
          <w:rFonts w:asciiTheme="majorHAnsi" w:hAnsiTheme="majorHAnsi"/>
          <w:sz w:val="24"/>
          <w:szCs w:val="24"/>
          <w:lang w:val="es-ES"/>
        </w:rPr>
        <w:t xml:space="preserve"> SUGEF 19-16 fue aprobado por el Consejo Nacional de Supervi</w:t>
      </w:r>
      <w:r>
        <w:rPr>
          <w:rFonts w:asciiTheme="majorHAnsi" w:hAnsiTheme="majorHAnsi"/>
          <w:sz w:val="24"/>
          <w:szCs w:val="24"/>
          <w:lang w:val="es-ES"/>
        </w:rPr>
        <w:lastRenderedPageBreak/>
        <w:t xml:space="preserve">sión del Sistema Financiero (CONASSIF) mediante </w:t>
      </w:r>
      <w:r>
        <w:rPr>
          <w:rFonts w:asciiTheme="majorHAnsi" w:hAnsiTheme="majorHAnsi"/>
          <w:sz w:val="24"/>
          <w:szCs w:val="24"/>
        </w:rPr>
        <w:t xml:space="preserve">artículo 6 del acta de la sesión </w:t>
      </w:r>
      <w:r>
        <w:rPr>
          <w:rFonts w:asciiTheme="majorHAnsi" w:hAnsiTheme="majorHAnsi"/>
          <w:sz w:val="24"/>
          <w:szCs w:val="24"/>
          <w:lang w:val="es-ES"/>
        </w:rPr>
        <w:t>1258-2016, del 7 de junio del 2016 con el objeto de cuantificar y constituir las estimaciones contra cíclicas</w:t>
      </w:r>
    </w:p>
    <w:p w:rsidR="00251BA2" w:rsidP="00251BA2" w:rsidRDefault="00251BA2" w14:paraId="73BF97CF" w14:textId="77777777">
      <w:pPr>
        <w:pStyle w:val="Prrafodelista"/>
        <w:numPr>
          <w:ilvl w:val="0"/>
          <w:numId w:val="14"/>
        </w:numPr>
        <w:spacing w:before="120" w:after="120" w:line="240" w:lineRule="auto"/>
        <w:jc w:val="both"/>
        <w:rPr>
          <w:rFonts w:asciiTheme="majorHAnsi" w:hAnsiTheme="majorHAnsi"/>
          <w:sz w:val="24"/>
          <w:szCs w:val="24"/>
        </w:rPr>
      </w:pPr>
      <w:r>
        <w:rPr>
          <w:rFonts w:asciiTheme="majorHAnsi" w:hAnsiTheme="majorHAnsi"/>
          <w:sz w:val="24"/>
          <w:szCs w:val="24"/>
          <w:lang w:val="es-ES"/>
        </w:rPr>
        <w:t>Mediante artículo 13 del acta de la sesión 1416-2018 del 15 de mayo de 2018, el CONASSIF acordó modificar el Transitorio II para incorporar la gradualidad del porcentaje mínimo para calcular el registro mensual del gasto por componente contra cíclico, en el cual se estableció una gradualidad iniciando con un 5% hasta alcanzar el 7% a partir de julio 2020.</w:t>
      </w:r>
    </w:p>
    <w:p w:rsidR="00251BA2" w:rsidP="00251BA2" w:rsidRDefault="00251BA2" w14:paraId="182FD29E" w14:textId="32303293">
      <w:pPr>
        <w:pStyle w:val="Prrafodelista"/>
        <w:numPr>
          <w:ilvl w:val="0"/>
          <w:numId w:val="14"/>
        </w:numPr>
        <w:spacing w:before="120" w:after="120" w:line="240" w:lineRule="auto"/>
        <w:jc w:val="both"/>
        <w:rPr>
          <w:rFonts w:asciiTheme="majorHAnsi" w:hAnsiTheme="majorHAnsi"/>
          <w:sz w:val="24"/>
          <w:szCs w:val="24"/>
        </w:rPr>
      </w:pPr>
      <w:r>
        <w:rPr>
          <w:rFonts w:asciiTheme="majorHAnsi" w:hAnsiTheme="majorHAnsi"/>
          <w:sz w:val="24"/>
          <w:szCs w:val="24"/>
        </w:rPr>
        <w:t xml:space="preserve">Mediante </w:t>
      </w:r>
      <w:r>
        <w:rPr>
          <w:rFonts w:asciiTheme="majorHAnsi" w:hAnsiTheme="majorHAnsi"/>
          <w:sz w:val="24"/>
          <w:szCs w:val="24"/>
          <w:lang w:val="es-ES"/>
        </w:rPr>
        <w:t>artículo 7, del acta de la sesión 1463-2018 del 27 de noviembre de 2018, p</w:t>
      </w:r>
      <w:r w:rsidR="00CA4FE0">
        <w:rPr>
          <w:rFonts w:asciiTheme="majorHAnsi" w:hAnsiTheme="majorHAnsi"/>
          <w:sz w:val="24"/>
          <w:szCs w:val="24"/>
          <w:lang w:val="es-ES"/>
        </w:rPr>
        <w:t xml:space="preserve">ublicado en el Diario </w:t>
      </w:r>
      <w:r w:rsidR="00CA4FE0">
        <w:rPr>
          <w:rFonts w:asciiTheme="majorHAnsi" w:hAnsiTheme="majorHAnsi"/>
          <w:sz w:val="24"/>
          <w:szCs w:val="24"/>
          <w:lang w:val="es-ES"/>
        </w:rPr>
        <w:lastRenderedPageBreak/>
        <w:t>Oficial</w:t>
      </w:r>
      <w:r w:rsidR="007F7B1E">
        <w:rPr>
          <w:rFonts w:asciiTheme="majorHAnsi" w:hAnsiTheme="majorHAnsi"/>
          <w:sz w:val="24"/>
          <w:szCs w:val="24"/>
          <w:lang w:val="es-ES"/>
        </w:rPr>
        <w:t xml:space="preserve"> </w:t>
      </w:r>
      <w:r w:rsidR="00CA4FE0">
        <w:rPr>
          <w:rFonts w:asciiTheme="majorHAnsi" w:hAnsiTheme="majorHAnsi"/>
          <w:sz w:val="24"/>
          <w:szCs w:val="24"/>
          <w:lang w:val="es-ES"/>
        </w:rPr>
        <w:t>La</w:t>
      </w:r>
      <w:r>
        <w:rPr>
          <w:rFonts w:asciiTheme="majorHAnsi" w:hAnsiTheme="majorHAnsi"/>
          <w:sz w:val="24"/>
          <w:szCs w:val="24"/>
          <w:lang w:val="es-ES"/>
        </w:rPr>
        <w:t xml:space="preserve"> G</w:t>
      </w:r>
      <w:r w:rsidR="00CA4FE0">
        <w:rPr>
          <w:rFonts w:asciiTheme="majorHAnsi" w:hAnsiTheme="majorHAnsi"/>
          <w:sz w:val="24"/>
          <w:szCs w:val="24"/>
          <w:lang w:val="es-ES"/>
        </w:rPr>
        <w:t>aceta</w:t>
      </w:r>
      <w:r w:rsidR="007F7B1E">
        <w:rPr>
          <w:rFonts w:asciiTheme="majorHAnsi" w:hAnsiTheme="majorHAnsi"/>
          <w:sz w:val="24"/>
          <w:szCs w:val="24"/>
          <w:lang w:val="es-ES"/>
        </w:rPr>
        <w:t xml:space="preserve"> </w:t>
      </w:r>
      <w:r w:rsidRPr="007F7B1E" w:rsidR="007F7B1E">
        <w:rPr>
          <w:rFonts w:asciiTheme="majorHAnsi" w:hAnsiTheme="majorHAnsi"/>
          <w:sz w:val="24"/>
          <w:szCs w:val="24"/>
          <w:lang w:val="es-ES"/>
        </w:rPr>
        <w:t>Nº 2</w:t>
      </w:r>
      <w:r w:rsidR="007F7B1E">
        <w:rPr>
          <w:rFonts w:asciiTheme="majorHAnsi" w:hAnsiTheme="majorHAnsi"/>
          <w:sz w:val="24"/>
          <w:szCs w:val="24"/>
          <w:lang w:val="es-ES"/>
        </w:rPr>
        <w:t xml:space="preserve"> d</w:t>
      </w:r>
      <w:r>
        <w:rPr>
          <w:rFonts w:asciiTheme="majorHAnsi" w:hAnsiTheme="majorHAnsi"/>
          <w:sz w:val="24"/>
          <w:szCs w:val="24"/>
          <w:lang w:val="es-ES"/>
        </w:rPr>
        <w:t>el 03 de enero del 2019,  e</w:t>
      </w:r>
      <w:r>
        <w:rPr>
          <w:rFonts w:asciiTheme="majorHAnsi" w:hAnsiTheme="majorHAnsi"/>
          <w:sz w:val="24"/>
          <w:szCs w:val="24"/>
        </w:rPr>
        <w:t>l CONASSIF modificó el Transitorio II de dicho reglamento, y facultó al Superintendente a suspender temporalmente el registro de estimaciones contra cíclicas o disminuir temporalmente  los porcentajes mínimos para su cálculo, en casos necesarios, para salvaguardar la estabilidad del sistema financiero.</w:t>
      </w:r>
    </w:p>
    <w:p w:rsidR="00251BA2" w:rsidP="00251BA2" w:rsidRDefault="00251BA2" w14:paraId="7DAFB8F5" w14:textId="77777777">
      <w:pPr>
        <w:pStyle w:val="Prrafodelista"/>
        <w:numPr>
          <w:ilvl w:val="0"/>
          <w:numId w:val="14"/>
        </w:numPr>
        <w:spacing w:before="120" w:after="120" w:line="240" w:lineRule="auto"/>
        <w:jc w:val="both"/>
        <w:rPr>
          <w:rFonts w:asciiTheme="majorHAnsi" w:hAnsiTheme="majorHAnsi"/>
          <w:sz w:val="24"/>
          <w:szCs w:val="24"/>
          <w:lang w:val="es-ES"/>
        </w:rPr>
      </w:pPr>
      <w:r>
        <w:rPr>
          <w:rFonts w:asciiTheme="majorHAnsi" w:hAnsiTheme="majorHAnsi"/>
          <w:sz w:val="24"/>
          <w:szCs w:val="24"/>
          <w:lang w:val="es-ES"/>
        </w:rPr>
        <w:t xml:space="preserve">El Índice Mensual de Actividad Económica (IMAE), publicado por el Banco Central de Costa Rica con corte a octubre 2018, muestra una desaceleración en el dinamismo de la economía. Dicho IMAE con tendencia ciclo muestra una variación interanual del </w:t>
      </w:r>
      <w:r>
        <w:rPr>
          <w:rFonts w:asciiTheme="majorHAnsi" w:hAnsiTheme="majorHAnsi"/>
          <w:sz w:val="24"/>
          <w:szCs w:val="24"/>
          <w:lang w:val="es-ES"/>
        </w:rPr>
        <w:lastRenderedPageBreak/>
        <w:t>2,10%, que comparativamente es inferior al  crecimiento que se evidenció en diciembre 2016  y  2017.</w:t>
      </w:r>
    </w:p>
    <w:p w:rsidR="00251BA2" w:rsidP="00251BA2" w:rsidRDefault="00251BA2" w14:paraId="59578CBB" w14:textId="77777777">
      <w:pPr>
        <w:pStyle w:val="Prrafodelista"/>
        <w:numPr>
          <w:ilvl w:val="0"/>
          <w:numId w:val="14"/>
        </w:numPr>
        <w:spacing w:before="120" w:after="120" w:line="240" w:lineRule="auto"/>
        <w:jc w:val="both"/>
        <w:rPr>
          <w:rFonts w:asciiTheme="majorHAnsi" w:hAnsiTheme="majorHAnsi"/>
          <w:bCs/>
          <w:sz w:val="24"/>
          <w:szCs w:val="24"/>
          <w:lang w:val="es-ES"/>
        </w:rPr>
      </w:pPr>
      <w:r>
        <w:rPr>
          <w:rFonts w:asciiTheme="majorHAnsi" w:hAnsiTheme="majorHAnsi"/>
          <w:sz w:val="24"/>
          <w:szCs w:val="24"/>
          <w:lang w:val="es-ES"/>
        </w:rPr>
        <w:t xml:space="preserve">Después de la entrada en vigencia del Reglamento para la determinación y el registro de estimaciones contra cíclicas en junio 2016, el crecimiento del crédito del sector financiero experimentó incrementos interanuales de dos dígitos. Posterior a ello, los crecimientos interanuales son menores, llegando a mostrarse en agosto 2018 la menor tasa de crecimiento en los últimos 8 años. </w:t>
      </w:r>
    </w:p>
    <w:p w:rsidR="00251BA2" w:rsidP="00251BA2" w:rsidRDefault="00251BA2" w14:paraId="0EBEDA59" w14:textId="77777777">
      <w:pPr>
        <w:pStyle w:val="Prrafodelista"/>
        <w:numPr>
          <w:ilvl w:val="0"/>
          <w:numId w:val="14"/>
        </w:numPr>
        <w:spacing w:before="120" w:after="120" w:line="240" w:lineRule="auto"/>
        <w:jc w:val="both"/>
        <w:rPr>
          <w:rFonts w:asciiTheme="majorHAnsi" w:hAnsiTheme="majorHAnsi"/>
          <w:bCs/>
          <w:sz w:val="24"/>
          <w:szCs w:val="24"/>
          <w:lang w:val="es-ES"/>
        </w:rPr>
      </w:pPr>
      <w:r>
        <w:rPr>
          <w:rFonts w:asciiTheme="majorHAnsi" w:hAnsiTheme="majorHAnsi"/>
          <w:bCs/>
          <w:sz w:val="24"/>
          <w:szCs w:val="24"/>
          <w:lang w:val="es-ES"/>
        </w:rPr>
        <w:t xml:space="preserve">El Índice de Auges Crediticios del Banco Central de Costa Rica, que permite determinar si la razón </w:t>
      </w:r>
      <w:r>
        <w:rPr>
          <w:rFonts w:asciiTheme="majorHAnsi" w:hAnsiTheme="majorHAnsi"/>
          <w:bCs/>
          <w:i/>
          <w:sz w:val="24"/>
          <w:szCs w:val="24"/>
          <w:lang w:val="es-ES"/>
        </w:rPr>
        <w:t>Crédito al Sector Privado</w:t>
      </w:r>
      <w:r>
        <w:rPr>
          <w:rFonts w:asciiTheme="majorHAnsi" w:hAnsiTheme="majorHAnsi"/>
          <w:bCs/>
          <w:sz w:val="24"/>
          <w:szCs w:val="24"/>
          <w:lang w:val="es-ES"/>
        </w:rPr>
        <w:t xml:space="preserve"> a </w:t>
      </w:r>
      <w:r>
        <w:rPr>
          <w:rFonts w:asciiTheme="majorHAnsi" w:hAnsiTheme="majorHAnsi"/>
          <w:bCs/>
          <w:i/>
          <w:sz w:val="24"/>
          <w:szCs w:val="24"/>
          <w:lang w:val="es-ES"/>
        </w:rPr>
        <w:t>Producto Interno Bruto</w:t>
      </w:r>
      <w:r>
        <w:rPr>
          <w:rFonts w:asciiTheme="majorHAnsi" w:hAnsiTheme="majorHAnsi"/>
          <w:bCs/>
          <w:sz w:val="24"/>
          <w:szCs w:val="24"/>
          <w:lang w:val="es-ES"/>
        </w:rPr>
        <w:t xml:space="preserve"> se aleja de su tendencia de </w:t>
      </w:r>
      <w:r>
        <w:rPr>
          <w:rFonts w:asciiTheme="majorHAnsi" w:hAnsiTheme="majorHAnsi"/>
          <w:bCs/>
          <w:sz w:val="24"/>
          <w:szCs w:val="24"/>
          <w:lang w:val="es-ES"/>
        </w:rPr>
        <w:lastRenderedPageBreak/>
        <w:t xml:space="preserve">largo plazo y cuya lectura favorece la toma de decisiones relacionadas con estabilidad financiera, muestra que el indicador se  mantiene por debajo de su propensión de largo plazo desde mediados de 2017 y durante el año 2018.  </w:t>
      </w:r>
    </w:p>
    <w:p w:rsidR="00251BA2" w:rsidP="00251BA2" w:rsidRDefault="00251BA2" w14:paraId="4ACB37D6" w14:textId="77777777">
      <w:pPr>
        <w:pStyle w:val="Prrafodelista"/>
        <w:numPr>
          <w:ilvl w:val="0"/>
          <w:numId w:val="14"/>
        </w:numPr>
        <w:spacing w:before="120" w:after="120" w:line="240" w:lineRule="auto"/>
        <w:jc w:val="both"/>
        <w:rPr>
          <w:rFonts w:asciiTheme="majorHAnsi" w:hAnsiTheme="majorHAnsi"/>
          <w:bCs/>
          <w:sz w:val="24"/>
          <w:szCs w:val="24"/>
        </w:rPr>
      </w:pPr>
      <w:r>
        <w:rPr>
          <w:rFonts w:asciiTheme="majorHAnsi" w:hAnsiTheme="majorHAnsi"/>
          <w:sz w:val="24"/>
          <w:szCs w:val="24"/>
        </w:rPr>
        <w:t>El porcentaje de estimación específica por riesgo de crédito respecto a la cartera crediticia  clasificada en A1 y A2,  se ha incrementado en el último año. A nivel del agregado se observa que dicho coeficiente en el Sistema Financiero Nacional,  a octubre de 2018  es el más alto de los últimos 12 años con un nivel de  2,9%, incluso mayor que lo mostrado en la pasada crisis del 2010 cuando su valor al</w:t>
      </w:r>
      <w:r>
        <w:rPr>
          <w:rFonts w:asciiTheme="majorHAnsi" w:hAnsiTheme="majorHAnsi"/>
          <w:sz w:val="24"/>
          <w:szCs w:val="24"/>
        </w:rPr>
        <w:lastRenderedPageBreak/>
        <w:t>canzó el 2,7%  en mayo 2010, reduciéndose posteriormente a   1,7% en noviembre 2014.</w:t>
      </w:r>
      <w:r>
        <w:rPr>
          <w:rFonts w:asciiTheme="majorHAnsi" w:hAnsiTheme="majorHAnsi"/>
          <w:bCs/>
          <w:sz w:val="24"/>
          <w:szCs w:val="24"/>
        </w:rPr>
        <w:t xml:space="preserve"> Por lo tanto el incremento de la estimación específica mostrado en 2018  es evidencia de la fase recesiva del ciclo.</w:t>
      </w:r>
    </w:p>
    <w:p w:rsidR="00251BA2" w:rsidP="00251BA2" w:rsidRDefault="00251BA2" w14:paraId="7129ECB9" w14:textId="77777777">
      <w:pPr>
        <w:spacing w:before="120" w:after="120" w:line="240" w:lineRule="auto"/>
        <w:ind w:left="33"/>
        <w:rPr>
          <w:rFonts w:asciiTheme="majorHAnsi" w:hAnsiTheme="majorHAnsi"/>
          <w:sz w:val="24"/>
        </w:rPr>
      </w:pPr>
      <w:r>
        <w:rPr>
          <w:rFonts w:asciiTheme="majorHAnsi" w:hAnsiTheme="majorHAnsi"/>
          <w:b/>
          <w:sz w:val="24"/>
        </w:rPr>
        <w:t>Dispone</w:t>
      </w:r>
      <w:r>
        <w:rPr>
          <w:rFonts w:asciiTheme="majorHAnsi" w:hAnsiTheme="majorHAnsi"/>
          <w:sz w:val="24"/>
        </w:rPr>
        <w:t>:</w:t>
      </w:r>
    </w:p>
    <w:p w:rsidR="00251BA2" w:rsidP="00251BA2" w:rsidRDefault="00251BA2" w14:paraId="706B6932" w14:textId="180A3D5B">
      <w:pPr>
        <w:pStyle w:val="Prrafodelista"/>
        <w:numPr>
          <w:ilvl w:val="0"/>
          <w:numId w:val="15"/>
        </w:numPr>
        <w:spacing w:before="120" w:after="120" w:line="240" w:lineRule="auto"/>
        <w:jc w:val="both"/>
        <w:rPr>
          <w:rFonts w:cs="Cambria" w:asciiTheme="majorHAnsi" w:hAnsiTheme="majorHAnsi"/>
          <w:sz w:val="24"/>
          <w:lang w:eastAsia="es-CR"/>
        </w:rPr>
      </w:pPr>
      <w:r>
        <w:rPr>
          <w:rFonts w:cs="Cambria" w:asciiTheme="majorHAnsi" w:hAnsiTheme="majorHAnsi"/>
          <w:sz w:val="24"/>
          <w:lang w:eastAsia="es-CR"/>
        </w:rPr>
        <w:t>Disminu</w:t>
      </w:r>
      <w:r w:rsidR="00A4334A">
        <w:rPr>
          <w:rFonts w:cs="Cambria" w:asciiTheme="majorHAnsi" w:hAnsiTheme="majorHAnsi"/>
          <w:sz w:val="24"/>
          <w:lang w:eastAsia="es-CR"/>
        </w:rPr>
        <w:t xml:space="preserve">ir temporalmente el porcentaje </w:t>
      </w:r>
      <w:r>
        <w:rPr>
          <w:rFonts w:cs="Cambria" w:asciiTheme="majorHAnsi" w:hAnsiTheme="majorHAnsi"/>
          <w:sz w:val="24"/>
          <w:lang w:eastAsia="es-CR"/>
        </w:rPr>
        <w:t xml:space="preserve">de acumulación establecido en el Transitorio II del Acuerdo SUGEF 19-16, que se aplica sobre el resultado positivo de la diferencia entre el saldo de las cuentas 500 “Ingresos” menos 400 “Gastos” más 450 “Impuestos y participaciones sobre la utilidad” de cada mes, el cual se destina para la conformación de la estimación contra cíclica. La disminución </w:t>
      </w:r>
      <w:r>
        <w:rPr>
          <w:rFonts w:cs="Cambria" w:asciiTheme="majorHAnsi" w:hAnsiTheme="majorHAnsi"/>
          <w:sz w:val="24"/>
          <w:lang w:eastAsia="es-CR"/>
        </w:rPr>
        <w:lastRenderedPageBreak/>
        <w:t xml:space="preserve">del porcentaje será de 5% a 2,5%.  Esto aplica para aquellas entidades que no han alcanzado la meta de estimación contra cíclica al 31 de  diciembre del 2018. </w:t>
      </w:r>
    </w:p>
    <w:p w:rsidR="00251BA2" w:rsidP="00251BA2" w:rsidRDefault="00251BA2" w14:paraId="63AF83E5" w14:textId="77777777">
      <w:pPr>
        <w:pStyle w:val="Prrafodelista"/>
        <w:spacing w:before="120" w:after="120" w:line="240" w:lineRule="auto"/>
        <w:rPr>
          <w:rFonts w:cs="Times New Roman" w:asciiTheme="majorHAnsi" w:hAnsiTheme="majorHAnsi"/>
          <w:sz w:val="24"/>
        </w:rPr>
      </w:pPr>
    </w:p>
    <w:p w:rsidRPr="00A4334A" w:rsidR="00251BA2" w:rsidP="00251BA2" w:rsidRDefault="00251BA2" w14:paraId="5F63D536" w14:textId="77777777">
      <w:pPr>
        <w:pStyle w:val="Prrafodelista"/>
        <w:numPr>
          <w:ilvl w:val="0"/>
          <w:numId w:val="15"/>
        </w:numPr>
        <w:spacing w:before="120" w:after="120" w:line="240" w:lineRule="auto"/>
        <w:jc w:val="both"/>
        <w:rPr>
          <w:rFonts w:asciiTheme="majorHAnsi" w:hAnsiTheme="majorHAnsi"/>
          <w:sz w:val="24"/>
        </w:rPr>
      </w:pPr>
      <w:r>
        <w:rPr>
          <w:rFonts w:cs="Cambria" w:asciiTheme="majorHAnsi" w:hAnsiTheme="majorHAnsi"/>
          <w:sz w:val="24"/>
          <w:lang w:eastAsia="es-CR"/>
        </w:rPr>
        <w:t>El saldo actual acumulado de la estimación contra cíclica, registrado en la cuenta analítica “139.02.M.02 (Componente contra cíclico), que mantienen las entidades, no será sujeto de des acumulación en virtud del cambio de porcentaje establecido en esta Resolución.</w:t>
      </w:r>
    </w:p>
    <w:p w:rsidRPr="00A4334A" w:rsidR="00A4334A" w:rsidP="00A4334A" w:rsidRDefault="00A4334A" w14:paraId="12F6BC28" w14:textId="77777777">
      <w:pPr>
        <w:pStyle w:val="Prrafodelista"/>
        <w:spacing w:before="120" w:after="120" w:line="240" w:lineRule="auto"/>
        <w:rPr>
          <w:rFonts w:asciiTheme="majorHAnsi" w:hAnsiTheme="majorHAnsi"/>
          <w:sz w:val="24"/>
        </w:rPr>
      </w:pPr>
    </w:p>
    <w:p w:rsidR="00251BA2" w:rsidP="00251BA2" w:rsidRDefault="00251BA2" w14:paraId="13F75D79" w14:textId="77777777">
      <w:pPr>
        <w:pStyle w:val="Prrafodelista"/>
        <w:numPr>
          <w:ilvl w:val="0"/>
          <w:numId w:val="15"/>
        </w:numPr>
        <w:spacing w:before="120" w:after="120" w:line="240" w:lineRule="auto"/>
        <w:jc w:val="both"/>
        <w:rPr>
          <w:rFonts w:asciiTheme="majorHAnsi" w:hAnsiTheme="majorHAnsi"/>
          <w:sz w:val="24"/>
        </w:rPr>
      </w:pPr>
      <w:r>
        <w:rPr>
          <w:rFonts w:cs="Cambria" w:asciiTheme="majorHAnsi" w:hAnsiTheme="majorHAnsi"/>
          <w:sz w:val="24"/>
          <w:lang w:eastAsia="es-CR"/>
        </w:rPr>
        <w:t xml:space="preserve">Las entidades que alcanzaron el nivel meta de estimación contra cíclica y que se encuentran bajo la regla de la fórmula, establecida en el Artículo 4. </w:t>
      </w:r>
      <w:r>
        <w:rPr>
          <w:rFonts w:cs="Cambria" w:asciiTheme="majorHAnsi" w:hAnsiTheme="majorHAnsi"/>
          <w:sz w:val="24"/>
          <w:lang w:eastAsia="es-CR"/>
        </w:rPr>
        <w:lastRenderedPageBreak/>
        <w:t>“</w:t>
      </w:r>
      <w:r>
        <w:rPr>
          <w:rFonts w:cs="Cambria" w:asciiTheme="majorHAnsi" w:hAnsiTheme="majorHAnsi"/>
          <w:i/>
          <w:sz w:val="24"/>
          <w:lang w:eastAsia="es-CR"/>
        </w:rPr>
        <w:t>Cálculo del requerimiento de estimaciones contra cíclicas</w:t>
      </w:r>
      <w:r>
        <w:rPr>
          <w:rFonts w:cs="Cambria" w:asciiTheme="majorHAnsi" w:hAnsiTheme="majorHAnsi"/>
          <w:sz w:val="24"/>
          <w:lang w:eastAsia="es-CR"/>
        </w:rPr>
        <w:t xml:space="preserve">”, del </w:t>
      </w:r>
      <w:r>
        <w:rPr>
          <w:rFonts w:cs="Cambria" w:asciiTheme="majorHAnsi" w:hAnsiTheme="majorHAnsi"/>
          <w:i/>
          <w:sz w:val="24"/>
          <w:lang w:eastAsia="es-CR"/>
        </w:rPr>
        <w:t>Reglamento para la determinación y el registro de estimaciones contra cíclicas,</w:t>
      </w:r>
      <w:r>
        <w:rPr>
          <w:rFonts w:cs="Cambria" w:asciiTheme="majorHAnsi" w:hAnsiTheme="majorHAnsi"/>
          <w:sz w:val="24"/>
          <w:lang w:eastAsia="es-CR"/>
        </w:rPr>
        <w:t xml:space="preserve"> SUGEF 19-16, continuarán acumulando o des acumulando, conforme con la metodología que establece dicho artículo y, el artículo 5 “</w:t>
      </w:r>
      <w:r>
        <w:rPr>
          <w:rFonts w:cs="Cambria" w:asciiTheme="majorHAnsi" w:hAnsiTheme="majorHAnsi"/>
          <w:i/>
          <w:sz w:val="24"/>
          <w:lang w:eastAsia="es-CR"/>
        </w:rPr>
        <w:t>Registro Contable</w:t>
      </w:r>
      <w:r>
        <w:rPr>
          <w:rFonts w:cs="Cambria" w:asciiTheme="majorHAnsi" w:hAnsiTheme="majorHAnsi"/>
          <w:sz w:val="24"/>
          <w:lang w:eastAsia="es-CR"/>
        </w:rPr>
        <w:t>” de ese reglamento</w:t>
      </w:r>
      <w:r>
        <w:rPr>
          <w:rFonts w:asciiTheme="majorHAnsi" w:hAnsiTheme="majorHAnsi"/>
          <w:sz w:val="24"/>
        </w:rPr>
        <w:t>.</w:t>
      </w:r>
    </w:p>
    <w:p w:rsidRPr="00A4334A" w:rsidR="00A4334A" w:rsidP="00A4334A" w:rsidRDefault="00A4334A" w14:paraId="35526977" w14:textId="77777777">
      <w:pPr>
        <w:pStyle w:val="Prrafodelista"/>
        <w:spacing w:before="120" w:after="120" w:line="240" w:lineRule="auto"/>
        <w:rPr>
          <w:rFonts w:asciiTheme="majorHAnsi" w:hAnsiTheme="majorHAnsi"/>
          <w:sz w:val="24"/>
        </w:rPr>
      </w:pPr>
    </w:p>
    <w:p w:rsidRPr="00A4334A" w:rsidR="00793FEA" w:rsidP="004033D1" w:rsidRDefault="00251BA2" w14:paraId="170A2E98" w14:textId="77777777">
      <w:pPr>
        <w:pStyle w:val="Prrafodelista"/>
        <w:numPr>
          <w:ilvl w:val="0"/>
          <w:numId w:val="15"/>
        </w:numPr>
        <w:spacing w:before="120" w:after="120" w:line="240" w:lineRule="auto"/>
        <w:jc w:val="both"/>
        <w:rPr>
          <w:rFonts w:asciiTheme="majorHAnsi" w:hAnsiTheme="majorHAnsi"/>
          <w:bCs/>
          <w:sz w:val="24"/>
        </w:rPr>
      </w:pPr>
      <w:r w:rsidRPr="00793FEA">
        <w:rPr>
          <w:rFonts w:cs="Cambria" w:asciiTheme="majorHAnsi" w:hAnsiTheme="majorHAnsi"/>
          <w:sz w:val="24"/>
          <w:lang w:eastAsia="es-CR"/>
        </w:rPr>
        <w:t>El porcentaje de acumulación mensual del 2,5%, para calcular el registro mensual del gasto por componente contra cíclico, se aplicará a partir del 1 de enero del 2019  y, estará  sujeto a revisión en los primeros seis meses del año 2019.</w:t>
      </w:r>
      <w:r w:rsidRPr="00793FEA" w:rsidR="00793FEA">
        <w:rPr>
          <w:rFonts w:cs="Cambria" w:asciiTheme="majorHAnsi" w:hAnsiTheme="majorHAnsi"/>
          <w:sz w:val="24"/>
          <w:lang w:eastAsia="es-CR"/>
        </w:rPr>
        <w:t xml:space="preserve"> </w:t>
      </w:r>
    </w:p>
    <w:p w:rsidRPr="00A4334A" w:rsidR="00A4334A" w:rsidP="00A4334A" w:rsidRDefault="00A4334A" w14:paraId="58E8FAF7" w14:textId="77777777">
      <w:pPr>
        <w:pStyle w:val="Prrafodelista"/>
        <w:spacing w:before="120" w:after="120" w:line="240" w:lineRule="auto"/>
        <w:rPr>
          <w:rFonts w:asciiTheme="majorHAnsi" w:hAnsiTheme="majorHAnsi"/>
          <w:bCs/>
          <w:sz w:val="24"/>
        </w:rPr>
      </w:pPr>
    </w:p>
    <w:p w:rsidRPr="00793FEA" w:rsidR="00251BA2" w:rsidP="004033D1" w:rsidRDefault="00793FEA" w14:paraId="49AE4DB1" w14:textId="6E2EC2DE">
      <w:pPr>
        <w:pStyle w:val="Prrafodelista"/>
        <w:numPr>
          <w:ilvl w:val="0"/>
          <w:numId w:val="15"/>
        </w:numPr>
        <w:spacing w:before="120" w:after="120" w:line="240" w:lineRule="auto"/>
        <w:jc w:val="both"/>
        <w:rPr>
          <w:rFonts w:asciiTheme="majorHAnsi" w:hAnsiTheme="majorHAnsi"/>
          <w:bCs/>
          <w:sz w:val="24"/>
        </w:rPr>
      </w:pPr>
      <w:r>
        <w:rPr>
          <w:rFonts w:cs="Cambria" w:asciiTheme="majorHAnsi" w:hAnsiTheme="majorHAnsi"/>
          <w:sz w:val="24"/>
          <w:lang w:eastAsia="es-CR"/>
        </w:rPr>
        <w:lastRenderedPageBreak/>
        <w:t xml:space="preserve">Derogar </w:t>
      </w:r>
      <w:r w:rsidRPr="00793FEA" w:rsidR="00251BA2">
        <w:rPr>
          <w:rFonts w:asciiTheme="majorHAnsi" w:hAnsiTheme="majorHAnsi"/>
          <w:bCs/>
          <w:sz w:val="24"/>
        </w:rPr>
        <w:t xml:space="preserve">la Resolución SGF-3966-2018 </w:t>
      </w:r>
      <w:r w:rsidR="00A4334A">
        <w:rPr>
          <w:rFonts w:asciiTheme="majorHAnsi" w:hAnsiTheme="majorHAnsi"/>
          <w:bCs/>
          <w:sz w:val="24"/>
        </w:rPr>
        <w:t>del</w:t>
      </w:r>
      <w:r w:rsidRPr="00793FEA" w:rsidR="00251BA2">
        <w:rPr>
          <w:rFonts w:asciiTheme="majorHAnsi" w:hAnsiTheme="majorHAnsi"/>
          <w:bCs/>
          <w:sz w:val="24"/>
        </w:rPr>
        <w:t xml:space="preserve"> 21 de diciembre del 2018 y comunicada el 04 de enero del 2019.</w:t>
      </w:r>
    </w:p>
    <w:p w:rsidR="00251BA2" w:rsidP="00251BA2" w:rsidRDefault="00251BA2" w14:paraId="3EE75E76" w14:textId="77777777">
      <w:pPr>
        <w:spacing w:line="240" w:lineRule="auto"/>
        <w:rPr>
          <w:rFonts w:eastAsia="Calibri" w:asciiTheme="majorHAnsi" w:hAnsiTheme="majorHAnsi"/>
          <w:bCs/>
          <w:sz w:val="24"/>
        </w:rPr>
      </w:pPr>
    </w:p>
    <w:p w:rsidR="00251BA2" w:rsidP="00251BA2" w:rsidRDefault="00CA4FE0" w14:paraId="4D1FA291" w14:textId="36FF031E">
      <w:pPr>
        <w:spacing w:line="240" w:lineRule="auto"/>
        <w:ind w:left="34"/>
        <w:jc w:val="left"/>
        <w:outlineLvl w:val="0"/>
        <w:rPr>
          <w:rFonts w:asciiTheme="majorHAnsi" w:hAnsiTheme="majorHAnsi"/>
          <w:b/>
          <w:sz w:val="24"/>
        </w:rPr>
      </w:pPr>
      <w:r>
        <w:rPr>
          <w:rFonts w:eastAsia="Calibri" w:asciiTheme="majorHAnsi" w:hAnsiTheme="majorHAnsi"/>
          <w:bCs/>
          <w:sz w:val="24"/>
        </w:rPr>
        <w:t>R</w:t>
      </w:r>
      <w:r w:rsidR="00251BA2">
        <w:rPr>
          <w:rFonts w:eastAsia="Calibri" w:asciiTheme="majorHAnsi" w:hAnsiTheme="majorHAnsi"/>
          <w:bCs/>
          <w:sz w:val="24"/>
        </w:rPr>
        <w:t>ige a partir del 1 de enero del 2019.</w:t>
      </w:r>
    </w:p>
    <w:p w:rsidR="00251BA2" w:rsidP="00251BA2" w:rsidRDefault="00251BA2" w14:paraId="51AC7C60" w14:textId="77777777">
      <w:pPr>
        <w:pStyle w:val="CentradoResaltado"/>
        <w:spacing w:before="0" w:after="0" w:line="240" w:lineRule="auto"/>
        <w:rPr>
          <w:sz w:val="24"/>
        </w:rPr>
      </w:pPr>
    </w:p>
    <w:p w:rsidR="00251BA2" w:rsidP="00251BA2" w:rsidRDefault="00251BA2" w14:paraId="612C57B3" w14:textId="77777777">
      <w:pPr>
        <w:pStyle w:val="Texto0"/>
        <w:spacing w:before="0" w:after="0" w:line="240" w:lineRule="auto"/>
        <w:rPr>
          <w:sz w:val="24"/>
        </w:rPr>
      </w:pPr>
      <w:r>
        <w:rPr>
          <w:sz w:val="24"/>
        </w:rPr>
        <w:t>Atentamente,</w:t>
      </w:r>
    </w:p>
    <w:p w:rsidR="00251BA2" w:rsidP="00251BA2" w:rsidRDefault="00251BA2" w14:paraId="7D2D4C49" w14:textId="77777777">
      <w:pPr>
        <w:spacing w:line="240" w:lineRule="auto"/>
        <w:rPr>
          <w:sz w:val="24"/>
        </w:rPr>
      </w:pPr>
      <w:r>
        <w:rPr>
          <w:noProof/>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251BA2" w:rsidP="00251BA2" w:rsidRDefault="00251BA2" w14:paraId="4DD479B1" w14:textId="77777777">
      <w:pPr>
        <w:spacing w:line="240" w:lineRule="auto"/>
        <w:rPr>
          <w:sz w:val="24"/>
        </w:rPr>
      </w:pPr>
    </w:p>
    <w:p w:rsidR="00251BA2" w:rsidP="00251BA2" w:rsidRDefault="00251BA2" w14:paraId="6B4D47CD" w14:textId="77777777">
      <w:pPr>
        <w:spacing w:line="240" w:lineRule="auto"/>
        <w:rPr>
          <w:sz w:val="24"/>
        </w:rPr>
      </w:pPr>
    </w:p>
    <w:p w:rsidR="00251BA2" w:rsidP="00251BA2" w:rsidRDefault="00251BA2" w14:paraId="0EC86EC6" w14:textId="77777777">
      <w:pPr>
        <w:jc w:val="left"/>
        <w:rPr>
          <w:sz w:val="24"/>
        </w:rPr>
      </w:pPr>
      <w:r>
        <w:rPr>
          <w:sz w:val="24"/>
        </w:rPr>
        <w:t>Bernardo Alfaro A.</w:t>
      </w:r>
      <w:r>
        <w:rPr>
          <w:sz w:val="24"/>
        </w:rPr>
        <w:br/>
      </w:r>
      <w:r>
        <w:rPr>
          <w:b/>
          <w:sz w:val="24"/>
        </w:rPr>
        <w:t>Superintendente</w:t>
      </w:r>
    </w:p>
    <w:p w:rsidR="00251BA2" w:rsidP="00251BA2" w:rsidRDefault="00251BA2" w14:paraId="3A4E599A" w14:textId="77777777">
      <w:pPr>
        <w:spacing w:line="240" w:lineRule="auto"/>
        <w:rPr>
          <w:sz w:val="24"/>
        </w:rPr>
      </w:pPr>
    </w:p>
    <w:p w:rsidR="00251BA2" w:rsidP="00251BA2" w:rsidRDefault="00727EB6" w14:paraId="6AD04135" w14:textId="77777777">
      <w:pPr>
        <w:spacing w:before="120" w:after="120" w:line="240" w:lineRule="auto"/>
        <w:contextualSpacing/>
        <w:rPr>
          <w:rFonts w:eastAsia="Calibri" w:asciiTheme="majorHAnsi" w:hAnsiTheme="majorHAnsi"/>
          <w:bCs/>
          <w:sz w:val="16"/>
          <w:szCs w:val="16"/>
        </w:rPr>
      </w:pPr>
      <w:sdt>
        <w:sdtPr>
          <w:rPr>
            <w:rFonts w:eastAsia="Calibri" w:asciiTheme="majorHAnsi" w:hAnsiTheme="majorHAnsi"/>
            <w:bCs/>
            <w:sz w:val="16"/>
            <w:szCs w:val="16"/>
          </w:rPr>
          <w:alias w:val="Unidad generadora"/>
          <w:tag w:val="unidad generadora"/>
          <w:id w:val="11415835"/>
          <w:placeholder>
            <w:docPart w:val="EADAD1D7DF0847C280A9A6794F26E760"/>
          </w:placeholder>
        </w:sdtPr>
        <w:sdtEndPr/>
        <w:sdtContent>
          <w:r w:rsidR="00251BA2">
            <w:rPr>
              <w:rFonts w:eastAsia="Calibri" w:asciiTheme="majorHAnsi" w:hAnsiTheme="majorHAnsi"/>
              <w:bCs/>
              <w:sz w:val="16"/>
              <w:szCs w:val="16"/>
            </w:rPr>
            <w:t>Unidad generadora:</w:t>
          </w:r>
        </w:sdtContent>
      </w:sdt>
      <w:r w:rsidR="00251BA2">
        <w:rPr>
          <w:rFonts w:eastAsia="Calibri" w:asciiTheme="majorHAnsi" w:hAnsiTheme="majorHAnsi"/>
          <w:bCs/>
          <w:sz w:val="16"/>
          <w:szCs w:val="16"/>
        </w:rPr>
        <w:t xml:space="preserve"> Departamento de Normas, Dirección General de Servicios Técnicos</w:t>
      </w:r>
    </w:p>
    <w:p w:rsidR="00251BA2" w:rsidP="00251BA2" w:rsidRDefault="00251BA2" w14:paraId="52628D68" w14:textId="77777777">
      <w:pPr>
        <w:spacing w:before="120" w:after="120" w:line="240" w:lineRule="auto"/>
        <w:contextualSpacing/>
        <w:rPr>
          <w:rFonts w:eastAsia="Calibri" w:asciiTheme="majorHAnsi" w:hAnsiTheme="majorHAnsi"/>
          <w:bCs/>
          <w:sz w:val="16"/>
          <w:szCs w:val="16"/>
        </w:rPr>
      </w:pPr>
    </w:p>
    <w:p w:rsidR="00251BA2" w:rsidP="00251BA2" w:rsidRDefault="00251BA2" w14:paraId="29D7B210" w14:textId="77777777">
      <w:pPr>
        <w:spacing w:before="120" w:after="120" w:line="240" w:lineRule="auto"/>
        <w:contextualSpacing/>
        <w:rPr>
          <w:rFonts w:eastAsia="Calibri" w:asciiTheme="majorHAnsi" w:hAnsiTheme="majorHAnsi"/>
          <w:bCs/>
          <w:sz w:val="16"/>
          <w:szCs w:val="16"/>
        </w:rPr>
      </w:pPr>
      <w:r>
        <w:rPr>
          <w:rFonts w:eastAsia="Calibri" w:asciiTheme="majorHAnsi" w:hAnsiTheme="majorHAnsi"/>
          <w:bCs/>
          <w:sz w:val="16"/>
          <w:szCs w:val="16"/>
        </w:rPr>
        <w:t xml:space="preserve">Categoría: </w:t>
      </w:r>
      <w:sdt>
        <w:sdtPr>
          <w:rPr>
            <w:rFonts w:eastAsia="Calibri" w:asciiTheme="majorHAnsi" w:hAnsiTheme="majorHAnsi"/>
            <w:bCs/>
            <w:sz w:val="16"/>
            <w:szCs w:val="16"/>
          </w:rPr>
          <w:alias w:val="Categoria"/>
          <w:tag w:val="categoria"/>
          <w:id w:val="11415837"/>
          <w:placeholder>
            <w:docPart w:val="4047C3CBFA3B4CAFB868CD34B2E4DBEC"/>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Pr>
              <w:rFonts w:eastAsia="Calibri" w:asciiTheme="majorHAnsi" w:hAnsiTheme="majorHAnsi"/>
              <w:bCs/>
              <w:sz w:val="16"/>
              <w:szCs w:val="16"/>
            </w:rPr>
            <w:t>Comunicado</w:t>
          </w:r>
        </w:sdtContent>
      </w:sdt>
      <w:r>
        <w:rPr>
          <w:rFonts w:eastAsia="Calibri" w:asciiTheme="majorHAnsi" w:hAnsiTheme="majorHAnsi"/>
          <w:bCs/>
          <w:sz w:val="16"/>
          <w:szCs w:val="16"/>
        </w:rPr>
        <w:t xml:space="preserve"> </w:t>
      </w:r>
    </w:p>
    <w:p w:rsidR="00251BA2" w:rsidP="00251BA2" w:rsidRDefault="00251BA2" w14:paraId="52D6DD23" w14:textId="77777777">
      <w:pPr>
        <w:spacing w:before="120" w:after="120" w:line="240" w:lineRule="auto"/>
        <w:contextualSpacing/>
        <w:rPr>
          <w:rFonts w:eastAsia="Calibri" w:asciiTheme="majorHAnsi" w:hAnsiTheme="majorHAnsi"/>
          <w:bCs/>
          <w:sz w:val="16"/>
          <w:szCs w:val="16"/>
        </w:rPr>
      </w:pPr>
    </w:p>
    <w:p w:rsidR="00251BA2" w:rsidP="00251BA2" w:rsidRDefault="00251BA2" w14:paraId="17EE72F1" w14:textId="77777777">
      <w:pPr>
        <w:spacing w:before="120" w:after="120" w:line="240" w:lineRule="auto"/>
        <w:contextualSpacing/>
        <w:rPr>
          <w:rFonts w:eastAsia="Calibri" w:asciiTheme="majorHAnsi" w:hAnsiTheme="majorHAnsi"/>
          <w:b/>
          <w:bCs/>
          <w:sz w:val="16"/>
          <w:szCs w:val="16"/>
          <w:lang w:val="es-CR"/>
        </w:rPr>
      </w:pPr>
      <w:r>
        <w:rPr>
          <w:rFonts w:eastAsia="Calibri" w:asciiTheme="majorHAnsi" w:hAnsiTheme="majorHAnsi"/>
          <w:b/>
          <w:bCs/>
          <w:sz w:val="16"/>
          <w:szCs w:val="16"/>
          <w:lang w:val="es-CR"/>
        </w:rPr>
        <w:t>CGM/ILL/gvl*</w:t>
      </w:r>
    </w:p>
    <w:p w:rsidRPr="0085692C" w:rsidR="00A26E9E" w:rsidP="00590F07" w:rsidRDefault="00A26E9E" w14:paraId="31BC3841" w14:textId="77777777">
      <w:pPr>
        <w:pStyle w:val="CC"/>
      </w:pP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97DB3" w14:textId="77777777" w:rsidR="00251BA2" w:rsidRDefault="00251BA2" w:rsidP="00D43D57">
      <w:r>
        <w:separator/>
      </w:r>
    </w:p>
  </w:endnote>
  <w:endnote w:type="continuationSeparator" w:id="0">
    <w:p w14:paraId="2A39E6EA" w14:textId="77777777" w:rsidR="00251BA2" w:rsidRDefault="00251BA2"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7EB6">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04F7B" w14:textId="77777777" w:rsidR="00251BA2" w:rsidRDefault="00251BA2" w:rsidP="00D43D57">
      <w:r>
        <w:separator/>
      </w:r>
    </w:p>
  </w:footnote>
  <w:footnote w:type="continuationSeparator" w:id="0">
    <w:p w14:paraId="2F21A45B" w14:textId="77777777" w:rsidR="00251BA2" w:rsidRDefault="00251BA2"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4">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2"/>
    <w:rsid w:val="000064A4"/>
    <w:rsid w:val="000235B5"/>
    <w:rsid w:val="00026C85"/>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51BA2"/>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76CB8"/>
    <w:rsid w:val="00385CC2"/>
    <w:rsid w:val="003C4C71"/>
    <w:rsid w:val="003E4EDB"/>
    <w:rsid w:val="00410551"/>
    <w:rsid w:val="00414B77"/>
    <w:rsid w:val="00427002"/>
    <w:rsid w:val="00445881"/>
    <w:rsid w:val="00447A41"/>
    <w:rsid w:val="004822E6"/>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27EB6"/>
    <w:rsid w:val="00742018"/>
    <w:rsid w:val="0074397B"/>
    <w:rsid w:val="007455FF"/>
    <w:rsid w:val="00755896"/>
    <w:rsid w:val="00765619"/>
    <w:rsid w:val="007726CC"/>
    <w:rsid w:val="007736D4"/>
    <w:rsid w:val="007815A6"/>
    <w:rsid w:val="00793FEA"/>
    <w:rsid w:val="0079518D"/>
    <w:rsid w:val="007B18D6"/>
    <w:rsid w:val="007B51DD"/>
    <w:rsid w:val="007D1328"/>
    <w:rsid w:val="007F1723"/>
    <w:rsid w:val="007F327D"/>
    <w:rsid w:val="007F3A44"/>
    <w:rsid w:val="007F5430"/>
    <w:rsid w:val="007F7B1E"/>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4334A"/>
    <w:rsid w:val="00A76A2E"/>
    <w:rsid w:val="00A84CDB"/>
    <w:rsid w:val="00A906DD"/>
    <w:rsid w:val="00AC5138"/>
    <w:rsid w:val="00AC5E12"/>
    <w:rsid w:val="00AD7B1E"/>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A4FE0"/>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E08C6"/>
    <w:rsid w:val="00E0013C"/>
    <w:rsid w:val="00E11252"/>
    <w:rsid w:val="00E13C47"/>
    <w:rsid w:val="00E5185D"/>
    <w:rsid w:val="00E75AC8"/>
    <w:rsid w:val="00E82177"/>
    <w:rsid w:val="00E85D8D"/>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943C20"/>
  <w15:docId w15:val="{407E7075-9AB8-4753-AC9C-80227E5B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251BA2"/>
    <w:rPr>
      <w:rFonts w:ascii="Calibri" w:hAnsi="Calibri" w:cs="Calibri"/>
      <w:sz w:val="22"/>
      <w:szCs w:val="22"/>
      <w:lang w:eastAsia="en-US"/>
    </w:rPr>
  </w:style>
  <w:style w:type="paragraph" w:styleId="Prrafodelista">
    <w:name w:val="List Paragraph"/>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EADAD1D7DF0847C280A9A6794F26E760"/>
        <w:category>
          <w:name w:val="General"/>
          <w:gallery w:val="placeholder"/>
        </w:category>
        <w:types>
          <w:type w:val="bbPlcHdr"/>
        </w:types>
        <w:behaviors>
          <w:behavior w:val="content"/>
        </w:behaviors>
        <w:guid w:val="{2B6C23B6-DDD8-4EB0-B858-BB8BEBCADE74}"/>
      </w:docPartPr>
      <w:docPartBody>
        <w:p w:rsidR="00B93B4F" w:rsidRDefault="000B4FAF" w:rsidP="000B4FAF">
          <w:pPr>
            <w:pStyle w:val="EADAD1D7DF0847C280A9A6794F26E760"/>
          </w:pPr>
          <w:r>
            <w:rPr>
              <w:rStyle w:val="Textodelmarcadordeposicin"/>
            </w:rPr>
            <w:t>Haga clic aquí para escribir texto.</w:t>
          </w:r>
        </w:p>
      </w:docPartBody>
    </w:docPart>
    <w:docPart>
      <w:docPartPr>
        <w:name w:val="4047C3CBFA3B4CAFB868CD34B2E4DBEC"/>
        <w:category>
          <w:name w:val="General"/>
          <w:gallery w:val="placeholder"/>
        </w:category>
        <w:types>
          <w:type w:val="bbPlcHdr"/>
        </w:types>
        <w:behaviors>
          <w:behavior w:val="content"/>
        </w:behaviors>
        <w:guid w:val="{0D9807B3-71DD-4EC0-B917-F52DDB5FBFDD}"/>
      </w:docPartPr>
      <w:docPartBody>
        <w:p w:rsidR="00B93B4F" w:rsidRDefault="000B4FAF" w:rsidP="000B4FAF">
          <w:pPr>
            <w:pStyle w:val="4047C3CBFA3B4CAFB868CD34B2E4DBEC"/>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F"/>
    <w:rsid w:val="000B4FAF"/>
    <w:rsid w:val="00B93B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LMMNNHslMgTfil+xzeghlmcx8YsdNSrZ/xVsuFhQ8HA=</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56MKvCAHdo7NXyYEVMpbt5EvWfeuteXUjvHfvm/4I1Q=</DigestValue>
    </Reference>
  </SignedInfo>
  <SignatureValue>luH7JZ8oZdvYWrfeZMs91eL/WdQlnPeOjd3XvDzvjqqLMv2btgxcES9/75CFcSGQqmnVvWZJ407i
9WKW/LXtyi63M1C4dopEX3C+oWG7tNxAHwPB/OtXXXPOtGrNNkN/WCwRa8fYXFHQCk9zDcwiStUD
kl5byYggM/XFoOzMO+HYpnHvfIr2lYj1q2ZkmDZO3BNHiXkw1JfMHQ5JB03x+PJjX7BIypGq7arY
doiq5vGONzbKRkZVlGkl/INgGJrchSIpfpvu4dD7I+lpCMs9YjZY98IJGTPJh2vFCiKHrmZ/VdxM
ObmljuJ91n6H+zGXVPNkS4zxp/HHlonWUQcFkA==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cP1G2Ru20Avuzn0BfYieZsYfXDvmIufQH6U8VKpNSPE=</DigestValue>
      </Reference>
      <Reference URI="/word/endnotes.xml?ContentType=application/vnd.openxmlformats-officedocument.wordprocessingml.endnotes+xml">
        <DigestMethod Algorithm="http://www.w3.org/2001/04/xmlenc#sha256"/>
        <DigestValue>/kljn/kOu544OJQ9PNSvzIRMZAaiC+wMVLq9FM2RMDU=</DigestValue>
      </Reference>
      <Reference URI="/word/fontTable.xml?ContentType=application/vnd.openxmlformats-officedocument.wordprocessingml.fontTable+xml">
        <DigestMethod Algorithm="http://www.w3.org/2001/04/xmlenc#sha256"/>
        <DigestValue>r0M4LhcMrMlS29BxGe3WEQZ2+HHBjS8jO9Pu/WEFKrs=</DigestValue>
      </Reference>
      <Reference URI="/word/footer1.xml?ContentType=application/vnd.openxmlformats-officedocument.wordprocessingml.footer+xml">
        <DigestMethod Algorithm="http://www.w3.org/2001/04/xmlenc#sha256"/>
        <DigestValue>G6esccF/vQavfFrZDEJ2S8+E3Ymf8vM4Jr6OzN/8Uoo=</DigestValue>
      </Reference>
      <Reference URI="/word/footer2.xml?ContentType=application/vnd.openxmlformats-officedocument.wordprocessingml.footer+xml">
        <DigestMethod Algorithm="http://www.w3.org/2001/04/xmlenc#sha256"/>
        <DigestValue>Rhhhfs2ydrG3X286qBBXQuY/AYXt7crrkJSBIih5bek=</DigestValue>
      </Reference>
      <Reference URI="/word/footnotes.xml?ContentType=application/vnd.openxmlformats-officedocument.wordprocessingml.footnotes+xml">
        <DigestMethod Algorithm="http://www.w3.org/2001/04/xmlenc#sha256"/>
        <DigestValue>eisdYS2giSSLfVQEPeecgdqP59kXwSTDDs/c0bMR1cA=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MdO6Xv2cszeLNfRvahs4uhYbwe6YsdSg5N7jyC9TviQ=</DigestValue>
      </Reference>
      <Reference URI="/word/glossary/fontTable.xml?ContentType=application/vnd.openxmlformats-officedocument.wordprocessingml.fontTable+xml">
        <DigestMethod Algorithm="http://www.w3.org/2001/04/xmlenc#sha256"/>
        <DigestValue>jrud+Y3HCcp06ToQkS0PGFfnCTfGpmFiUBwLejVEbVw=</DigestValue>
      </Reference>
      <Reference URI="/word/glossary/settings.xml?ContentType=application/vnd.openxmlformats-officedocument.wordprocessingml.settings+xml">
        <DigestMethod Algorithm="http://www.w3.org/2001/04/xmlenc#sha256"/>
        <DigestValue>WulUEVfoVhPHFU0gvBIu8580uaQd4j/llpdmoYgXAwI=</DigestValue>
      </Reference>
      <Reference URI="/word/glossary/styles.xml?ContentType=application/vnd.openxmlformats-officedocument.wordprocessingml.styles+xml">
        <DigestMethod Algorithm="http://www.w3.org/2001/04/xmlenc#sha256"/>
        <DigestValue>vpfBwRflkEjmf1HL6QWpHcZU/jCsPWAjwMhAWTYFJow=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d6IsYuq5L3uUNYHD7ZGOCoqtF//8AYTK4TxmMlY5yQA=</DigestValue>
      </Reference>
      <Reference URI="/word/header2.xml?ContentType=application/vnd.openxmlformats-officedocument.wordprocessingml.header+xml">
        <DigestMethod Algorithm="http://www.w3.org/2001/04/xmlenc#sha256"/>
        <DigestValue>bCpX2+OmbX9L+bFcN/NIsWQGr7SHMoP82sIoFBxhOiw=</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WA3wG888S2qGcwxinton4R51oQVAbS6sQC944E8+EeA=</DigestValue>
      </Reference>
      <Reference URI="/word/settings.xml?ContentType=application/vnd.openxmlformats-officedocument.wordprocessingml.settings+xml">
        <DigestMethod Algorithm="http://www.w3.org/2001/04/xmlenc#sha256"/>
        <DigestValue>1Rp7tOE0+w6KoKQ+1yaM9SGuVskaYiEskElbO6BBHnM=</DigestValue>
      </Reference>
      <Reference URI="/word/styles.xml?ContentType=application/vnd.openxmlformats-officedocument.wordprocessingml.styles+xml">
        <DigestMethod Algorithm="http://www.w3.org/2001/04/xmlenc#sha256"/>
        <DigestValue>kHNh5OgNeKEqQ/+g+ZBMuNsWGUiFKABPHs8HdXv88sA=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LiltbcaJTHc8kyGiY6XAfU6yfJ97P1YUgvZclSr7BEM=</DigestValue>
      </Reference>
    </Manifest>
    <SignatureProperties>
      <SignatureProperty Id="idSignatureTime" Target="#idPackageSignature">
        <mdssi:SignatureTime xmlns:mdssi="http://schemas.openxmlformats.org/package/2006/digital-signature">
          <mdssi:Format>YYYY-MM-DDThh:mm:ssTZD</mdssi:Format>
          <mdssi:Value>2019-01-14T21:29:53Z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2019-01-14T21:29:53Z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GARITA MOYA CARLOS</DisplayName>
        <AccountId>377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Coordinación Administrativa para que haga la publicación en La Gaceta.
Resolución sobre disminución porcentaje acumulación estimación Acuerdo SUGEF 19-16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sobre disminución porcentaje acumulación estimación Acuerdo SUGEF 19-16</Subject1>
    <Entrante_x0020_relacionado xmlns="b875e23b-67d9-4b2e-bdec-edacbf90b326">
      <Url xsi:nil="true"/>
      <Description xsi:nil="true"/>
    </Entrante_x0020_relacionado>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3f8d77284a48abe38d11efd8b88c3cb9">
  <xsd:schema xmlns:xsd="http://www.w3.org/2001/XMLSchema" xmlns:xs="http://www.w3.org/2001/XMLSchema" xmlns:p="http://schemas.microsoft.com/office/2006/metadata/properties" xmlns:ns2="b875e23b-67d9-4b2e-bdec-edacbf90b326" targetNamespace="http://schemas.microsoft.com/office/2006/metadata/properties" ma:root="true" ma:fieldsID="7329de58f06b4eb87ebac9c7096ed76d"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347912D2-45B8-43E5-B860-A2F4ECC10231}"/>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E6597184-2627-4C59-985E-456E1D869EC9}"/>
</file>

<file path=customXml/itemProps6.xml><?xml version="1.0" encoding="utf-8"?>
<ds:datastoreItem xmlns:ds="http://schemas.openxmlformats.org/officeDocument/2006/customXml" ds:itemID="{9A998EE3-C3D9-49A8-A913-2CAF40D9A0BE}"/>
</file>

<file path=docProps/app.xml><?xml version="1.0" encoding="utf-8"?>
<Properties xmlns="http://schemas.openxmlformats.org/officeDocument/2006/extended-properties" xmlns:vt="http://schemas.openxmlformats.org/officeDocument/2006/docPropsVTypes">
  <Template>plantilla-SGF-13-Normas.dotm</Template>
  <TotalTime>31</TotalTime>
  <Pages>3</Pages>
  <Words>827</Words>
  <Characters>4551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VARGAS LEAL MARIA GABRIELA</dc:creator>
  <cp:lastModifiedBy>VARGAS LEAL MARIA GABRIELA</cp:lastModifiedBy>
  <cp:revision>7</cp:revision>
  <cp:lastPrinted>2015-07-30T22:36:00Z</cp:lastPrinted>
  <dcterms:created xsi:type="dcterms:W3CDTF">2019-01-07T16:20:00Z</dcterms:created>
  <dcterms:modified xsi:type="dcterms:W3CDTF">2019-01-14T21:12:00Z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27900</vt:r8>
  </property>
  <property fmtid="{D5CDD505-2E9C-101B-9397-08002B2CF9AE}" pid="13" name="Confidencialidad">
    <vt:lpwstr>Público|99c2402f-8ec3-4ca8-8024-be52e4e7f629</vt:lpwstr>
  </property>
  <property fmtid="{D5CDD505-2E9C-101B-9397-08002B2CF9AE}" pid="14" name="WorkflowChangePath">
    <vt:lpwstr>db02241f-29c2-4291-a3e5-2279928b3947,6;cb1954ac-0595-4038-a807-eb26625a3b7c,9;cb1954ac-0595-4038-a807-eb26625a3b7c,9;</vt:lpwstr>
  </property>
</Properties>
</file>