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CFBBE" w14:textId="663F856A" w:rsidR="00350287" w:rsidRPr="00CA72A2" w:rsidRDefault="00765619" w:rsidP="00350287">
      <w:pPr>
        <w:pStyle w:val="Texto0"/>
        <w:spacing w:before="0" w:after="0" w:line="240" w:lineRule="auto"/>
        <w:rPr>
          <w:sz w:val="24"/>
        </w:rPr>
      </w:pPr>
      <w:r w:rsidRPr="00742CF0">
        <w:rPr>
          <w:b/>
          <w:sz w:val="24"/>
        </w:rPr>
        <w:t>SGF</w:t>
      </w:r>
      <w:r w:rsidR="00612C34" w:rsidRPr="00742CF0">
        <w:rPr>
          <w:b/>
          <w:sz w:val="24"/>
        </w:rPr>
        <w:t>-</w:t>
      </w:r>
      <w:bookmarkStart w:id="0" w:name="_GoBack"/>
      <w:r w:rsidR="00DE43B7" w:rsidRPr="00742CF0">
        <w:rPr>
          <w:b/>
          <w:sz w:val="24"/>
        </w:rPr>
        <w:t>R</w:t>
      </w:r>
      <w:r w:rsidR="00F1102D" w:rsidRPr="00742CF0">
        <w:rPr>
          <w:b/>
          <w:sz w:val="24"/>
        </w:rPr>
        <w:t>-</w:t>
      </w:r>
      <w:r w:rsidR="00C31E91">
        <w:rPr>
          <w:b/>
          <w:sz w:val="24"/>
        </w:rPr>
        <w:t>1812-2016</w:t>
      </w:r>
      <w:bookmarkEnd w:id="0"/>
      <w:r w:rsidR="00350287" w:rsidRPr="00742CF0">
        <w:rPr>
          <w:rFonts w:asciiTheme="majorHAnsi" w:hAnsiTheme="majorHAnsi"/>
          <w:b/>
          <w:sz w:val="24"/>
        </w:rPr>
        <w:t>.</w:t>
      </w:r>
      <w:r w:rsidR="00350287" w:rsidRPr="00CA72A2">
        <w:rPr>
          <w:rFonts w:asciiTheme="majorHAnsi" w:hAnsiTheme="majorHAnsi"/>
          <w:sz w:val="24"/>
        </w:rPr>
        <w:t xml:space="preserve"> Superintendencia General de Entidades Financieras. Despacho del Superintendente General de Entidades Financieras. Santa Ana, </w:t>
      </w:r>
      <w:r w:rsidR="00893FC1">
        <w:rPr>
          <w:sz w:val="24"/>
        </w:rPr>
        <w:t>del 0</w:t>
      </w:r>
      <w:r w:rsidR="00341EF2">
        <w:rPr>
          <w:sz w:val="24"/>
        </w:rPr>
        <w:t>6</w:t>
      </w:r>
      <w:r w:rsidR="00893FC1">
        <w:rPr>
          <w:sz w:val="24"/>
        </w:rPr>
        <w:t xml:space="preserve"> de junio del 2016</w:t>
      </w:r>
      <w:r w:rsidR="00350287" w:rsidRPr="00CA72A2">
        <w:rPr>
          <w:sz w:val="24"/>
        </w:rPr>
        <w:t>.</w:t>
      </w:r>
    </w:p>
    <w:p w14:paraId="431296D8" w14:textId="77777777" w:rsidR="00350287" w:rsidRPr="00CA72A2" w:rsidRDefault="00350287" w:rsidP="00350287">
      <w:pPr>
        <w:spacing w:line="240" w:lineRule="auto"/>
        <w:ind w:left="33"/>
        <w:rPr>
          <w:rFonts w:asciiTheme="majorHAnsi" w:hAnsiTheme="majorHAnsi"/>
          <w:b/>
          <w:sz w:val="24"/>
        </w:rPr>
      </w:pPr>
    </w:p>
    <w:p w14:paraId="3B31A8BF" w14:textId="77777777" w:rsidR="00350287" w:rsidRPr="00CA72A2" w:rsidRDefault="00350287" w:rsidP="00350287">
      <w:pPr>
        <w:spacing w:line="240" w:lineRule="auto"/>
        <w:ind w:left="33"/>
        <w:rPr>
          <w:rFonts w:asciiTheme="majorHAnsi" w:hAnsiTheme="majorHAnsi"/>
          <w:sz w:val="24"/>
        </w:rPr>
      </w:pPr>
      <w:r w:rsidRPr="00CA72A2">
        <w:rPr>
          <w:rFonts w:asciiTheme="majorHAnsi" w:hAnsiTheme="majorHAnsi"/>
          <w:sz w:val="24"/>
        </w:rPr>
        <w:t>El Superintendente General de Entidades Financieras,</w:t>
      </w:r>
    </w:p>
    <w:p w14:paraId="7B237DC7" w14:textId="77777777" w:rsidR="00350287" w:rsidRPr="00CA72A2" w:rsidRDefault="00350287" w:rsidP="00350287">
      <w:pPr>
        <w:spacing w:line="240" w:lineRule="auto"/>
        <w:ind w:left="33"/>
        <w:rPr>
          <w:rFonts w:asciiTheme="majorHAnsi" w:hAnsiTheme="majorHAnsi"/>
          <w:b/>
          <w:sz w:val="24"/>
        </w:rPr>
      </w:pPr>
    </w:p>
    <w:p w14:paraId="1B9D25B2" w14:textId="77777777" w:rsidR="00350287" w:rsidRPr="00CA72A2" w:rsidRDefault="00350287" w:rsidP="00350287">
      <w:pPr>
        <w:spacing w:line="240" w:lineRule="auto"/>
        <w:ind w:left="33"/>
        <w:rPr>
          <w:rFonts w:asciiTheme="majorHAnsi" w:hAnsiTheme="majorHAnsi"/>
          <w:sz w:val="24"/>
        </w:rPr>
      </w:pPr>
      <w:r w:rsidRPr="00CA72A2">
        <w:rPr>
          <w:rFonts w:asciiTheme="majorHAnsi" w:hAnsiTheme="majorHAnsi"/>
          <w:b/>
          <w:sz w:val="24"/>
        </w:rPr>
        <w:t>Considerando que</w:t>
      </w:r>
      <w:r w:rsidRPr="00CA72A2">
        <w:rPr>
          <w:rFonts w:asciiTheme="majorHAnsi" w:hAnsiTheme="majorHAnsi"/>
          <w:sz w:val="24"/>
        </w:rPr>
        <w:t>:</w:t>
      </w:r>
    </w:p>
    <w:p w14:paraId="76BBCE70" w14:textId="77777777" w:rsidR="00350287" w:rsidRPr="00CA72A2" w:rsidRDefault="00350287" w:rsidP="00350287">
      <w:pPr>
        <w:spacing w:line="240" w:lineRule="auto"/>
        <w:ind w:left="33"/>
        <w:rPr>
          <w:rFonts w:asciiTheme="majorHAnsi" w:hAnsiTheme="majorHAnsi"/>
          <w:b/>
          <w:sz w:val="24"/>
        </w:rPr>
      </w:pPr>
    </w:p>
    <w:p w14:paraId="1DEBA868" w14:textId="77777777" w:rsidR="00350287" w:rsidRPr="00CA72A2" w:rsidRDefault="00350287" w:rsidP="00350287">
      <w:pPr>
        <w:pStyle w:val="Prrafodelista"/>
        <w:numPr>
          <w:ilvl w:val="0"/>
          <w:numId w:val="15"/>
        </w:numPr>
        <w:spacing w:after="0" w:line="240" w:lineRule="auto"/>
        <w:ind w:left="33" w:firstLine="0"/>
        <w:jc w:val="both"/>
        <w:rPr>
          <w:rFonts w:asciiTheme="majorHAnsi" w:hAnsiTheme="majorHAnsi"/>
          <w:sz w:val="24"/>
          <w:szCs w:val="24"/>
        </w:rPr>
      </w:pPr>
      <w:r w:rsidRPr="00CA72A2">
        <w:rPr>
          <w:rFonts w:asciiTheme="majorHAnsi" w:hAnsiTheme="majorHAnsi"/>
          <w:sz w:val="24"/>
          <w:szCs w:val="24"/>
        </w:rPr>
        <w:t>Mediante artículo 5 del acta de la sesión 1242-2016, del 5 de abril del 2016, el Consejo Nacional de Supervisión del Sistema Financiero aprobó el Acuerdo SUGEF 18-16 “Reglamento sobre Gestión del Riesgo Operativo”.</w:t>
      </w:r>
    </w:p>
    <w:p w14:paraId="74A87239" w14:textId="77777777" w:rsidR="00350287" w:rsidRPr="00CA72A2" w:rsidRDefault="00350287" w:rsidP="00350287">
      <w:pPr>
        <w:pStyle w:val="Prrafodelista"/>
        <w:spacing w:after="0" w:line="240" w:lineRule="auto"/>
        <w:ind w:left="33"/>
        <w:jc w:val="both"/>
        <w:rPr>
          <w:rFonts w:asciiTheme="majorHAnsi" w:hAnsiTheme="majorHAnsi"/>
          <w:sz w:val="24"/>
          <w:szCs w:val="24"/>
        </w:rPr>
      </w:pPr>
    </w:p>
    <w:p w14:paraId="7D32E9BE" w14:textId="77777777" w:rsidR="00350287" w:rsidRPr="00CA72A2" w:rsidRDefault="00350287" w:rsidP="00350287">
      <w:pPr>
        <w:pStyle w:val="Prrafodelista"/>
        <w:numPr>
          <w:ilvl w:val="0"/>
          <w:numId w:val="15"/>
        </w:numPr>
        <w:spacing w:after="0" w:line="240" w:lineRule="auto"/>
        <w:ind w:left="33" w:firstLine="0"/>
        <w:jc w:val="both"/>
        <w:rPr>
          <w:rFonts w:asciiTheme="majorHAnsi" w:hAnsiTheme="majorHAnsi"/>
          <w:sz w:val="24"/>
          <w:szCs w:val="24"/>
        </w:rPr>
      </w:pPr>
      <w:r w:rsidRPr="00CA72A2">
        <w:rPr>
          <w:rFonts w:asciiTheme="majorHAnsi" w:hAnsiTheme="majorHAnsi"/>
          <w:sz w:val="24"/>
          <w:szCs w:val="24"/>
        </w:rPr>
        <w:t>Los artículos 8, 13 y 14 del citado reglamento requieren la emisión de lineamientos respecto a líneas de negocio y las categorías de eventos de riesgo operativo; sobre los requerimientos mínimos a la autenticación de clientes y autorización de transacciones en los medios y dispositivos de los canales electrónicos utilizados en la prestación de servicios financieros (en particular en ambientes de banca en línea); y la información de la base de datos de eventos de riesgo operativo y de la base de datos para eventos de riesgos potenciales;</w:t>
      </w:r>
      <w:r w:rsidRPr="00CA72A2">
        <w:rPr>
          <w:rFonts w:asciiTheme="majorHAnsi" w:eastAsia="Times New Roman" w:hAnsiTheme="majorHAnsi"/>
          <w:sz w:val="24"/>
          <w:szCs w:val="24"/>
        </w:rPr>
        <w:t xml:space="preserve"> </w:t>
      </w:r>
      <w:r w:rsidRPr="00CA72A2">
        <w:rPr>
          <w:rFonts w:asciiTheme="majorHAnsi" w:hAnsiTheme="majorHAnsi"/>
          <w:sz w:val="24"/>
          <w:szCs w:val="24"/>
        </w:rPr>
        <w:t>por lo que se hace necesario emitir dichos  lineamientos generales.</w:t>
      </w:r>
    </w:p>
    <w:p w14:paraId="253E13BD" w14:textId="77777777" w:rsidR="00350287" w:rsidRPr="00CA72A2" w:rsidRDefault="00350287" w:rsidP="00350287">
      <w:pPr>
        <w:spacing w:line="240" w:lineRule="auto"/>
        <w:rPr>
          <w:rFonts w:asciiTheme="majorHAnsi" w:hAnsiTheme="majorHAnsi"/>
          <w:sz w:val="24"/>
        </w:rPr>
      </w:pPr>
    </w:p>
    <w:p w14:paraId="5987FAEC" w14:textId="77777777" w:rsidR="00350287" w:rsidRPr="00CA72A2" w:rsidRDefault="00350287" w:rsidP="00350287">
      <w:pPr>
        <w:pStyle w:val="Prrafodelista"/>
        <w:numPr>
          <w:ilvl w:val="0"/>
          <w:numId w:val="15"/>
        </w:numPr>
        <w:spacing w:after="0" w:line="240" w:lineRule="auto"/>
        <w:ind w:left="33" w:firstLine="0"/>
        <w:jc w:val="both"/>
        <w:rPr>
          <w:rFonts w:asciiTheme="majorHAnsi" w:hAnsiTheme="majorHAnsi"/>
          <w:sz w:val="24"/>
          <w:szCs w:val="24"/>
        </w:rPr>
      </w:pPr>
      <w:r w:rsidRPr="00CA72A2">
        <w:rPr>
          <w:rFonts w:asciiTheme="majorHAnsi" w:hAnsiTheme="majorHAnsi"/>
          <w:sz w:val="24"/>
          <w:szCs w:val="24"/>
        </w:rPr>
        <w:t xml:space="preserve">El Artículo 131, inciso b) de la Ley Orgánica del Banco Central de Costa Rica, Ley número 7558, establece que corresponde al Superintendente tomar las medidas necesarias para ejecutar los acuerdos del Consejo Nacional de Supervisión. </w:t>
      </w:r>
    </w:p>
    <w:p w14:paraId="50B21197" w14:textId="77777777" w:rsidR="00350287" w:rsidRPr="00CA72A2" w:rsidRDefault="00350287" w:rsidP="00350287">
      <w:pPr>
        <w:spacing w:line="240" w:lineRule="auto"/>
        <w:rPr>
          <w:rFonts w:asciiTheme="majorHAnsi" w:hAnsiTheme="majorHAnsi"/>
          <w:sz w:val="24"/>
          <w:lang w:val="es-CR"/>
        </w:rPr>
      </w:pPr>
    </w:p>
    <w:p w14:paraId="5A59B03C" w14:textId="77777777" w:rsidR="00350287" w:rsidRPr="00CA72A2" w:rsidRDefault="00350287" w:rsidP="00350287">
      <w:pPr>
        <w:spacing w:line="240" w:lineRule="auto"/>
        <w:rPr>
          <w:rFonts w:asciiTheme="majorHAnsi" w:hAnsiTheme="majorHAnsi"/>
          <w:sz w:val="24"/>
        </w:rPr>
      </w:pPr>
    </w:p>
    <w:p w14:paraId="3DCADA98" w14:textId="77777777" w:rsidR="00350287" w:rsidRDefault="00350287" w:rsidP="00350287">
      <w:pPr>
        <w:spacing w:line="240" w:lineRule="auto"/>
        <w:ind w:left="33"/>
        <w:rPr>
          <w:rFonts w:asciiTheme="majorHAnsi" w:hAnsiTheme="majorHAnsi"/>
          <w:sz w:val="24"/>
        </w:rPr>
      </w:pPr>
      <w:r w:rsidRPr="00CA72A2">
        <w:rPr>
          <w:rFonts w:asciiTheme="majorHAnsi" w:hAnsiTheme="majorHAnsi"/>
          <w:b/>
          <w:sz w:val="24"/>
        </w:rPr>
        <w:t>Dispone</w:t>
      </w:r>
      <w:r w:rsidRPr="00CA72A2">
        <w:rPr>
          <w:rFonts w:asciiTheme="majorHAnsi" w:hAnsiTheme="majorHAnsi"/>
          <w:sz w:val="24"/>
        </w:rPr>
        <w:t>:</w:t>
      </w:r>
    </w:p>
    <w:p w14:paraId="3B8BB3AD" w14:textId="48A316F8" w:rsidR="0024063E" w:rsidRDefault="0024063E" w:rsidP="00350287">
      <w:pPr>
        <w:spacing w:line="240" w:lineRule="auto"/>
        <w:ind w:left="33"/>
        <w:rPr>
          <w:rFonts w:asciiTheme="majorHAnsi" w:hAnsiTheme="majorHAnsi"/>
          <w:b/>
          <w:sz w:val="24"/>
        </w:rPr>
      </w:pPr>
    </w:p>
    <w:p w14:paraId="50041B96" w14:textId="0809326F" w:rsidR="0024063E" w:rsidRPr="009D0353" w:rsidRDefault="0024063E" w:rsidP="009D0353">
      <w:pPr>
        <w:pStyle w:val="Prrafodelista"/>
        <w:numPr>
          <w:ilvl w:val="0"/>
          <w:numId w:val="22"/>
        </w:numPr>
        <w:spacing w:line="240" w:lineRule="auto"/>
        <w:ind w:left="393"/>
        <w:rPr>
          <w:rFonts w:asciiTheme="majorHAnsi" w:hAnsiTheme="majorHAnsi"/>
          <w:sz w:val="24"/>
        </w:rPr>
      </w:pPr>
      <w:r w:rsidRPr="009D0353">
        <w:rPr>
          <w:rFonts w:asciiTheme="majorHAnsi" w:hAnsiTheme="majorHAnsi"/>
          <w:sz w:val="24"/>
        </w:rPr>
        <w:t>Dejar sin efecto el SGF-15</w:t>
      </w:r>
      <w:r w:rsidR="006B1C60">
        <w:rPr>
          <w:rFonts w:asciiTheme="majorHAnsi" w:hAnsiTheme="majorHAnsi"/>
          <w:sz w:val="24"/>
        </w:rPr>
        <w:t>57</w:t>
      </w:r>
      <w:r w:rsidRPr="009D0353">
        <w:rPr>
          <w:rFonts w:asciiTheme="majorHAnsi" w:hAnsiTheme="majorHAnsi"/>
          <w:sz w:val="24"/>
        </w:rPr>
        <w:t xml:space="preserve">-2016, del </w:t>
      </w:r>
      <w:r w:rsidR="009D0353" w:rsidRPr="009D0353">
        <w:rPr>
          <w:rFonts w:asciiTheme="majorHAnsi" w:hAnsiTheme="majorHAnsi"/>
          <w:sz w:val="24"/>
        </w:rPr>
        <w:t>11 de mayo del 2016.</w:t>
      </w:r>
    </w:p>
    <w:p w14:paraId="2A30C92B" w14:textId="77777777" w:rsidR="00350287" w:rsidRPr="0024063E" w:rsidRDefault="00350287" w:rsidP="009D0353">
      <w:pPr>
        <w:spacing w:line="240" w:lineRule="auto"/>
        <w:rPr>
          <w:rFonts w:asciiTheme="majorHAnsi" w:hAnsiTheme="majorHAnsi"/>
          <w:sz w:val="24"/>
        </w:rPr>
      </w:pPr>
    </w:p>
    <w:p w14:paraId="2CA24932" w14:textId="77777777" w:rsidR="00350287" w:rsidRPr="009D0353" w:rsidRDefault="00350287" w:rsidP="009D0353">
      <w:pPr>
        <w:pStyle w:val="Prrafodelista"/>
        <w:numPr>
          <w:ilvl w:val="0"/>
          <w:numId w:val="22"/>
        </w:numPr>
        <w:spacing w:line="240" w:lineRule="auto"/>
        <w:ind w:left="393"/>
        <w:rPr>
          <w:rFonts w:asciiTheme="majorHAnsi" w:hAnsiTheme="majorHAnsi"/>
          <w:sz w:val="24"/>
        </w:rPr>
      </w:pPr>
      <w:r w:rsidRPr="009D0353">
        <w:rPr>
          <w:rFonts w:asciiTheme="majorHAnsi" w:hAnsiTheme="majorHAnsi"/>
          <w:sz w:val="24"/>
        </w:rPr>
        <w:t>Emitir los "Lineamientos Generales” del Acuerdo SUGEF 18-16 “Reglamento sobre Gestión del Riesgo Operativo” de conformidad con el siguiente texto:</w:t>
      </w:r>
    </w:p>
    <w:p w14:paraId="68DEBD15" w14:textId="77777777" w:rsidR="00350287" w:rsidRPr="00CA72A2" w:rsidRDefault="00350287" w:rsidP="00350287">
      <w:pPr>
        <w:spacing w:line="240" w:lineRule="auto"/>
        <w:ind w:left="33"/>
        <w:rPr>
          <w:rFonts w:asciiTheme="majorHAnsi" w:hAnsiTheme="majorHAnsi"/>
          <w:sz w:val="24"/>
        </w:rPr>
      </w:pPr>
    </w:p>
    <w:p w14:paraId="4408B821" w14:textId="77777777" w:rsidR="00350287" w:rsidRPr="00CA72A2" w:rsidRDefault="00350287" w:rsidP="00350287">
      <w:pPr>
        <w:spacing w:line="240" w:lineRule="auto"/>
        <w:ind w:left="33"/>
        <w:rPr>
          <w:rFonts w:asciiTheme="majorHAnsi" w:hAnsiTheme="majorHAnsi"/>
          <w:sz w:val="24"/>
        </w:rPr>
      </w:pPr>
    </w:p>
    <w:p w14:paraId="1D8C9A3D" w14:textId="77777777" w:rsidR="00350287" w:rsidRPr="00CA72A2" w:rsidRDefault="00350287" w:rsidP="00350287">
      <w:pPr>
        <w:widowControl w:val="0"/>
        <w:tabs>
          <w:tab w:val="left" w:pos="142"/>
        </w:tabs>
        <w:spacing w:line="240" w:lineRule="auto"/>
        <w:ind w:left="33"/>
        <w:jc w:val="center"/>
        <w:rPr>
          <w:rFonts w:asciiTheme="majorHAnsi" w:hAnsiTheme="majorHAnsi"/>
          <w:b/>
          <w:sz w:val="24"/>
        </w:rPr>
      </w:pPr>
      <w:r w:rsidRPr="00CA72A2">
        <w:rPr>
          <w:rFonts w:asciiTheme="majorHAnsi" w:hAnsiTheme="majorHAnsi"/>
          <w:b/>
          <w:sz w:val="24"/>
        </w:rPr>
        <w:t>LINEAMIENTOS GENERALES DEL ACUERDO SUGEF 18-16</w:t>
      </w:r>
    </w:p>
    <w:p w14:paraId="3605DE3E" w14:textId="77777777" w:rsidR="00350287" w:rsidRPr="00CA72A2" w:rsidRDefault="00350287" w:rsidP="00350287">
      <w:pPr>
        <w:widowControl w:val="0"/>
        <w:tabs>
          <w:tab w:val="left" w:pos="142"/>
        </w:tabs>
        <w:spacing w:line="240" w:lineRule="auto"/>
        <w:ind w:left="33"/>
        <w:jc w:val="center"/>
        <w:rPr>
          <w:rFonts w:asciiTheme="majorHAnsi" w:hAnsiTheme="majorHAnsi"/>
          <w:b/>
          <w:sz w:val="24"/>
        </w:rPr>
      </w:pPr>
      <w:r w:rsidRPr="00CA72A2">
        <w:rPr>
          <w:rFonts w:asciiTheme="majorHAnsi" w:hAnsiTheme="majorHAnsi"/>
          <w:b/>
          <w:sz w:val="24"/>
        </w:rPr>
        <w:t>REGLAMENTO SOBRE GESTIÓN DEL RIESGO OPERATIVO</w:t>
      </w:r>
    </w:p>
    <w:p w14:paraId="1A2BC053" w14:textId="77777777" w:rsidR="00350287" w:rsidRPr="00CA72A2" w:rsidRDefault="00350287" w:rsidP="00350287">
      <w:pPr>
        <w:spacing w:line="240" w:lineRule="auto"/>
        <w:ind w:left="33"/>
        <w:rPr>
          <w:rFonts w:asciiTheme="majorHAnsi" w:hAnsiTheme="majorHAnsi"/>
          <w:b/>
          <w:sz w:val="24"/>
        </w:rPr>
      </w:pPr>
    </w:p>
    <w:p w14:paraId="1B7DF4CA" w14:textId="77777777" w:rsidR="00350287" w:rsidRPr="00CA72A2" w:rsidRDefault="00350287" w:rsidP="00350287">
      <w:pPr>
        <w:spacing w:line="240" w:lineRule="auto"/>
        <w:ind w:left="33"/>
        <w:rPr>
          <w:rFonts w:asciiTheme="majorHAnsi" w:hAnsiTheme="majorHAnsi"/>
          <w:b/>
          <w:sz w:val="24"/>
        </w:rPr>
      </w:pPr>
    </w:p>
    <w:p w14:paraId="4A24AB8B" w14:textId="77777777" w:rsidR="00350287" w:rsidRPr="00CA72A2" w:rsidRDefault="00350287" w:rsidP="00350287">
      <w:pPr>
        <w:spacing w:line="240" w:lineRule="auto"/>
        <w:ind w:left="33"/>
        <w:rPr>
          <w:rFonts w:asciiTheme="majorHAnsi" w:hAnsiTheme="majorHAnsi"/>
          <w:sz w:val="24"/>
        </w:rPr>
      </w:pPr>
      <w:r w:rsidRPr="00CA72A2">
        <w:rPr>
          <w:rFonts w:asciiTheme="majorHAnsi" w:hAnsiTheme="majorHAnsi"/>
          <w:b/>
          <w:sz w:val="24"/>
        </w:rPr>
        <w:t>Objetivo general</w:t>
      </w:r>
      <w:r w:rsidRPr="00CA72A2">
        <w:rPr>
          <w:rFonts w:asciiTheme="majorHAnsi" w:hAnsiTheme="majorHAnsi"/>
          <w:sz w:val="24"/>
        </w:rPr>
        <w:t xml:space="preserve">: Suministrar las guías necesarias que permitan a la entidad observar lo dispuesto por el Acuerdo SUGEF 18-16. </w:t>
      </w:r>
    </w:p>
    <w:p w14:paraId="7BD5DC3E" w14:textId="77777777" w:rsidR="00350287" w:rsidRPr="00CA72A2" w:rsidRDefault="00350287" w:rsidP="00350287">
      <w:pPr>
        <w:spacing w:line="240" w:lineRule="auto"/>
        <w:ind w:left="33"/>
        <w:rPr>
          <w:rFonts w:asciiTheme="majorHAnsi" w:hAnsiTheme="majorHAnsi"/>
          <w:b/>
          <w:sz w:val="24"/>
        </w:rPr>
      </w:pPr>
    </w:p>
    <w:p w14:paraId="566F342D" w14:textId="77777777" w:rsidR="00350287" w:rsidRPr="00CA72A2" w:rsidRDefault="00350287" w:rsidP="00350287">
      <w:pPr>
        <w:pStyle w:val="Prrafodelista"/>
        <w:widowControl w:val="0"/>
        <w:numPr>
          <w:ilvl w:val="0"/>
          <w:numId w:val="18"/>
        </w:numPr>
        <w:spacing w:after="0" w:line="240" w:lineRule="auto"/>
        <w:ind w:left="33" w:firstLine="0"/>
        <w:jc w:val="both"/>
        <w:rPr>
          <w:rFonts w:asciiTheme="majorHAnsi" w:hAnsiTheme="majorHAnsi"/>
          <w:b/>
          <w:sz w:val="24"/>
          <w:szCs w:val="24"/>
        </w:rPr>
      </w:pPr>
      <w:r w:rsidRPr="00CA72A2">
        <w:rPr>
          <w:rFonts w:asciiTheme="majorHAnsi" w:hAnsiTheme="majorHAnsi"/>
          <w:b/>
          <w:sz w:val="24"/>
          <w:szCs w:val="24"/>
        </w:rPr>
        <w:t>LÍNEAS DE NEGOCIO GENÉRICAS PARA INTERMEDIARIOS FINANCIEROS DEL SISTEMA FINANCIERO NACIONAL</w:t>
      </w:r>
      <w:r w:rsidRPr="00CA72A2">
        <w:rPr>
          <w:rFonts w:asciiTheme="majorHAnsi" w:hAnsiTheme="majorHAnsi"/>
          <w:sz w:val="24"/>
          <w:szCs w:val="24"/>
        </w:rPr>
        <w:t>.</w:t>
      </w:r>
    </w:p>
    <w:p w14:paraId="033193B8" w14:textId="77777777" w:rsidR="00350287" w:rsidRPr="00CA72A2" w:rsidRDefault="00350287" w:rsidP="00350287">
      <w:pPr>
        <w:widowControl w:val="0"/>
        <w:tabs>
          <w:tab w:val="left" w:pos="142"/>
        </w:tabs>
        <w:spacing w:line="240" w:lineRule="auto"/>
        <w:ind w:left="33"/>
        <w:rPr>
          <w:rFonts w:asciiTheme="majorHAnsi" w:hAnsiTheme="majorHAnsi"/>
          <w:sz w:val="24"/>
        </w:rPr>
      </w:pPr>
    </w:p>
    <w:p w14:paraId="1FFCA681" w14:textId="77777777" w:rsidR="00350287" w:rsidRPr="00CA72A2" w:rsidRDefault="00350287" w:rsidP="00350287">
      <w:pPr>
        <w:widowControl w:val="0"/>
        <w:tabs>
          <w:tab w:val="left" w:pos="142"/>
        </w:tabs>
        <w:spacing w:line="240" w:lineRule="auto"/>
        <w:ind w:left="33"/>
        <w:rPr>
          <w:rFonts w:asciiTheme="majorHAnsi" w:hAnsiTheme="majorHAnsi"/>
          <w:sz w:val="24"/>
        </w:rPr>
      </w:pPr>
      <w:r w:rsidRPr="00CA72A2">
        <w:rPr>
          <w:rFonts w:asciiTheme="majorHAnsi" w:hAnsiTheme="majorHAnsi"/>
          <w:sz w:val="24"/>
        </w:rPr>
        <w:t xml:space="preserve">Las líneas de negocio que de seguido se presentan son de carácter orientativo. </w:t>
      </w:r>
    </w:p>
    <w:p w14:paraId="3A8C603C" w14:textId="77777777" w:rsidR="00350287" w:rsidRPr="00CA72A2" w:rsidRDefault="00350287" w:rsidP="00350287">
      <w:pPr>
        <w:spacing w:line="240" w:lineRule="auto"/>
        <w:ind w:left="33"/>
        <w:jc w:val="center"/>
        <w:rPr>
          <w:rFonts w:asciiTheme="majorHAnsi" w:hAnsiTheme="majorHAnsi"/>
          <w:b/>
          <w:sz w:val="24"/>
        </w:rPr>
      </w:pPr>
    </w:p>
    <w:p w14:paraId="36549F36" w14:textId="2B025E31" w:rsidR="00350287" w:rsidRPr="00CA72A2" w:rsidRDefault="00350287" w:rsidP="00350287">
      <w:pPr>
        <w:spacing w:line="240" w:lineRule="auto"/>
        <w:rPr>
          <w:rFonts w:asciiTheme="majorHAnsi" w:hAnsiTheme="majorHAnsi"/>
          <w:sz w:val="24"/>
        </w:rPr>
      </w:pPr>
    </w:p>
    <w:tbl>
      <w:tblPr>
        <w:tblStyle w:val="Cuadrculadetablaclara"/>
        <w:tblW w:w="8500" w:type="dxa"/>
        <w:tblLayout w:type="fixed"/>
        <w:tblLook w:val="04A0" w:firstRow="1" w:lastRow="0" w:firstColumn="1" w:lastColumn="0" w:noHBand="0" w:noVBand="1"/>
      </w:tblPr>
      <w:tblGrid>
        <w:gridCol w:w="988"/>
        <w:gridCol w:w="1701"/>
        <w:gridCol w:w="2409"/>
        <w:gridCol w:w="3402"/>
      </w:tblGrid>
      <w:tr w:rsidR="00350287" w:rsidRPr="00CA72A2" w14:paraId="62367768" w14:textId="77777777" w:rsidTr="00E237BE">
        <w:tc>
          <w:tcPr>
            <w:tcW w:w="988" w:type="dxa"/>
          </w:tcPr>
          <w:p w14:paraId="676CA40B" w14:textId="77777777" w:rsidR="00350287" w:rsidRPr="00CA72A2" w:rsidRDefault="00350287" w:rsidP="0024063E">
            <w:pPr>
              <w:spacing w:line="240" w:lineRule="auto"/>
              <w:ind w:left="33"/>
              <w:jc w:val="center"/>
              <w:rPr>
                <w:rFonts w:asciiTheme="majorHAnsi" w:hAnsiTheme="majorHAnsi"/>
                <w:b/>
                <w:sz w:val="24"/>
              </w:rPr>
            </w:pPr>
            <w:r w:rsidRPr="00CA72A2">
              <w:rPr>
                <w:rFonts w:asciiTheme="majorHAnsi" w:hAnsiTheme="majorHAnsi"/>
                <w:b/>
                <w:sz w:val="24"/>
              </w:rPr>
              <w:t>Línea</w:t>
            </w:r>
          </w:p>
        </w:tc>
        <w:tc>
          <w:tcPr>
            <w:tcW w:w="1701" w:type="dxa"/>
          </w:tcPr>
          <w:p w14:paraId="4DDE3A7F" w14:textId="77777777" w:rsidR="00350287" w:rsidRPr="00CA72A2" w:rsidRDefault="00350287" w:rsidP="0024063E">
            <w:pPr>
              <w:spacing w:line="240" w:lineRule="auto"/>
              <w:ind w:left="33"/>
              <w:jc w:val="center"/>
              <w:rPr>
                <w:rFonts w:asciiTheme="majorHAnsi" w:hAnsiTheme="majorHAnsi"/>
                <w:b/>
                <w:sz w:val="24"/>
              </w:rPr>
            </w:pPr>
            <w:r w:rsidRPr="00CA72A2">
              <w:rPr>
                <w:rFonts w:asciiTheme="majorHAnsi" w:hAnsiTheme="majorHAnsi"/>
                <w:b/>
                <w:sz w:val="24"/>
              </w:rPr>
              <w:t>Nivel 1</w:t>
            </w:r>
          </w:p>
        </w:tc>
        <w:tc>
          <w:tcPr>
            <w:tcW w:w="2409" w:type="dxa"/>
          </w:tcPr>
          <w:p w14:paraId="617707AE" w14:textId="77777777" w:rsidR="00350287" w:rsidRPr="00CA72A2" w:rsidRDefault="00350287" w:rsidP="0024063E">
            <w:pPr>
              <w:spacing w:line="240" w:lineRule="auto"/>
              <w:ind w:left="33"/>
              <w:jc w:val="center"/>
              <w:rPr>
                <w:rFonts w:asciiTheme="majorHAnsi" w:hAnsiTheme="majorHAnsi"/>
                <w:b/>
                <w:sz w:val="24"/>
              </w:rPr>
            </w:pPr>
            <w:r w:rsidRPr="00CA72A2">
              <w:rPr>
                <w:rFonts w:asciiTheme="majorHAnsi" w:hAnsiTheme="majorHAnsi"/>
                <w:b/>
                <w:sz w:val="24"/>
              </w:rPr>
              <w:t>Nivel 2</w:t>
            </w:r>
          </w:p>
        </w:tc>
        <w:tc>
          <w:tcPr>
            <w:tcW w:w="3402" w:type="dxa"/>
          </w:tcPr>
          <w:p w14:paraId="2E6E8D7B" w14:textId="77777777" w:rsidR="00350287" w:rsidRPr="00CA72A2" w:rsidRDefault="00350287" w:rsidP="0024063E">
            <w:pPr>
              <w:spacing w:line="240" w:lineRule="auto"/>
              <w:ind w:left="33"/>
              <w:jc w:val="center"/>
              <w:rPr>
                <w:rFonts w:asciiTheme="majorHAnsi" w:hAnsiTheme="majorHAnsi"/>
                <w:b/>
                <w:sz w:val="24"/>
              </w:rPr>
            </w:pPr>
            <w:r w:rsidRPr="00CA72A2">
              <w:rPr>
                <w:rFonts w:asciiTheme="majorHAnsi" w:hAnsiTheme="majorHAnsi"/>
                <w:b/>
                <w:sz w:val="24"/>
              </w:rPr>
              <w:t>Grupo de actividades</w:t>
            </w:r>
          </w:p>
        </w:tc>
      </w:tr>
      <w:tr w:rsidR="00350287" w:rsidRPr="00CA72A2" w14:paraId="3216FDB1" w14:textId="77777777" w:rsidTr="00E237BE">
        <w:tc>
          <w:tcPr>
            <w:tcW w:w="988" w:type="dxa"/>
            <w:vMerge w:val="restart"/>
          </w:tcPr>
          <w:p w14:paraId="5E8FB4CF"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sz w:val="24"/>
              </w:rPr>
              <w:lastRenderedPageBreak/>
              <w:t>1</w:t>
            </w:r>
          </w:p>
        </w:tc>
        <w:tc>
          <w:tcPr>
            <w:tcW w:w="1701" w:type="dxa"/>
            <w:vMerge w:val="restart"/>
          </w:tcPr>
          <w:p w14:paraId="4A1855D8"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b/>
                <w:bCs/>
                <w:sz w:val="24"/>
              </w:rPr>
              <w:t>Finanzas corporativas</w:t>
            </w:r>
          </w:p>
        </w:tc>
        <w:tc>
          <w:tcPr>
            <w:tcW w:w="2409" w:type="dxa"/>
          </w:tcPr>
          <w:p w14:paraId="22A227D9" w14:textId="77777777" w:rsidR="00350287" w:rsidRPr="00CA72A2" w:rsidRDefault="00350287" w:rsidP="006168C9">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1.1 Finanzas corporativas</w:t>
            </w:r>
          </w:p>
        </w:tc>
        <w:tc>
          <w:tcPr>
            <w:tcW w:w="3402" w:type="dxa"/>
          </w:tcPr>
          <w:p w14:paraId="41DF6448" w14:textId="77777777" w:rsidR="00350287" w:rsidRPr="00CA72A2" w:rsidRDefault="00350287" w:rsidP="0024063E">
            <w:pPr>
              <w:autoSpaceDE w:val="0"/>
              <w:autoSpaceDN w:val="0"/>
              <w:adjustRightInd w:val="0"/>
              <w:spacing w:line="240" w:lineRule="auto"/>
              <w:ind w:left="33"/>
              <w:rPr>
                <w:rFonts w:asciiTheme="majorHAnsi" w:hAnsiTheme="majorHAnsi"/>
                <w:color w:val="000000" w:themeColor="background1"/>
                <w:sz w:val="24"/>
              </w:rPr>
            </w:pPr>
            <w:r w:rsidRPr="00CA72A2">
              <w:rPr>
                <w:rFonts w:asciiTheme="majorHAnsi" w:hAnsiTheme="majorHAnsi"/>
                <w:sz w:val="24"/>
              </w:rPr>
              <w:t xml:space="preserve">Fusiones y adquisiciones, suscripción y colocación de </w:t>
            </w:r>
            <w:r w:rsidRPr="00CA72A2">
              <w:rPr>
                <w:rFonts w:asciiTheme="majorHAnsi" w:eastAsiaTheme="minorEastAsia" w:hAnsiTheme="majorHAnsi"/>
                <w:noProof/>
                <w:sz w:val="24"/>
                <w:lang w:val="es-CR" w:eastAsia="es-CR"/>
              </w:rPr>
              <w:drawing>
                <wp:anchor distT="0" distB="0" distL="114300" distR="114300" simplePos="0" relativeHeight="251660288" behindDoc="0" locked="0" layoutInCell="1" allowOverlap="1" wp14:anchorId="6D31B9BD" wp14:editId="27AF6FE3">
                  <wp:simplePos x="0" y="0"/>
                  <wp:positionH relativeFrom="column">
                    <wp:posOffset>-142875</wp:posOffset>
                  </wp:positionH>
                  <wp:positionV relativeFrom="paragraph">
                    <wp:posOffset>22393275</wp:posOffset>
                  </wp:positionV>
                  <wp:extent cx="8258175" cy="1495425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8175" cy="14954250"/>
                          </a:xfrm>
                          <a:prstGeom prst="rect">
                            <a:avLst/>
                          </a:prstGeom>
                          <a:noFill/>
                        </pic:spPr>
                      </pic:pic>
                    </a:graphicData>
                  </a:graphic>
                  <wp14:sizeRelH relativeFrom="page">
                    <wp14:pctWidth>0</wp14:pctWidth>
                  </wp14:sizeRelH>
                  <wp14:sizeRelV relativeFrom="page">
                    <wp14:pctHeight>0</wp14:pctHeight>
                  </wp14:sizeRelV>
                </wp:anchor>
              </w:drawing>
            </w:r>
            <w:r w:rsidRPr="00CA72A2">
              <w:rPr>
                <w:rFonts w:asciiTheme="majorHAnsi" w:hAnsiTheme="majorHAnsi"/>
                <w:sz w:val="24"/>
              </w:rPr>
              <w:t>emisiones (capital y deuda), sindicaciones de préstamos, colocaciones de deuda en mercados secundarios.</w:t>
            </w:r>
          </w:p>
        </w:tc>
      </w:tr>
      <w:tr w:rsidR="00350287" w:rsidRPr="00CA72A2" w14:paraId="676CACF7" w14:textId="77777777" w:rsidTr="00E237BE">
        <w:tc>
          <w:tcPr>
            <w:tcW w:w="988" w:type="dxa"/>
            <w:vMerge/>
          </w:tcPr>
          <w:p w14:paraId="370F397B"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5E1CF6C7"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18341AFE" w14:textId="77777777" w:rsidR="00350287" w:rsidRPr="00CA72A2" w:rsidRDefault="00350287" w:rsidP="006168C9">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1.2 Finanzas de administraciones locales y públicas</w:t>
            </w:r>
          </w:p>
        </w:tc>
        <w:tc>
          <w:tcPr>
            <w:tcW w:w="3402" w:type="dxa"/>
          </w:tcPr>
          <w:p w14:paraId="21FC4EED"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Financiamiento al sector público, participación en licitación de emisiones de deuda, administración de fondos públicos, colocación de deuda pública.</w:t>
            </w:r>
          </w:p>
        </w:tc>
      </w:tr>
      <w:tr w:rsidR="00350287" w:rsidRPr="00CA72A2" w14:paraId="611C7BE4" w14:textId="77777777" w:rsidTr="00E237BE">
        <w:tc>
          <w:tcPr>
            <w:tcW w:w="988" w:type="dxa"/>
            <w:vMerge/>
          </w:tcPr>
          <w:p w14:paraId="4F347BE3"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2B818C7B"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23F71C6F" w14:textId="77777777" w:rsidR="00350287" w:rsidRPr="00CA72A2" w:rsidRDefault="00350287" w:rsidP="006168C9">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1.3 Banca de inversión</w:t>
            </w:r>
          </w:p>
        </w:tc>
        <w:tc>
          <w:tcPr>
            <w:tcW w:w="3402" w:type="dxa"/>
          </w:tcPr>
          <w:p w14:paraId="5A0A8851"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Asesoramientos en inversiones (fondos comunes de inversión, obligaciones negociables, acciones, títulos.</w:t>
            </w:r>
          </w:p>
        </w:tc>
      </w:tr>
      <w:tr w:rsidR="00350287" w:rsidRPr="00CA72A2" w14:paraId="1FDE92C8" w14:textId="77777777" w:rsidTr="00E237BE">
        <w:tc>
          <w:tcPr>
            <w:tcW w:w="988" w:type="dxa"/>
            <w:vMerge/>
          </w:tcPr>
          <w:p w14:paraId="1CC9CC52"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04B02E40"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75EAF329" w14:textId="77777777" w:rsidR="00350287" w:rsidRPr="00CA72A2" w:rsidRDefault="00350287" w:rsidP="006168C9">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1.4 Servicios de asesoramiento</w:t>
            </w:r>
          </w:p>
        </w:tc>
        <w:tc>
          <w:tcPr>
            <w:tcW w:w="3402" w:type="dxa"/>
          </w:tcPr>
          <w:p w14:paraId="517F68A6"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Servicio de asesoramiento en productos estructurados de inversión y cobertura de riesgos.</w:t>
            </w:r>
          </w:p>
        </w:tc>
      </w:tr>
      <w:tr w:rsidR="00350287" w:rsidRPr="00CA72A2" w14:paraId="68C1A27C" w14:textId="77777777" w:rsidTr="00E237BE">
        <w:tc>
          <w:tcPr>
            <w:tcW w:w="988" w:type="dxa"/>
            <w:vMerge w:val="restart"/>
          </w:tcPr>
          <w:p w14:paraId="38B1BA67"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sz w:val="24"/>
              </w:rPr>
              <w:t>2</w:t>
            </w:r>
          </w:p>
        </w:tc>
        <w:tc>
          <w:tcPr>
            <w:tcW w:w="1701" w:type="dxa"/>
            <w:vMerge w:val="restart"/>
          </w:tcPr>
          <w:p w14:paraId="1548E0A8"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b/>
                <w:bCs/>
                <w:sz w:val="24"/>
              </w:rPr>
              <w:t>Tesorería</w:t>
            </w:r>
          </w:p>
        </w:tc>
        <w:tc>
          <w:tcPr>
            <w:tcW w:w="2409" w:type="dxa"/>
          </w:tcPr>
          <w:p w14:paraId="27DF3B57" w14:textId="77777777" w:rsidR="00350287" w:rsidRPr="00CA72A2" w:rsidRDefault="00350287" w:rsidP="006168C9">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2.1 Tesorería por cuenta de terceros</w:t>
            </w:r>
          </w:p>
        </w:tc>
        <w:tc>
          <w:tcPr>
            <w:tcW w:w="3402" w:type="dxa"/>
          </w:tcPr>
          <w:p w14:paraId="39F435D3"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 xml:space="preserve">Distribución y venta a clientes, desde las áreas de tesorería y mercado de capitales, de valores de renta fija y variable, forex, préstamo de valores, repos, derivados y otros productos propios del área de tesorería que no implican posición por cuenta propia, siendo el </w:t>
            </w:r>
            <w:r w:rsidRPr="00CA72A2">
              <w:rPr>
                <w:rFonts w:asciiTheme="majorHAnsi" w:hAnsiTheme="majorHAnsi"/>
                <w:sz w:val="24"/>
              </w:rPr>
              <w:lastRenderedPageBreak/>
              <w:t>resultado de las mismas una comisión.</w:t>
            </w:r>
          </w:p>
        </w:tc>
      </w:tr>
      <w:tr w:rsidR="00350287" w:rsidRPr="00CA72A2" w14:paraId="5BEEFA60" w14:textId="77777777" w:rsidTr="00E237BE">
        <w:tc>
          <w:tcPr>
            <w:tcW w:w="988" w:type="dxa"/>
            <w:vMerge/>
          </w:tcPr>
          <w:p w14:paraId="67837025"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38723A5F"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11361CD1" w14:textId="77777777" w:rsidR="00350287" w:rsidRPr="00CA72A2" w:rsidRDefault="00350287" w:rsidP="006168C9">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2.2 Tesorería posiciones propias</w:t>
            </w:r>
          </w:p>
        </w:tc>
        <w:tc>
          <w:tcPr>
            <w:tcW w:w="3402" w:type="dxa"/>
          </w:tcPr>
          <w:p w14:paraId="63FC2A48"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Operaciones que implican posiciones tomadas por cuenta propia en renta fija, en renta variable, forex, derivados y otros productos.</w:t>
            </w:r>
          </w:p>
        </w:tc>
      </w:tr>
      <w:tr w:rsidR="00350287" w:rsidRPr="00CA72A2" w14:paraId="57ADA685" w14:textId="77777777" w:rsidTr="00E237BE">
        <w:tc>
          <w:tcPr>
            <w:tcW w:w="988" w:type="dxa"/>
            <w:vMerge/>
          </w:tcPr>
          <w:p w14:paraId="7A081621"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2345E75A"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4BC928CF" w14:textId="77777777" w:rsidR="00350287" w:rsidRPr="00CA72A2" w:rsidRDefault="00350287" w:rsidP="006168C9">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2.3 Tesorería tradicional</w:t>
            </w:r>
          </w:p>
        </w:tc>
        <w:tc>
          <w:tcPr>
            <w:tcW w:w="3402" w:type="dxa"/>
          </w:tcPr>
          <w:p w14:paraId="7F2F611E"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Actividades cotidianas de fondeo llevadas a cabo por la Tesorería (préstamos interbancarios, operaciones de reporto, etc.), administración de la liquidez y otros.</w:t>
            </w:r>
          </w:p>
        </w:tc>
      </w:tr>
      <w:tr w:rsidR="00350287" w:rsidRPr="00CA72A2" w14:paraId="2697C364" w14:textId="77777777" w:rsidTr="00E237BE">
        <w:tc>
          <w:tcPr>
            <w:tcW w:w="988" w:type="dxa"/>
            <w:vMerge w:val="restart"/>
          </w:tcPr>
          <w:p w14:paraId="3BDA2870"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sz w:val="24"/>
              </w:rPr>
              <w:t>3</w:t>
            </w:r>
          </w:p>
        </w:tc>
        <w:tc>
          <w:tcPr>
            <w:tcW w:w="1701" w:type="dxa"/>
            <w:vMerge w:val="restart"/>
          </w:tcPr>
          <w:p w14:paraId="3B4E2EA6"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b/>
                <w:bCs/>
                <w:sz w:val="24"/>
              </w:rPr>
              <w:t>Banca minorista</w:t>
            </w:r>
          </w:p>
        </w:tc>
        <w:tc>
          <w:tcPr>
            <w:tcW w:w="2409" w:type="dxa"/>
          </w:tcPr>
          <w:p w14:paraId="4160679A" w14:textId="77777777" w:rsidR="00350287" w:rsidRPr="00CA72A2" w:rsidRDefault="00350287" w:rsidP="006168C9">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3.1 Banca de Personas</w:t>
            </w:r>
          </w:p>
        </w:tc>
        <w:tc>
          <w:tcPr>
            <w:tcW w:w="3402" w:type="dxa"/>
          </w:tcPr>
          <w:p w14:paraId="2A735BDC"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Hipotecas, créditos personales, prendarios, adelantos en cuenta corriente, descuento de documentos, leasing, depósitos vista (cuenta corriente y caja de ahorro), depósitos a plazo, fideicomisos y otros servicios bancarios (débitos en cuenta, fondos comunes de inversión, participación en fideicomisos, compra y venta de títulos y acciones, etc.)</w:t>
            </w:r>
          </w:p>
        </w:tc>
      </w:tr>
      <w:tr w:rsidR="00350287" w:rsidRPr="00CA72A2" w14:paraId="0BF9CA36" w14:textId="77777777" w:rsidTr="00E237BE">
        <w:tc>
          <w:tcPr>
            <w:tcW w:w="988" w:type="dxa"/>
            <w:vMerge/>
          </w:tcPr>
          <w:p w14:paraId="272F9D36"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68AED7D6"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169B27ED"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3.2 Banca Privada (personas alto poder adquisitivo)</w:t>
            </w:r>
          </w:p>
        </w:tc>
        <w:tc>
          <w:tcPr>
            <w:tcW w:w="3402" w:type="dxa"/>
          </w:tcPr>
          <w:p w14:paraId="59577A40"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Hipotecas, créditos personales, prendarios, adelantos en cuenta corriente, descuento de documentos, leasing, depósitos vista (cuenta corriente y caja de ahorro), depósitos a plazo, fideicomisos y otros servicios bancarios (débitos en cuenta, fondos comunes de inversión, participación en fideicomisos, compra y venta de títulos y acciones, etc.)</w:t>
            </w:r>
          </w:p>
        </w:tc>
      </w:tr>
      <w:tr w:rsidR="00350287" w:rsidRPr="00CA72A2" w14:paraId="2D6F4969" w14:textId="77777777" w:rsidTr="00E237BE">
        <w:tc>
          <w:tcPr>
            <w:tcW w:w="988" w:type="dxa"/>
            <w:vMerge/>
          </w:tcPr>
          <w:p w14:paraId="08CF2EBF"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0F41008C"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4BBEC650" w14:textId="77777777" w:rsidR="00350287" w:rsidRPr="00CA72A2" w:rsidRDefault="00350287" w:rsidP="00966CA3">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3.3 Banca de Desarrollo Minorista</w:t>
            </w:r>
          </w:p>
        </w:tc>
        <w:tc>
          <w:tcPr>
            <w:tcW w:w="3402" w:type="dxa"/>
          </w:tcPr>
          <w:p w14:paraId="70CAC187"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Productos y servicios a Mipymes (personas físicas).</w:t>
            </w:r>
          </w:p>
        </w:tc>
      </w:tr>
      <w:tr w:rsidR="00350287" w:rsidRPr="00CA72A2" w14:paraId="339CE318" w14:textId="77777777" w:rsidTr="00E237BE">
        <w:tc>
          <w:tcPr>
            <w:tcW w:w="988" w:type="dxa"/>
            <w:vMerge w:val="restart"/>
          </w:tcPr>
          <w:p w14:paraId="2160143E"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sz w:val="24"/>
              </w:rPr>
              <w:t>4</w:t>
            </w:r>
          </w:p>
        </w:tc>
        <w:tc>
          <w:tcPr>
            <w:tcW w:w="1701" w:type="dxa"/>
            <w:vMerge w:val="restart"/>
          </w:tcPr>
          <w:p w14:paraId="7DF552DB"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b/>
                <w:bCs/>
                <w:sz w:val="24"/>
              </w:rPr>
              <w:t>Banca comercial</w:t>
            </w:r>
          </w:p>
        </w:tc>
        <w:tc>
          <w:tcPr>
            <w:tcW w:w="2409" w:type="dxa"/>
          </w:tcPr>
          <w:p w14:paraId="47788E93" w14:textId="77777777" w:rsidR="00350287" w:rsidRPr="00CA72A2" w:rsidRDefault="00350287" w:rsidP="00966CA3">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4.1 Banca Corporativa</w:t>
            </w:r>
          </w:p>
        </w:tc>
        <w:tc>
          <w:tcPr>
            <w:tcW w:w="3402" w:type="dxa"/>
          </w:tcPr>
          <w:p w14:paraId="77027058"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Crédito directo, líneas de crédito, garantías de participación y cumplimiento, cartas de crédito, financiación de importaciones y exportaciones, descuento de documentos, factoreo, certificados de inversión, cuentas corrientes y de ahorro y otros servicios bancarios, fianzas, avales y otras garantías.</w:t>
            </w:r>
          </w:p>
        </w:tc>
      </w:tr>
      <w:tr w:rsidR="00350287" w:rsidRPr="00CA72A2" w14:paraId="78F5ADD3" w14:textId="77777777" w:rsidTr="00E237BE">
        <w:tc>
          <w:tcPr>
            <w:tcW w:w="988" w:type="dxa"/>
            <w:vMerge/>
          </w:tcPr>
          <w:p w14:paraId="24C0E4C4"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1714ECE7"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18D10827" w14:textId="77777777" w:rsidR="00350287" w:rsidRPr="00CA72A2" w:rsidRDefault="00350287" w:rsidP="00966CA3">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4.2 Banca Empresarial</w:t>
            </w:r>
          </w:p>
        </w:tc>
        <w:tc>
          <w:tcPr>
            <w:tcW w:w="3402" w:type="dxa"/>
          </w:tcPr>
          <w:p w14:paraId="2632766B"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Crédito directo, líneas de crédito, garantías de participación y cumplimiento, cartas de crédito, financiación de importaciones y exportaciones, descuento de documentos, factoreo, certificados de inversión, cuentas corrientes y de ahorro y otros servicios bancarios, fianzas, avales y otras garantías.</w:t>
            </w:r>
          </w:p>
        </w:tc>
      </w:tr>
      <w:tr w:rsidR="00350287" w:rsidRPr="00CA72A2" w14:paraId="4607C97B" w14:textId="77777777" w:rsidTr="00E237BE">
        <w:tc>
          <w:tcPr>
            <w:tcW w:w="988" w:type="dxa"/>
            <w:vMerge/>
          </w:tcPr>
          <w:p w14:paraId="041A7862"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0688FD7B"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5070FBCC" w14:textId="77777777" w:rsidR="00350287" w:rsidRPr="00CA72A2" w:rsidRDefault="00350287" w:rsidP="00966CA3">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4.3 Banca de Desarrollo Comercial</w:t>
            </w:r>
          </w:p>
        </w:tc>
        <w:tc>
          <w:tcPr>
            <w:tcW w:w="3402" w:type="dxa"/>
          </w:tcPr>
          <w:p w14:paraId="1978B015"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Productos y servicios a Mipymes (personas jurídicas)</w:t>
            </w:r>
          </w:p>
        </w:tc>
      </w:tr>
      <w:tr w:rsidR="00350287" w:rsidRPr="00CA72A2" w14:paraId="5F9A4588" w14:textId="77777777" w:rsidTr="00E237BE">
        <w:tc>
          <w:tcPr>
            <w:tcW w:w="988" w:type="dxa"/>
            <w:vMerge/>
          </w:tcPr>
          <w:p w14:paraId="33C941D6"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4AEF7387" w14:textId="77777777" w:rsidR="00350287" w:rsidRPr="00CA72A2" w:rsidRDefault="00350287" w:rsidP="0024063E">
            <w:pPr>
              <w:spacing w:line="240" w:lineRule="auto"/>
              <w:ind w:left="33"/>
              <w:rPr>
                <w:rFonts w:asciiTheme="majorHAnsi" w:hAnsiTheme="majorHAnsi"/>
                <w:b/>
                <w:bCs/>
                <w:sz w:val="24"/>
              </w:rPr>
            </w:pPr>
          </w:p>
        </w:tc>
        <w:tc>
          <w:tcPr>
            <w:tcW w:w="2409" w:type="dxa"/>
          </w:tcPr>
          <w:p w14:paraId="5F2FD224" w14:textId="77777777" w:rsidR="00350287" w:rsidRPr="00CA72A2" w:rsidRDefault="00350287" w:rsidP="00966CA3">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4.4 Banca de Segundo Piso</w:t>
            </w:r>
          </w:p>
        </w:tc>
        <w:tc>
          <w:tcPr>
            <w:tcW w:w="3402" w:type="dxa"/>
          </w:tcPr>
          <w:p w14:paraId="489D8F96"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Financiamiento a entidades</w:t>
            </w:r>
          </w:p>
        </w:tc>
      </w:tr>
      <w:tr w:rsidR="00350287" w:rsidRPr="00CA72A2" w14:paraId="72C224F0" w14:textId="77777777" w:rsidTr="00E237BE">
        <w:tc>
          <w:tcPr>
            <w:tcW w:w="988" w:type="dxa"/>
            <w:vMerge w:val="restart"/>
          </w:tcPr>
          <w:p w14:paraId="3C6A5CA8"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sz w:val="24"/>
              </w:rPr>
              <w:t>5</w:t>
            </w:r>
          </w:p>
        </w:tc>
        <w:tc>
          <w:tcPr>
            <w:tcW w:w="1701" w:type="dxa"/>
            <w:vMerge w:val="restart"/>
          </w:tcPr>
          <w:p w14:paraId="5771623C"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b/>
                <w:bCs/>
                <w:sz w:val="24"/>
              </w:rPr>
              <w:t>Tarjetas</w:t>
            </w:r>
          </w:p>
        </w:tc>
        <w:tc>
          <w:tcPr>
            <w:tcW w:w="2409" w:type="dxa"/>
          </w:tcPr>
          <w:p w14:paraId="33D28365" w14:textId="77777777" w:rsidR="00350287" w:rsidRPr="00CA72A2" w:rsidRDefault="00350287" w:rsidP="00966CA3">
            <w:pPr>
              <w:autoSpaceDE w:val="0"/>
              <w:autoSpaceDN w:val="0"/>
              <w:adjustRightInd w:val="0"/>
              <w:spacing w:line="240" w:lineRule="auto"/>
              <w:ind w:left="33"/>
              <w:jc w:val="left"/>
              <w:rPr>
                <w:rFonts w:asciiTheme="majorHAnsi" w:hAnsiTheme="majorHAnsi"/>
                <w:sz w:val="24"/>
              </w:rPr>
            </w:pPr>
            <w:r w:rsidRPr="00CA72A2">
              <w:rPr>
                <w:rFonts w:asciiTheme="majorHAnsi" w:hAnsiTheme="majorHAnsi"/>
                <w:sz w:val="24"/>
              </w:rPr>
              <w:t xml:space="preserve">5.1 Tarjetas de crédito y </w:t>
            </w:r>
            <w:r w:rsidRPr="00CA72A2">
              <w:rPr>
                <w:rFonts w:asciiTheme="majorHAnsi" w:eastAsiaTheme="minorEastAsia" w:hAnsiTheme="majorHAnsi"/>
                <w:noProof/>
                <w:sz w:val="24"/>
                <w:lang w:val="es-CR" w:eastAsia="es-CR"/>
              </w:rPr>
              <w:drawing>
                <wp:anchor distT="0" distB="0" distL="114300" distR="114300" simplePos="0" relativeHeight="251661312" behindDoc="0" locked="0" layoutInCell="1" allowOverlap="1" wp14:anchorId="1064246B" wp14:editId="6CD5E540">
                  <wp:simplePos x="0" y="0"/>
                  <wp:positionH relativeFrom="column">
                    <wp:posOffset>-142875</wp:posOffset>
                  </wp:positionH>
                  <wp:positionV relativeFrom="paragraph">
                    <wp:posOffset>22393275</wp:posOffset>
                  </wp:positionV>
                  <wp:extent cx="8258175" cy="1495425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8175" cy="14954250"/>
                          </a:xfrm>
                          <a:prstGeom prst="rect">
                            <a:avLst/>
                          </a:prstGeom>
                          <a:noFill/>
                        </pic:spPr>
                      </pic:pic>
                    </a:graphicData>
                  </a:graphic>
                  <wp14:sizeRelH relativeFrom="page">
                    <wp14:pctWidth>0</wp14:pctWidth>
                  </wp14:sizeRelH>
                  <wp14:sizeRelV relativeFrom="page">
                    <wp14:pctHeight>0</wp14:pctHeight>
                  </wp14:sizeRelV>
                </wp:anchor>
              </w:drawing>
            </w:r>
            <w:r w:rsidRPr="00CA72A2">
              <w:rPr>
                <w:rFonts w:asciiTheme="majorHAnsi" w:hAnsiTheme="majorHAnsi"/>
                <w:sz w:val="24"/>
              </w:rPr>
              <w:t>débito (marcas propias o administradas)</w:t>
            </w:r>
          </w:p>
        </w:tc>
        <w:tc>
          <w:tcPr>
            <w:tcW w:w="3402" w:type="dxa"/>
          </w:tcPr>
          <w:p w14:paraId="2E078D3D"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Actividades y servicios relacionados con tarjetas de crédito o débito, comerciales, corporativas, prepagadas y otras, independientemente del tipo de cliente usuario.</w:t>
            </w:r>
          </w:p>
        </w:tc>
      </w:tr>
      <w:tr w:rsidR="00350287" w:rsidRPr="00CA72A2" w14:paraId="789433C1" w14:textId="77777777" w:rsidTr="00E237BE">
        <w:tc>
          <w:tcPr>
            <w:tcW w:w="988" w:type="dxa"/>
            <w:vMerge/>
          </w:tcPr>
          <w:p w14:paraId="1D100BD8"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0BA30C4D" w14:textId="77777777" w:rsidR="00350287" w:rsidRPr="00CA72A2" w:rsidRDefault="00350287" w:rsidP="0024063E">
            <w:pPr>
              <w:spacing w:line="240" w:lineRule="auto"/>
              <w:ind w:left="33"/>
              <w:jc w:val="center"/>
              <w:rPr>
                <w:rFonts w:asciiTheme="majorHAnsi" w:hAnsiTheme="majorHAnsi"/>
                <w:b/>
                <w:bCs/>
                <w:sz w:val="24"/>
              </w:rPr>
            </w:pPr>
          </w:p>
        </w:tc>
        <w:tc>
          <w:tcPr>
            <w:tcW w:w="2409" w:type="dxa"/>
          </w:tcPr>
          <w:p w14:paraId="091BAD9C"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5.2 Administración y adhesión de comercios</w:t>
            </w:r>
          </w:p>
        </w:tc>
        <w:tc>
          <w:tcPr>
            <w:tcW w:w="3402" w:type="dxa"/>
          </w:tcPr>
          <w:p w14:paraId="05DFDFAA"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Actividades y servicios relacionados con administración y adhesión de comercios donde se pueden utilizar las tarjetas.</w:t>
            </w:r>
          </w:p>
        </w:tc>
      </w:tr>
      <w:tr w:rsidR="00350287" w:rsidRPr="00CA72A2" w14:paraId="24D3455C" w14:textId="77777777" w:rsidTr="00E237BE">
        <w:tc>
          <w:tcPr>
            <w:tcW w:w="988" w:type="dxa"/>
          </w:tcPr>
          <w:p w14:paraId="68925963"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sz w:val="24"/>
              </w:rPr>
              <w:lastRenderedPageBreak/>
              <w:t>6</w:t>
            </w:r>
          </w:p>
        </w:tc>
        <w:tc>
          <w:tcPr>
            <w:tcW w:w="1701" w:type="dxa"/>
          </w:tcPr>
          <w:p w14:paraId="517C28EB" w14:textId="77777777" w:rsidR="00350287" w:rsidRPr="00CA72A2" w:rsidRDefault="00350287" w:rsidP="0024063E">
            <w:pPr>
              <w:autoSpaceDE w:val="0"/>
              <w:autoSpaceDN w:val="0"/>
              <w:adjustRightInd w:val="0"/>
              <w:spacing w:line="240" w:lineRule="auto"/>
              <w:ind w:left="33"/>
              <w:jc w:val="center"/>
              <w:rPr>
                <w:rFonts w:asciiTheme="majorHAnsi" w:hAnsiTheme="majorHAnsi"/>
                <w:sz w:val="24"/>
              </w:rPr>
            </w:pPr>
            <w:r w:rsidRPr="00CA72A2">
              <w:rPr>
                <w:rFonts w:asciiTheme="majorHAnsi" w:hAnsiTheme="majorHAnsi"/>
                <w:b/>
                <w:bCs/>
                <w:sz w:val="24"/>
              </w:rPr>
              <w:t>Cobros, Pagos y liquidación</w:t>
            </w:r>
          </w:p>
        </w:tc>
        <w:tc>
          <w:tcPr>
            <w:tcW w:w="2409" w:type="dxa"/>
          </w:tcPr>
          <w:p w14:paraId="233AA62D" w14:textId="77777777" w:rsidR="00350287" w:rsidRPr="00CA72A2" w:rsidRDefault="00350287" w:rsidP="0024063E">
            <w:pPr>
              <w:spacing w:line="240" w:lineRule="auto"/>
              <w:ind w:left="33"/>
              <w:rPr>
                <w:rFonts w:asciiTheme="majorHAnsi" w:hAnsiTheme="majorHAnsi"/>
                <w:sz w:val="24"/>
              </w:rPr>
            </w:pPr>
            <w:r w:rsidRPr="00CA72A2">
              <w:rPr>
                <w:rFonts w:asciiTheme="majorHAnsi" w:hAnsiTheme="majorHAnsi"/>
                <w:sz w:val="24"/>
              </w:rPr>
              <w:t>6.1 Cobros, Pagos y liquidación</w:t>
            </w:r>
          </w:p>
        </w:tc>
        <w:tc>
          <w:tcPr>
            <w:tcW w:w="3402" w:type="dxa"/>
          </w:tcPr>
          <w:p w14:paraId="1C05C7EB" w14:textId="77777777" w:rsidR="00350287" w:rsidRPr="00CA72A2" w:rsidRDefault="00350287" w:rsidP="0024063E">
            <w:pPr>
              <w:spacing w:line="240" w:lineRule="auto"/>
              <w:ind w:left="33"/>
              <w:rPr>
                <w:rFonts w:asciiTheme="majorHAnsi" w:hAnsiTheme="majorHAnsi"/>
                <w:sz w:val="24"/>
              </w:rPr>
            </w:pPr>
            <w:r w:rsidRPr="00CA72A2">
              <w:rPr>
                <w:rFonts w:asciiTheme="majorHAnsi" w:hAnsiTheme="majorHAnsi"/>
                <w:sz w:val="24"/>
              </w:rPr>
              <w:t>Servicios de cobranza (recaudaciones en general). Servicios de pagos (a proveedores, compañías de seguro, etc.). Transferencias y compensaciones electrónicas, Pago de planillas, Servicio de remesas y otros.</w:t>
            </w:r>
          </w:p>
        </w:tc>
      </w:tr>
      <w:tr w:rsidR="00350287" w:rsidRPr="00CA72A2" w14:paraId="4D9E4488" w14:textId="77777777" w:rsidTr="00E237BE">
        <w:tc>
          <w:tcPr>
            <w:tcW w:w="988" w:type="dxa"/>
            <w:vMerge w:val="restart"/>
          </w:tcPr>
          <w:p w14:paraId="58189CBB"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sz w:val="24"/>
              </w:rPr>
              <w:t>7</w:t>
            </w:r>
          </w:p>
        </w:tc>
        <w:tc>
          <w:tcPr>
            <w:tcW w:w="1701" w:type="dxa"/>
            <w:vMerge w:val="restart"/>
          </w:tcPr>
          <w:p w14:paraId="4341A89F"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b/>
                <w:bCs/>
                <w:sz w:val="24"/>
              </w:rPr>
              <w:t>Administración de Activos</w:t>
            </w:r>
          </w:p>
        </w:tc>
        <w:tc>
          <w:tcPr>
            <w:tcW w:w="2409" w:type="dxa"/>
          </w:tcPr>
          <w:p w14:paraId="48EEAAD0"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7.1 Administración de Fondos de Cesantía</w:t>
            </w:r>
          </w:p>
        </w:tc>
        <w:tc>
          <w:tcPr>
            <w:tcW w:w="3402" w:type="dxa"/>
          </w:tcPr>
          <w:p w14:paraId="071BB93E"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Administración de Fondos de Cesantía por parte de Cooperativas.</w:t>
            </w:r>
          </w:p>
        </w:tc>
      </w:tr>
      <w:tr w:rsidR="00350287" w:rsidRPr="00CA72A2" w14:paraId="3DC413EE" w14:textId="77777777" w:rsidTr="00E237BE">
        <w:tc>
          <w:tcPr>
            <w:tcW w:w="988" w:type="dxa"/>
            <w:vMerge/>
          </w:tcPr>
          <w:p w14:paraId="4BB7FA69"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6C0E6249" w14:textId="77777777" w:rsidR="00350287" w:rsidRPr="00CA72A2" w:rsidRDefault="00350287" w:rsidP="0024063E">
            <w:pPr>
              <w:spacing w:line="240" w:lineRule="auto"/>
              <w:ind w:left="33"/>
              <w:jc w:val="center"/>
              <w:rPr>
                <w:rFonts w:asciiTheme="majorHAnsi" w:hAnsiTheme="majorHAnsi"/>
                <w:b/>
                <w:bCs/>
                <w:sz w:val="24"/>
              </w:rPr>
            </w:pPr>
          </w:p>
        </w:tc>
        <w:tc>
          <w:tcPr>
            <w:tcW w:w="2409" w:type="dxa"/>
          </w:tcPr>
          <w:p w14:paraId="7EDD8A0B"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7.2 Administración del peaje bancario y otros</w:t>
            </w:r>
          </w:p>
        </w:tc>
        <w:tc>
          <w:tcPr>
            <w:tcW w:w="3402" w:type="dxa"/>
          </w:tcPr>
          <w:p w14:paraId="1405CE32"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Administración del peaje bancario (Artículo 59 de la Ley Orgánica del Sistema Bancario Nacional) y otros.</w:t>
            </w:r>
          </w:p>
        </w:tc>
      </w:tr>
      <w:tr w:rsidR="00350287" w:rsidRPr="00CA72A2" w14:paraId="386E547D" w14:textId="77777777" w:rsidTr="00E237BE">
        <w:tc>
          <w:tcPr>
            <w:tcW w:w="988" w:type="dxa"/>
            <w:vMerge/>
          </w:tcPr>
          <w:p w14:paraId="263D5B0B"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1ADA76B6" w14:textId="77777777" w:rsidR="00350287" w:rsidRPr="00CA72A2" w:rsidRDefault="00350287" w:rsidP="0024063E">
            <w:pPr>
              <w:spacing w:line="240" w:lineRule="auto"/>
              <w:ind w:left="33"/>
              <w:jc w:val="center"/>
              <w:rPr>
                <w:rFonts w:asciiTheme="majorHAnsi" w:hAnsiTheme="majorHAnsi"/>
                <w:b/>
                <w:bCs/>
                <w:sz w:val="24"/>
              </w:rPr>
            </w:pPr>
          </w:p>
        </w:tc>
        <w:tc>
          <w:tcPr>
            <w:tcW w:w="2409" w:type="dxa"/>
          </w:tcPr>
          <w:p w14:paraId="4A08E30F"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7.3 Administración de fideicomisos</w:t>
            </w:r>
          </w:p>
        </w:tc>
        <w:tc>
          <w:tcPr>
            <w:tcW w:w="3402" w:type="dxa"/>
          </w:tcPr>
          <w:p w14:paraId="51FB801A"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Servicios por cobranza de las cuotas de los préstamos de la cartera del fideicomiso y pago de los servicios de los títulos de deuda y certificados de participación.</w:t>
            </w:r>
          </w:p>
        </w:tc>
      </w:tr>
      <w:tr w:rsidR="00350287" w:rsidRPr="00CA72A2" w14:paraId="27901E1C" w14:textId="77777777" w:rsidTr="00E237BE">
        <w:tc>
          <w:tcPr>
            <w:tcW w:w="988" w:type="dxa"/>
            <w:vMerge/>
          </w:tcPr>
          <w:p w14:paraId="7BAC2097"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156B3140" w14:textId="77777777" w:rsidR="00350287" w:rsidRPr="00CA72A2" w:rsidRDefault="00350287" w:rsidP="0024063E">
            <w:pPr>
              <w:spacing w:line="240" w:lineRule="auto"/>
              <w:ind w:left="33"/>
              <w:jc w:val="center"/>
              <w:rPr>
                <w:rFonts w:asciiTheme="majorHAnsi" w:hAnsiTheme="majorHAnsi"/>
                <w:b/>
                <w:bCs/>
                <w:sz w:val="24"/>
              </w:rPr>
            </w:pPr>
          </w:p>
        </w:tc>
        <w:tc>
          <w:tcPr>
            <w:tcW w:w="2409" w:type="dxa"/>
          </w:tcPr>
          <w:p w14:paraId="4C4D2969"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7.4 Administración de fondos de pensión</w:t>
            </w:r>
          </w:p>
        </w:tc>
        <w:tc>
          <w:tcPr>
            <w:tcW w:w="3402" w:type="dxa"/>
          </w:tcPr>
          <w:p w14:paraId="473A6DB9"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Servicios de inversión de los fondos administrados.</w:t>
            </w:r>
          </w:p>
        </w:tc>
      </w:tr>
      <w:tr w:rsidR="00350287" w:rsidRPr="00CA72A2" w14:paraId="4008EF84" w14:textId="77777777" w:rsidTr="00E237BE">
        <w:tc>
          <w:tcPr>
            <w:tcW w:w="988" w:type="dxa"/>
            <w:vMerge w:val="restart"/>
          </w:tcPr>
          <w:p w14:paraId="5EDFF216"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sz w:val="24"/>
              </w:rPr>
              <w:t>8</w:t>
            </w:r>
          </w:p>
        </w:tc>
        <w:tc>
          <w:tcPr>
            <w:tcW w:w="1701" w:type="dxa"/>
            <w:vMerge w:val="restart"/>
          </w:tcPr>
          <w:p w14:paraId="50570EA2" w14:textId="77777777" w:rsidR="00350287" w:rsidRPr="00CA72A2" w:rsidRDefault="00350287" w:rsidP="0024063E">
            <w:pPr>
              <w:spacing w:line="240" w:lineRule="auto"/>
              <w:ind w:left="33"/>
              <w:jc w:val="center"/>
              <w:rPr>
                <w:rFonts w:asciiTheme="majorHAnsi" w:hAnsiTheme="majorHAnsi"/>
                <w:b/>
                <w:bCs/>
                <w:sz w:val="24"/>
              </w:rPr>
            </w:pPr>
            <w:r w:rsidRPr="00CA72A2">
              <w:rPr>
                <w:rFonts w:asciiTheme="majorHAnsi" w:hAnsiTheme="majorHAnsi"/>
                <w:b/>
                <w:bCs/>
                <w:sz w:val="24"/>
              </w:rPr>
              <w:t>Otros servicios</w:t>
            </w:r>
          </w:p>
        </w:tc>
        <w:tc>
          <w:tcPr>
            <w:tcW w:w="2409" w:type="dxa"/>
          </w:tcPr>
          <w:p w14:paraId="36D9321F"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8.1 Custodia</w:t>
            </w:r>
          </w:p>
        </w:tc>
        <w:tc>
          <w:tcPr>
            <w:tcW w:w="3402" w:type="dxa"/>
          </w:tcPr>
          <w:p w14:paraId="45649DDD"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 xml:space="preserve">Servicios de custodia (efectivo, títulos y acciones, monedas, documentos, etc.). Servicios de custodia en caja de valores. Servicios de caja de seguridad. Servicios </w:t>
            </w:r>
            <w:r w:rsidRPr="00CA72A2">
              <w:rPr>
                <w:rFonts w:asciiTheme="majorHAnsi" w:hAnsiTheme="majorHAnsi"/>
                <w:sz w:val="24"/>
              </w:rPr>
              <w:lastRenderedPageBreak/>
              <w:t>pignoración y consignación. Servicios de Custodia Auxiliares de Numeración (CAN).</w:t>
            </w:r>
          </w:p>
        </w:tc>
      </w:tr>
      <w:tr w:rsidR="00350287" w:rsidRPr="00CA72A2" w14:paraId="3068F47D" w14:textId="77777777" w:rsidTr="00E237BE">
        <w:tc>
          <w:tcPr>
            <w:tcW w:w="988" w:type="dxa"/>
            <w:vMerge/>
          </w:tcPr>
          <w:p w14:paraId="31D978B1"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7EF7DAB1" w14:textId="77777777" w:rsidR="00350287" w:rsidRPr="00CA72A2" w:rsidRDefault="00350287" w:rsidP="0024063E">
            <w:pPr>
              <w:spacing w:line="240" w:lineRule="auto"/>
              <w:ind w:left="33"/>
              <w:jc w:val="center"/>
              <w:rPr>
                <w:rFonts w:asciiTheme="majorHAnsi" w:hAnsiTheme="majorHAnsi"/>
                <w:b/>
                <w:bCs/>
                <w:sz w:val="24"/>
              </w:rPr>
            </w:pPr>
          </w:p>
        </w:tc>
        <w:tc>
          <w:tcPr>
            <w:tcW w:w="2409" w:type="dxa"/>
          </w:tcPr>
          <w:p w14:paraId="058DA194" w14:textId="77777777" w:rsidR="00350287" w:rsidRPr="00CA72A2" w:rsidRDefault="00350287" w:rsidP="0024063E">
            <w:pPr>
              <w:spacing w:line="240" w:lineRule="auto"/>
              <w:ind w:left="33"/>
              <w:rPr>
                <w:rFonts w:asciiTheme="majorHAnsi" w:hAnsiTheme="majorHAnsi"/>
                <w:sz w:val="24"/>
              </w:rPr>
            </w:pPr>
            <w:r w:rsidRPr="00CA72A2">
              <w:rPr>
                <w:rFonts w:asciiTheme="majorHAnsi" w:hAnsiTheme="majorHAnsi"/>
                <w:sz w:val="24"/>
              </w:rPr>
              <w:t>8.2 Comercialización de Seguros autoexpedibles</w:t>
            </w:r>
          </w:p>
        </w:tc>
        <w:tc>
          <w:tcPr>
            <w:tcW w:w="3402" w:type="dxa"/>
          </w:tcPr>
          <w:p w14:paraId="257C6630"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Comercialización de seguros autoexpedibles (venta de seguros individuos, hogar, automotor, entre otros),</w:t>
            </w:r>
          </w:p>
        </w:tc>
      </w:tr>
      <w:tr w:rsidR="00350287" w:rsidRPr="00CA72A2" w14:paraId="4CCB7FFC" w14:textId="77777777" w:rsidTr="00E237BE">
        <w:tc>
          <w:tcPr>
            <w:tcW w:w="988" w:type="dxa"/>
            <w:vMerge/>
          </w:tcPr>
          <w:p w14:paraId="457829F7" w14:textId="77777777" w:rsidR="00350287" w:rsidRPr="00CA72A2" w:rsidRDefault="00350287" w:rsidP="0024063E">
            <w:pPr>
              <w:spacing w:line="240" w:lineRule="auto"/>
              <w:ind w:left="33"/>
              <w:jc w:val="center"/>
              <w:rPr>
                <w:rFonts w:asciiTheme="majorHAnsi" w:hAnsiTheme="majorHAnsi"/>
                <w:sz w:val="24"/>
              </w:rPr>
            </w:pPr>
          </w:p>
        </w:tc>
        <w:tc>
          <w:tcPr>
            <w:tcW w:w="1701" w:type="dxa"/>
            <w:vMerge/>
          </w:tcPr>
          <w:p w14:paraId="2DEEB84E" w14:textId="77777777" w:rsidR="00350287" w:rsidRPr="00CA72A2" w:rsidRDefault="00350287" w:rsidP="0024063E">
            <w:pPr>
              <w:spacing w:line="240" w:lineRule="auto"/>
              <w:ind w:left="33"/>
              <w:jc w:val="center"/>
              <w:rPr>
                <w:rFonts w:asciiTheme="majorHAnsi" w:hAnsiTheme="majorHAnsi"/>
                <w:b/>
                <w:bCs/>
                <w:sz w:val="24"/>
              </w:rPr>
            </w:pPr>
          </w:p>
        </w:tc>
        <w:tc>
          <w:tcPr>
            <w:tcW w:w="2409" w:type="dxa"/>
          </w:tcPr>
          <w:p w14:paraId="3A215E6E" w14:textId="77777777" w:rsidR="00350287" w:rsidRPr="00CA72A2" w:rsidRDefault="00350287" w:rsidP="0024063E">
            <w:pPr>
              <w:spacing w:line="240" w:lineRule="auto"/>
              <w:ind w:left="33"/>
              <w:rPr>
                <w:rFonts w:asciiTheme="majorHAnsi" w:hAnsiTheme="majorHAnsi"/>
                <w:sz w:val="24"/>
              </w:rPr>
            </w:pPr>
            <w:r w:rsidRPr="00CA72A2">
              <w:rPr>
                <w:rFonts w:asciiTheme="majorHAnsi" w:hAnsiTheme="majorHAnsi"/>
                <w:sz w:val="24"/>
              </w:rPr>
              <w:t>8.3 Tecnología de información y comunicación</w:t>
            </w:r>
          </w:p>
          <w:p w14:paraId="2D30707D" w14:textId="77777777" w:rsidR="00350287" w:rsidRPr="00CA72A2" w:rsidRDefault="00350287" w:rsidP="0024063E">
            <w:pPr>
              <w:spacing w:line="240" w:lineRule="auto"/>
              <w:ind w:left="33"/>
              <w:rPr>
                <w:rFonts w:asciiTheme="majorHAnsi" w:hAnsiTheme="majorHAnsi"/>
                <w:sz w:val="24"/>
              </w:rPr>
            </w:pPr>
            <w:r w:rsidRPr="00CA72A2">
              <w:rPr>
                <w:rFonts w:asciiTheme="majorHAnsi" w:hAnsiTheme="majorHAnsi"/>
                <w:sz w:val="24"/>
              </w:rPr>
              <w:t>8.4 Cambios y transformaciones organizacionales</w:t>
            </w:r>
          </w:p>
          <w:p w14:paraId="36582CAC" w14:textId="77777777" w:rsidR="00350287" w:rsidRPr="00CA72A2" w:rsidRDefault="00350287" w:rsidP="0024063E">
            <w:pPr>
              <w:spacing w:line="240" w:lineRule="auto"/>
              <w:ind w:left="33"/>
              <w:rPr>
                <w:rFonts w:asciiTheme="majorHAnsi" w:hAnsiTheme="majorHAnsi"/>
                <w:sz w:val="24"/>
              </w:rPr>
            </w:pPr>
            <w:r w:rsidRPr="00CA72A2">
              <w:rPr>
                <w:rFonts w:asciiTheme="majorHAnsi" w:hAnsiTheme="majorHAnsi"/>
                <w:sz w:val="24"/>
              </w:rPr>
              <w:t>8.5 Otros procesos transversales a la organización</w:t>
            </w:r>
          </w:p>
        </w:tc>
        <w:tc>
          <w:tcPr>
            <w:tcW w:w="3402" w:type="dxa"/>
          </w:tcPr>
          <w:p w14:paraId="6FB6A457" w14:textId="77777777" w:rsidR="00350287" w:rsidRPr="00CA72A2" w:rsidRDefault="00350287" w:rsidP="0024063E">
            <w:pPr>
              <w:autoSpaceDE w:val="0"/>
              <w:autoSpaceDN w:val="0"/>
              <w:adjustRightInd w:val="0"/>
              <w:spacing w:line="240" w:lineRule="auto"/>
              <w:ind w:left="33"/>
              <w:rPr>
                <w:rFonts w:asciiTheme="majorHAnsi" w:hAnsiTheme="majorHAnsi"/>
                <w:sz w:val="24"/>
              </w:rPr>
            </w:pPr>
          </w:p>
        </w:tc>
      </w:tr>
    </w:tbl>
    <w:p w14:paraId="35F9D36B" w14:textId="66693E53" w:rsidR="00350287" w:rsidRPr="00CA72A2" w:rsidRDefault="00350287" w:rsidP="00350287">
      <w:pPr>
        <w:spacing w:line="240" w:lineRule="auto"/>
        <w:rPr>
          <w:rFonts w:asciiTheme="majorHAnsi" w:hAnsiTheme="majorHAnsi"/>
          <w:sz w:val="24"/>
        </w:rPr>
      </w:pPr>
    </w:p>
    <w:p w14:paraId="4C3086CA" w14:textId="77777777" w:rsidR="00350287" w:rsidRPr="00CA72A2" w:rsidRDefault="00350287" w:rsidP="00350287">
      <w:pPr>
        <w:widowControl w:val="0"/>
        <w:tabs>
          <w:tab w:val="left" w:pos="142"/>
        </w:tabs>
        <w:spacing w:line="240" w:lineRule="auto"/>
        <w:ind w:left="33"/>
        <w:rPr>
          <w:rFonts w:asciiTheme="majorHAnsi" w:hAnsiTheme="majorHAnsi"/>
          <w:sz w:val="24"/>
        </w:rPr>
      </w:pPr>
      <w:r w:rsidRPr="00CA72A2">
        <w:rPr>
          <w:rFonts w:asciiTheme="majorHAnsi" w:hAnsiTheme="majorHAnsi"/>
          <w:sz w:val="24"/>
        </w:rPr>
        <w:t>De seguido se presentan orientaciones generales para la asignación de las líneas de negocio:</w:t>
      </w:r>
    </w:p>
    <w:p w14:paraId="7CAFC1D4" w14:textId="77777777" w:rsidR="00350287" w:rsidRPr="00CA72A2" w:rsidRDefault="00350287" w:rsidP="00350287">
      <w:pPr>
        <w:widowControl w:val="0"/>
        <w:tabs>
          <w:tab w:val="left" w:pos="142"/>
        </w:tabs>
        <w:spacing w:line="240" w:lineRule="auto"/>
        <w:ind w:left="33"/>
        <w:rPr>
          <w:rFonts w:asciiTheme="majorHAnsi" w:hAnsiTheme="majorHAnsi"/>
          <w:sz w:val="24"/>
        </w:rPr>
      </w:pPr>
    </w:p>
    <w:p w14:paraId="7DABE908" w14:textId="77777777" w:rsidR="00350287" w:rsidRPr="00CA72A2" w:rsidRDefault="00350287" w:rsidP="00350287">
      <w:pPr>
        <w:pStyle w:val="Prrafodelista"/>
        <w:widowControl w:val="0"/>
        <w:numPr>
          <w:ilvl w:val="0"/>
          <w:numId w:val="16"/>
        </w:numPr>
        <w:spacing w:after="0" w:line="240" w:lineRule="auto"/>
        <w:ind w:left="567" w:hanging="567"/>
        <w:jc w:val="both"/>
        <w:rPr>
          <w:rFonts w:asciiTheme="majorHAnsi" w:hAnsiTheme="majorHAnsi"/>
          <w:sz w:val="24"/>
          <w:szCs w:val="24"/>
        </w:rPr>
      </w:pPr>
      <w:r w:rsidRPr="00CA72A2">
        <w:rPr>
          <w:rFonts w:asciiTheme="majorHAnsi" w:hAnsiTheme="majorHAnsi"/>
          <w:sz w:val="24"/>
          <w:szCs w:val="24"/>
        </w:rPr>
        <w:t xml:space="preserve">La entidad, cuando sea pertinente, puede desagregar sus líneas de negocio a subcategorías de actividades que desarrolla y que sean particulares a su giro de negocio o naturaleza, dicha desagregación constituye el nivel 3 y debe mantener la secuencia numérica dispuesta. Por ejemplo, para la línea 5 “Tarjetas” es posible que exista  la necesidad de identificar los eventos de riesgo por separado, según los tipos de tarjeta, en tal caso, el ajuste consiste en abrir un tercer nivel como se ilustra: </w:t>
      </w:r>
    </w:p>
    <w:p w14:paraId="4717E466" w14:textId="77777777" w:rsidR="00350287" w:rsidRPr="00CA72A2" w:rsidRDefault="00350287" w:rsidP="00350287">
      <w:pPr>
        <w:pStyle w:val="Prrafodelista"/>
        <w:widowControl w:val="0"/>
        <w:spacing w:after="0" w:line="240" w:lineRule="auto"/>
        <w:ind w:left="33"/>
        <w:jc w:val="both"/>
        <w:rPr>
          <w:rFonts w:asciiTheme="majorHAnsi" w:hAnsiTheme="majorHAnsi"/>
          <w:sz w:val="24"/>
          <w:szCs w:val="24"/>
        </w:rPr>
      </w:pPr>
    </w:p>
    <w:tbl>
      <w:tblPr>
        <w:tblStyle w:val="Cuadrculadetablaclara"/>
        <w:tblW w:w="8926" w:type="dxa"/>
        <w:tblLayout w:type="fixed"/>
        <w:tblLook w:val="04A0" w:firstRow="1" w:lastRow="0" w:firstColumn="1" w:lastColumn="0" w:noHBand="0" w:noVBand="1"/>
      </w:tblPr>
      <w:tblGrid>
        <w:gridCol w:w="846"/>
        <w:gridCol w:w="1559"/>
        <w:gridCol w:w="2693"/>
        <w:gridCol w:w="3828"/>
      </w:tblGrid>
      <w:tr w:rsidR="00350287" w:rsidRPr="00CA72A2" w14:paraId="74DC1EBB" w14:textId="77777777" w:rsidTr="00E237BE">
        <w:tc>
          <w:tcPr>
            <w:tcW w:w="846" w:type="dxa"/>
            <w:vMerge w:val="restart"/>
          </w:tcPr>
          <w:p w14:paraId="7AA1E6B5"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sz w:val="24"/>
              </w:rPr>
              <w:lastRenderedPageBreak/>
              <w:t>5</w:t>
            </w:r>
          </w:p>
        </w:tc>
        <w:tc>
          <w:tcPr>
            <w:tcW w:w="1559" w:type="dxa"/>
            <w:vMerge w:val="restart"/>
          </w:tcPr>
          <w:p w14:paraId="301C9CCD" w14:textId="77777777" w:rsidR="00350287" w:rsidRPr="00CA72A2" w:rsidRDefault="00350287" w:rsidP="0024063E">
            <w:pPr>
              <w:spacing w:line="240" w:lineRule="auto"/>
              <w:ind w:left="33"/>
              <w:jc w:val="center"/>
              <w:rPr>
                <w:rFonts w:asciiTheme="majorHAnsi" w:hAnsiTheme="majorHAnsi"/>
                <w:sz w:val="24"/>
              </w:rPr>
            </w:pPr>
            <w:r w:rsidRPr="00CA72A2">
              <w:rPr>
                <w:rFonts w:asciiTheme="majorHAnsi" w:hAnsiTheme="majorHAnsi"/>
                <w:b/>
                <w:bCs/>
                <w:sz w:val="24"/>
              </w:rPr>
              <w:t>Tarjetas</w:t>
            </w:r>
          </w:p>
        </w:tc>
        <w:tc>
          <w:tcPr>
            <w:tcW w:w="2693" w:type="dxa"/>
            <w:vMerge w:val="restart"/>
          </w:tcPr>
          <w:p w14:paraId="54B81F71"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 xml:space="preserve">5.1 Tarjetas de crédito y </w:t>
            </w:r>
            <w:r w:rsidRPr="00CA72A2">
              <w:rPr>
                <w:rFonts w:asciiTheme="majorHAnsi" w:eastAsiaTheme="minorEastAsia" w:hAnsiTheme="majorHAnsi"/>
                <w:noProof/>
                <w:sz w:val="24"/>
                <w:lang w:val="es-CR" w:eastAsia="es-CR"/>
              </w:rPr>
              <w:drawing>
                <wp:anchor distT="0" distB="0" distL="114300" distR="114300" simplePos="0" relativeHeight="251662336" behindDoc="0" locked="0" layoutInCell="1" allowOverlap="1" wp14:anchorId="64C8B3EC" wp14:editId="02AB3F54">
                  <wp:simplePos x="0" y="0"/>
                  <wp:positionH relativeFrom="column">
                    <wp:posOffset>-142875</wp:posOffset>
                  </wp:positionH>
                  <wp:positionV relativeFrom="paragraph">
                    <wp:posOffset>22393275</wp:posOffset>
                  </wp:positionV>
                  <wp:extent cx="8258175" cy="1495425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8175" cy="14954250"/>
                          </a:xfrm>
                          <a:prstGeom prst="rect">
                            <a:avLst/>
                          </a:prstGeom>
                          <a:noFill/>
                        </pic:spPr>
                      </pic:pic>
                    </a:graphicData>
                  </a:graphic>
                  <wp14:sizeRelH relativeFrom="page">
                    <wp14:pctWidth>0</wp14:pctWidth>
                  </wp14:sizeRelH>
                  <wp14:sizeRelV relativeFrom="page">
                    <wp14:pctHeight>0</wp14:pctHeight>
                  </wp14:sizeRelV>
                </wp:anchor>
              </w:drawing>
            </w:r>
            <w:r w:rsidRPr="00CA72A2">
              <w:rPr>
                <w:rFonts w:asciiTheme="majorHAnsi" w:hAnsiTheme="majorHAnsi"/>
                <w:sz w:val="24"/>
              </w:rPr>
              <w:t>débito (marcas propias o administradas)</w:t>
            </w:r>
          </w:p>
        </w:tc>
        <w:tc>
          <w:tcPr>
            <w:tcW w:w="3828" w:type="dxa"/>
          </w:tcPr>
          <w:p w14:paraId="369B0A04"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5.1.1 Tarjeta de crédito</w:t>
            </w:r>
          </w:p>
        </w:tc>
      </w:tr>
      <w:tr w:rsidR="00350287" w:rsidRPr="00CA72A2" w14:paraId="530DADA6" w14:textId="77777777" w:rsidTr="00E237BE">
        <w:tc>
          <w:tcPr>
            <w:tcW w:w="846" w:type="dxa"/>
            <w:vMerge/>
          </w:tcPr>
          <w:p w14:paraId="3B93DFA0" w14:textId="77777777" w:rsidR="00350287" w:rsidRPr="00CA72A2" w:rsidRDefault="00350287" w:rsidP="0024063E">
            <w:pPr>
              <w:spacing w:line="240" w:lineRule="auto"/>
              <w:ind w:left="33"/>
              <w:jc w:val="center"/>
              <w:rPr>
                <w:rFonts w:asciiTheme="majorHAnsi" w:hAnsiTheme="majorHAnsi"/>
                <w:sz w:val="24"/>
              </w:rPr>
            </w:pPr>
          </w:p>
        </w:tc>
        <w:tc>
          <w:tcPr>
            <w:tcW w:w="1559" w:type="dxa"/>
            <w:vMerge/>
          </w:tcPr>
          <w:p w14:paraId="32F6C1FC" w14:textId="77777777" w:rsidR="00350287" w:rsidRPr="00CA72A2" w:rsidRDefault="00350287" w:rsidP="0024063E">
            <w:pPr>
              <w:spacing w:line="240" w:lineRule="auto"/>
              <w:ind w:left="33"/>
              <w:jc w:val="center"/>
              <w:rPr>
                <w:rFonts w:asciiTheme="majorHAnsi" w:hAnsiTheme="majorHAnsi"/>
                <w:b/>
                <w:bCs/>
                <w:sz w:val="24"/>
              </w:rPr>
            </w:pPr>
          </w:p>
        </w:tc>
        <w:tc>
          <w:tcPr>
            <w:tcW w:w="2693" w:type="dxa"/>
            <w:vMerge/>
          </w:tcPr>
          <w:p w14:paraId="3F7CB79D" w14:textId="77777777" w:rsidR="00350287" w:rsidRPr="00CA72A2" w:rsidRDefault="00350287" w:rsidP="0024063E">
            <w:pPr>
              <w:autoSpaceDE w:val="0"/>
              <w:autoSpaceDN w:val="0"/>
              <w:adjustRightInd w:val="0"/>
              <w:spacing w:line="240" w:lineRule="auto"/>
              <w:ind w:left="33"/>
              <w:rPr>
                <w:rFonts w:asciiTheme="majorHAnsi" w:hAnsiTheme="majorHAnsi"/>
                <w:sz w:val="24"/>
              </w:rPr>
            </w:pPr>
          </w:p>
        </w:tc>
        <w:tc>
          <w:tcPr>
            <w:tcW w:w="3828" w:type="dxa"/>
          </w:tcPr>
          <w:p w14:paraId="2E9CDE6C" w14:textId="77777777" w:rsidR="00350287" w:rsidRPr="00CA72A2" w:rsidRDefault="00350287" w:rsidP="0024063E">
            <w:pPr>
              <w:autoSpaceDE w:val="0"/>
              <w:autoSpaceDN w:val="0"/>
              <w:adjustRightInd w:val="0"/>
              <w:spacing w:line="240" w:lineRule="auto"/>
              <w:ind w:left="33"/>
              <w:rPr>
                <w:rFonts w:asciiTheme="majorHAnsi" w:hAnsiTheme="majorHAnsi"/>
                <w:sz w:val="24"/>
              </w:rPr>
            </w:pPr>
            <w:r w:rsidRPr="00CA72A2">
              <w:rPr>
                <w:rFonts w:asciiTheme="majorHAnsi" w:hAnsiTheme="majorHAnsi"/>
                <w:sz w:val="24"/>
              </w:rPr>
              <w:t>5.1.2 Tarjeta de débito</w:t>
            </w:r>
          </w:p>
        </w:tc>
      </w:tr>
    </w:tbl>
    <w:p w14:paraId="4ECBA008" w14:textId="77777777" w:rsidR="00350287" w:rsidRPr="00CA72A2" w:rsidRDefault="00350287" w:rsidP="00350287">
      <w:pPr>
        <w:pStyle w:val="Prrafodelista"/>
        <w:widowControl w:val="0"/>
        <w:spacing w:after="0" w:line="240" w:lineRule="auto"/>
        <w:ind w:left="33"/>
        <w:jc w:val="both"/>
        <w:rPr>
          <w:rFonts w:asciiTheme="majorHAnsi" w:hAnsiTheme="majorHAnsi"/>
          <w:sz w:val="24"/>
          <w:szCs w:val="24"/>
          <w:lang w:val="es-ES"/>
        </w:rPr>
      </w:pPr>
    </w:p>
    <w:p w14:paraId="74C72DDE" w14:textId="77777777" w:rsidR="00350287" w:rsidRPr="00CA72A2" w:rsidRDefault="00350287" w:rsidP="00350287">
      <w:pPr>
        <w:pStyle w:val="Prrafodelista"/>
        <w:widowControl w:val="0"/>
        <w:numPr>
          <w:ilvl w:val="0"/>
          <w:numId w:val="17"/>
        </w:numPr>
        <w:spacing w:after="0" w:line="240" w:lineRule="auto"/>
        <w:ind w:left="567" w:hanging="534"/>
        <w:jc w:val="both"/>
        <w:rPr>
          <w:rFonts w:asciiTheme="majorHAnsi" w:hAnsiTheme="majorHAnsi"/>
          <w:sz w:val="24"/>
          <w:szCs w:val="24"/>
        </w:rPr>
      </w:pPr>
      <w:r w:rsidRPr="00CA72A2">
        <w:rPr>
          <w:rFonts w:asciiTheme="majorHAnsi" w:hAnsiTheme="majorHAnsi"/>
          <w:sz w:val="24"/>
          <w:szCs w:val="24"/>
        </w:rPr>
        <w:t xml:space="preserve">Cualquier actividad que no pueda asignarse con facilidad a las líneas de negocio, pero que representa una función auxiliar a una actividad incluida en el nivel 2, debe ser asignada a la línea de negocio en que se ubica dicha actividad principal. </w:t>
      </w:r>
    </w:p>
    <w:p w14:paraId="100AAE99" w14:textId="77777777" w:rsidR="00C051E5" w:rsidRPr="00CA72A2" w:rsidRDefault="00C051E5" w:rsidP="00C051E5">
      <w:pPr>
        <w:pStyle w:val="Prrafodelista"/>
        <w:widowControl w:val="0"/>
        <w:spacing w:after="0" w:line="240" w:lineRule="auto"/>
        <w:ind w:left="567"/>
        <w:jc w:val="both"/>
        <w:rPr>
          <w:rFonts w:asciiTheme="majorHAnsi" w:hAnsiTheme="majorHAnsi"/>
          <w:sz w:val="24"/>
          <w:szCs w:val="24"/>
        </w:rPr>
      </w:pPr>
    </w:p>
    <w:p w14:paraId="18378B1F" w14:textId="77777777" w:rsidR="00350287" w:rsidRPr="00CA72A2" w:rsidRDefault="00350287" w:rsidP="00350287">
      <w:pPr>
        <w:pStyle w:val="Prrafodelista"/>
        <w:widowControl w:val="0"/>
        <w:numPr>
          <w:ilvl w:val="0"/>
          <w:numId w:val="17"/>
        </w:numPr>
        <w:spacing w:after="0" w:line="240" w:lineRule="auto"/>
        <w:ind w:left="567" w:hanging="534"/>
        <w:jc w:val="both"/>
        <w:rPr>
          <w:rFonts w:asciiTheme="majorHAnsi" w:hAnsiTheme="majorHAnsi"/>
          <w:sz w:val="24"/>
          <w:szCs w:val="24"/>
        </w:rPr>
      </w:pPr>
      <w:r w:rsidRPr="00CA72A2">
        <w:rPr>
          <w:rFonts w:asciiTheme="majorHAnsi" w:hAnsiTheme="majorHAnsi"/>
          <w:sz w:val="24"/>
          <w:szCs w:val="24"/>
        </w:rPr>
        <w:t>Si una actividad auxiliar presta apoyo a más de una línea de negocio, debe utilizarse un criterio de asignación objetivo.</w:t>
      </w:r>
    </w:p>
    <w:p w14:paraId="4EFDBE2D" w14:textId="1FC390E3" w:rsidR="00C051E5" w:rsidRPr="00CA72A2" w:rsidRDefault="00C051E5" w:rsidP="00C051E5">
      <w:pPr>
        <w:pStyle w:val="Prrafodelista"/>
        <w:rPr>
          <w:rFonts w:asciiTheme="majorHAnsi" w:hAnsiTheme="majorHAnsi"/>
          <w:sz w:val="24"/>
          <w:szCs w:val="24"/>
        </w:rPr>
      </w:pPr>
    </w:p>
    <w:p w14:paraId="25E0E647" w14:textId="77777777" w:rsidR="00350287" w:rsidRPr="00CA72A2" w:rsidRDefault="00350287" w:rsidP="00350287">
      <w:pPr>
        <w:pStyle w:val="Prrafodelista"/>
        <w:widowControl w:val="0"/>
        <w:numPr>
          <w:ilvl w:val="0"/>
          <w:numId w:val="17"/>
        </w:numPr>
        <w:spacing w:after="0" w:line="240" w:lineRule="auto"/>
        <w:ind w:left="567" w:hanging="534"/>
        <w:jc w:val="both"/>
        <w:rPr>
          <w:rFonts w:asciiTheme="majorHAnsi" w:hAnsiTheme="majorHAnsi"/>
          <w:sz w:val="24"/>
          <w:szCs w:val="24"/>
        </w:rPr>
      </w:pPr>
      <w:r w:rsidRPr="00CA72A2">
        <w:rPr>
          <w:rFonts w:asciiTheme="majorHAnsi" w:hAnsiTheme="majorHAnsi"/>
          <w:sz w:val="24"/>
          <w:szCs w:val="24"/>
        </w:rPr>
        <w:t>El nivel de desagregación del nivel 3 debe permitir a la entidad asignar e imputar de forma razonable los eventos de riesgo, tal condición implica que la Administración Superior de la entidad deba establecer un proceso para definir la asignación de nuevas actividades o productos.</w:t>
      </w:r>
    </w:p>
    <w:p w14:paraId="5DC19D4D" w14:textId="65D87AEE" w:rsidR="00C051E5" w:rsidRPr="00CA72A2" w:rsidRDefault="00C051E5" w:rsidP="00C051E5">
      <w:pPr>
        <w:pStyle w:val="Prrafodelista"/>
        <w:rPr>
          <w:rFonts w:asciiTheme="majorHAnsi" w:hAnsiTheme="majorHAnsi"/>
          <w:sz w:val="24"/>
          <w:szCs w:val="24"/>
        </w:rPr>
      </w:pPr>
    </w:p>
    <w:p w14:paraId="3FEEE63E" w14:textId="77777777" w:rsidR="00350287" w:rsidRPr="00CA72A2" w:rsidRDefault="00350287" w:rsidP="00350287">
      <w:pPr>
        <w:pStyle w:val="Prrafodelista"/>
        <w:widowControl w:val="0"/>
        <w:numPr>
          <w:ilvl w:val="0"/>
          <w:numId w:val="17"/>
        </w:numPr>
        <w:spacing w:after="0" w:line="240" w:lineRule="auto"/>
        <w:ind w:left="567" w:hanging="534"/>
        <w:jc w:val="both"/>
        <w:rPr>
          <w:rFonts w:asciiTheme="majorHAnsi" w:hAnsiTheme="majorHAnsi"/>
          <w:sz w:val="24"/>
          <w:szCs w:val="24"/>
        </w:rPr>
      </w:pPr>
      <w:r w:rsidRPr="00CA72A2">
        <w:rPr>
          <w:rFonts w:asciiTheme="majorHAnsi" w:hAnsiTheme="majorHAnsi"/>
          <w:sz w:val="24"/>
          <w:szCs w:val="24"/>
        </w:rPr>
        <w:t xml:space="preserve">La segregación de nivel 3 debe mantener un registro descriptivo que permita comprender claramente el tipo de actividades que involucra, de manera tal que limite la posibilidad de duplicación y que facilite la asignación de nuevas actividades o productos. </w:t>
      </w:r>
    </w:p>
    <w:p w14:paraId="4B03B80F" w14:textId="77777777" w:rsidR="00350287" w:rsidRPr="00CA72A2" w:rsidRDefault="00350287" w:rsidP="00350287">
      <w:pPr>
        <w:widowControl w:val="0"/>
        <w:spacing w:line="240" w:lineRule="auto"/>
        <w:rPr>
          <w:rFonts w:asciiTheme="majorHAnsi" w:hAnsiTheme="majorHAnsi"/>
          <w:sz w:val="24"/>
        </w:rPr>
      </w:pPr>
    </w:p>
    <w:p w14:paraId="68B8E1A0" w14:textId="77777777" w:rsidR="00350287" w:rsidRPr="00CA72A2" w:rsidRDefault="00350287" w:rsidP="00350287">
      <w:pPr>
        <w:widowControl w:val="0"/>
        <w:spacing w:line="240" w:lineRule="auto"/>
        <w:rPr>
          <w:rFonts w:asciiTheme="majorHAnsi" w:hAnsiTheme="majorHAnsi"/>
          <w:sz w:val="24"/>
        </w:rPr>
      </w:pPr>
    </w:p>
    <w:p w14:paraId="17B4B096" w14:textId="77777777" w:rsidR="00350287" w:rsidRPr="00CA72A2" w:rsidRDefault="00350287" w:rsidP="00350287">
      <w:pPr>
        <w:widowControl w:val="0"/>
        <w:tabs>
          <w:tab w:val="left" w:pos="142"/>
        </w:tabs>
        <w:spacing w:line="240" w:lineRule="auto"/>
        <w:ind w:left="33"/>
        <w:rPr>
          <w:rFonts w:asciiTheme="majorHAnsi" w:hAnsiTheme="majorHAnsi"/>
          <w:b/>
          <w:sz w:val="24"/>
        </w:rPr>
      </w:pPr>
      <w:r w:rsidRPr="00CA72A2">
        <w:rPr>
          <w:rFonts w:asciiTheme="majorHAnsi" w:hAnsiTheme="majorHAnsi"/>
          <w:b/>
          <w:sz w:val="24"/>
        </w:rPr>
        <w:t>II. CATEGORÍAS DE EVENTOS DE PÉRDIDA POR RIESGO OPERATIVO</w:t>
      </w:r>
    </w:p>
    <w:p w14:paraId="09E72ED5" w14:textId="77777777" w:rsidR="00350287" w:rsidRPr="00CA72A2" w:rsidRDefault="00350287" w:rsidP="00350287">
      <w:pPr>
        <w:widowControl w:val="0"/>
        <w:tabs>
          <w:tab w:val="left" w:pos="142"/>
        </w:tabs>
        <w:spacing w:line="240" w:lineRule="auto"/>
        <w:ind w:left="33"/>
        <w:rPr>
          <w:rFonts w:asciiTheme="majorHAnsi" w:hAnsiTheme="majorHAnsi"/>
          <w:b/>
          <w:sz w:val="24"/>
        </w:rPr>
      </w:pPr>
    </w:p>
    <w:p w14:paraId="04FC47AC" w14:textId="77777777" w:rsidR="00350287" w:rsidRPr="00CA72A2" w:rsidRDefault="00350287" w:rsidP="00350287">
      <w:pPr>
        <w:widowControl w:val="0"/>
        <w:tabs>
          <w:tab w:val="left" w:pos="142"/>
        </w:tabs>
        <w:spacing w:line="240" w:lineRule="auto"/>
        <w:ind w:left="33"/>
        <w:rPr>
          <w:rFonts w:asciiTheme="majorHAnsi" w:hAnsiTheme="majorHAnsi"/>
          <w:sz w:val="24"/>
        </w:rPr>
      </w:pPr>
      <w:r w:rsidRPr="00CA72A2">
        <w:rPr>
          <w:rFonts w:asciiTheme="majorHAnsi" w:hAnsiTheme="majorHAnsi"/>
          <w:sz w:val="24"/>
        </w:rPr>
        <w:t xml:space="preserve">Corresponden a los eventos de pérdida dispuestos por el Comité de Basilea, </w:t>
      </w:r>
      <w:r w:rsidRPr="00CA72A2">
        <w:rPr>
          <w:rFonts w:asciiTheme="majorHAnsi" w:hAnsiTheme="majorHAnsi"/>
          <w:sz w:val="24"/>
        </w:rPr>
        <w:lastRenderedPageBreak/>
        <w:t>que la entidad puede ajustar de acuerdo a sus características y abriendo subcategorías cuando sea pertinente.</w:t>
      </w:r>
    </w:p>
    <w:p w14:paraId="5D563DFE" w14:textId="77777777" w:rsidR="00350287" w:rsidRPr="00CA72A2" w:rsidRDefault="00350287" w:rsidP="00350287">
      <w:pPr>
        <w:widowControl w:val="0"/>
        <w:tabs>
          <w:tab w:val="left" w:pos="142"/>
        </w:tabs>
        <w:spacing w:line="240" w:lineRule="auto"/>
        <w:ind w:left="33"/>
        <w:rPr>
          <w:rFonts w:asciiTheme="majorHAnsi" w:hAnsiTheme="majorHAnsi"/>
          <w:sz w:val="24"/>
        </w:rPr>
      </w:pPr>
    </w:p>
    <w:p w14:paraId="50950F11" w14:textId="77777777" w:rsidR="00350287" w:rsidRPr="00CA72A2" w:rsidRDefault="00350287" w:rsidP="00350287">
      <w:pPr>
        <w:pStyle w:val="Prrafodelista"/>
        <w:numPr>
          <w:ilvl w:val="0"/>
          <w:numId w:val="19"/>
        </w:numPr>
        <w:spacing w:after="0" w:line="240" w:lineRule="auto"/>
        <w:ind w:left="33" w:right="51" w:firstLine="0"/>
        <w:jc w:val="both"/>
        <w:rPr>
          <w:rFonts w:asciiTheme="majorHAnsi" w:hAnsiTheme="majorHAnsi"/>
          <w:sz w:val="24"/>
          <w:szCs w:val="24"/>
        </w:rPr>
      </w:pPr>
      <w:r w:rsidRPr="00CA72A2">
        <w:rPr>
          <w:rFonts w:asciiTheme="majorHAnsi" w:hAnsiTheme="majorHAnsi"/>
          <w:b/>
          <w:sz w:val="24"/>
          <w:szCs w:val="24"/>
        </w:rPr>
        <w:t>Fraude interno</w:t>
      </w:r>
      <w:r w:rsidRPr="00CA72A2">
        <w:rPr>
          <w:rFonts w:asciiTheme="majorHAnsi" w:hAnsiTheme="majorHAnsi"/>
          <w:sz w:val="24"/>
          <w:szCs w:val="24"/>
        </w:rPr>
        <w:t>.- Pérdidas derivadas de algún tipo de actuación encaminada a defraudar, apropiarse de bienes indebidamente o incumplir regulaciones, leyes o políticas empresariales en las que se encuentra implicado, al menos, un miembro de la empresa, y que tiene como fin obtener un beneficio ilícito.</w:t>
      </w:r>
    </w:p>
    <w:p w14:paraId="016FD832" w14:textId="77777777" w:rsidR="00350287" w:rsidRPr="00CA72A2" w:rsidRDefault="00350287" w:rsidP="00350287">
      <w:pPr>
        <w:pStyle w:val="Prrafodelista"/>
        <w:spacing w:after="0" w:line="240" w:lineRule="auto"/>
        <w:ind w:left="33" w:right="51"/>
        <w:jc w:val="both"/>
        <w:rPr>
          <w:rFonts w:asciiTheme="majorHAnsi" w:hAnsiTheme="majorHAnsi"/>
          <w:sz w:val="24"/>
          <w:szCs w:val="24"/>
        </w:rPr>
      </w:pPr>
    </w:p>
    <w:p w14:paraId="3AC5A18C" w14:textId="77777777" w:rsidR="00350287" w:rsidRPr="00CA72A2" w:rsidRDefault="00350287" w:rsidP="00350287">
      <w:pPr>
        <w:pStyle w:val="Prrafodelista"/>
        <w:numPr>
          <w:ilvl w:val="0"/>
          <w:numId w:val="19"/>
        </w:numPr>
        <w:spacing w:after="0" w:line="240" w:lineRule="auto"/>
        <w:ind w:left="33" w:right="51" w:firstLine="0"/>
        <w:jc w:val="both"/>
        <w:rPr>
          <w:rFonts w:asciiTheme="majorHAnsi" w:hAnsiTheme="majorHAnsi"/>
          <w:sz w:val="24"/>
          <w:szCs w:val="24"/>
        </w:rPr>
      </w:pPr>
      <w:r w:rsidRPr="00CA72A2">
        <w:rPr>
          <w:rFonts w:asciiTheme="majorHAnsi" w:hAnsiTheme="majorHAnsi"/>
          <w:b/>
          <w:sz w:val="24"/>
          <w:szCs w:val="24"/>
        </w:rPr>
        <w:t>Fraude externo</w:t>
      </w:r>
      <w:r w:rsidRPr="00CA72A2">
        <w:rPr>
          <w:rFonts w:asciiTheme="majorHAnsi" w:hAnsiTheme="majorHAnsi"/>
          <w:sz w:val="24"/>
          <w:szCs w:val="24"/>
        </w:rPr>
        <w:t>.- Pérdidas derivadas de algún tipo de actuación encaminada a defraudar, apropiarse de bienes indebidamente o incumplir la legislación, por parte de un tercero, con el fin de obtener un beneficio ilícito.</w:t>
      </w:r>
    </w:p>
    <w:p w14:paraId="28EC31EA" w14:textId="77777777" w:rsidR="00350287" w:rsidRPr="00CA72A2" w:rsidRDefault="00350287" w:rsidP="00C051E5">
      <w:pPr>
        <w:pStyle w:val="Prrafodelista"/>
        <w:numPr>
          <w:ilvl w:val="0"/>
          <w:numId w:val="19"/>
        </w:numPr>
        <w:spacing w:after="0" w:line="240" w:lineRule="auto"/>
        <w:ind w:left="33" w:right="51" w:firstLine="0"/>
        <w:jc w:val="both"/>
        <w:rPr>
          <w:rFonts w:asciiTheme="majorHAnsi" w:hAnsiTheme="majorHAnsi"/>
          <w:sz w:val="24"/>
          <w:szCs w:val="24"/>
        </w:rPr>
      </w:pPr>
      <w:r w:rsidRPr="00CA72A2">
        <w:rPr>
          <w:rFonts w:asciiTheme="majorHAnsi" w:hAnsiTheme="majorHAnsi"/>
          <w:b/>
          <w:sz w:val="24"/>
          <w:szCs w:val="24"/>
        </w:rPr>
        <w:t>Relaciones laborales y seguridad en el puesto de trabajo</w:t>
      </w:r>
      <w:r w:rsidRPr="00CA72A2">
        <w:rPr>
          <w:rFonts w:asciiTheme="majorHAnsi" w:hAnsiTheme="majorHAnsi"/>
          <w:sz w:val="24"/>
          <w:szCs w:val="24"/>
        </w:rPr>
        <w:t>.- Pérdidas derivadas de actuaciones incompatibles con la legislación o acuerdos laborales, sobre higiene o seguridad en el trabajo, sobre el pago de reclamos por daños personales, o sobre casos relacionados con la diversidad o discriminación.</w:t>
      </w:r>
    </w:p>
    <w:p w14:paraId="5F139326" w14:textId="77777777" w:rsidR="00C051E5" w:rsidRPr="00CA72A2" w:rsidRDefault="00C051E5" w:rsidP="00C051E5">
      <w:pPr>
        <w:pStyle w:val="Prrafodelista"/>
        <w:tabs>
          <w:tab w:val="left" w:pos="394"/>
        </w:tabs>
        <w:spacing w:after="0" w:line="240" w:lineRule="auto"/>
        <w:ind w:left="33" w:right="51"/>
        <w:jc w:val="both"/>
        <w:rPr>
          <w:rFonts w:asciiTheme="majorHAnsi" w:hAnsiTheme="majorHAnsi"/>
          <w:sz w:val="24"/>
          <w:szCs w:val="24"/>
        </w:rPr>
      </w:pPr>
    </w:p>
    <w:p w14:paraId="0843A21F" w14:textId="77777777" w:rsidR="00350287" w:rsidRPr="00CA72A2" w:rsidRDefault="00350287" w:rsidP="00C051E5">
      <w:pPr>
        <w:pStyle w:val="Prrafodelista"/>
        <w:numPr>
          <w:ilvl w:val="0"/>
          <w:numId w:val="19"/>
        </w:numPr>
        <w:spacing w:after="0" w:line="240" w:lineRule="auto"/>
        <w:ind w:left="33" w:right="51" w:firstLine="0"/>
        <w:jc w:val="both"/>
        <w:rPr>
          <w:rFonts w:asciiTheme="majorHAnsi" w:hAnsiTheme="majorHAnsi"/>
          <w:sz w:val="24"/>
          <w:szCs w:val="24"/>
        </w:rPr>
      </w:pPr>
      <w:r w:rsidRPr="00CA72A2">
        <w:rPr>
          <w:rFonts w:asciiTheme="majorHAnsi" w:hAnsiTheme="majorHAnsi"/>
          <w:b/>
          <w:sz w:val="24"/>
          <w:szCs w:val="24"/>
        </w:rPr>
        <w:t>Clientes, productos y prácticas empresariales</w:t>
      </w:r>
      <w:r w:rsidRPr="00CA72A2">
        <w:rPr>
          <w:rFonts w:asciiTheme="majorHAnsi" w:hAnsiTheme="majorHAnsi"/>
          <w:sz w:val="24"/>
          <w:szCs w:val="24"/>
        </w:rPr>
        <w:t>.- Pérdidas derivadas del incumplimiento involuntario o negligente de una obligación empresarial frente a clientes concretos (incluidos requisitos fiduciarios y de adecuación), o de la naturaleza o diseño de un producto.</w:t>
      </w:r>
    </w:p>
    <w:p w14:paraId="25AF3703" w14:textId="77777777" w:rsidR="00350287" w:rsidRPr="00CA72A2" w:rsidRDefault="00350287" w:rsidP="00350287">
      <w:pPr>
        <w:pStyle w:val="Prrafodelista"/>
        <w:tabs>
          <w:tab w:val="left" w:pos="394"/>
        </w:tabs>
        <w:spacing w:after="0" w:line="240" w:lineRule="auto"/>
        <w:ind w:left="33" w:right="51"/>
        <w:jc w:val="both"/>
        <w:rPr>
          <w:rFonts w:asciiTheme="majorHAnsi" w:hAnsiTheme="majorHAnsi"/>
          <w:sz w:val="24"/>
          <w:szCs w:val="24"/>
        </w:rPr>
      </w:pPr>
    </w:p>
    <w:p w14:paraId="4DDE26F6" w14:textId="77777777" w:rsidR="00350287" w:rsidRPr="00CA72A2" w:rsidRDefault="00350287" w:rsidP="00350287">
      <w:pPr>
        <w:pStyle w:val="Prrafodelista"/>
        <w:numPr>
          <w:ilvl w:val="0"/>
          <w:numId w:val="19"/>
        </w:numPr>
        <w:spacing w:after="0" w:line="240" w:lineRule="auto"/>
        <w:ind w:left="33" w:right="51" w:firstLine="0"/>
        <w:jc w:val="both"/>
        <w:rPr>
          <w:rFonts w:asciiTheme="majorHAnsi" w:hAnsiTheme="majorHAnsi"/>
          <w:sz w:val="24"/>
          <w:szCs w:val="24"/>
        </w:rPr>
      </w:pPr>
      <w:r w:rsidRPr="00CA72A2">
        <w:rPr>
          <w:rFonts w:asciiTheme="majorHAnsi" w:hAnsiTheme="majorHAnsi"/>
          <w:b/>
          <w:sz w:val="24"/>
          <w:szCs w:val="24"/>
        </w:rPr>
        <w:t>Daños a activos materiales</w:t>
      </w:r>
      <w:r w:rsidRPr="00CA72A2">
        <w:rPr>
          <w:rFonts w:asciiTheme="majorHAnsi" w:hAnsiTheme="majorHAnsi"/>
          <w:sz w:val="24"/>
          <w:szCs w:val="24"/>
        </w:rPr>
        <w:t>.- Pérdidas derivadas de daños o perjuicios a activos materiales como consecuencia de desastres naturales u otros acontecimientos.</w:t>
      </w:r>
    </w:p>
    <w:p w14:paraId="5E898009" w14:textId="77777777" w:rsidR="00350287" w:rsidRPr="00CA72A2" w:rsidRDefault="00350287" w:rsidP="00350287">
      <w:pPr>
        <w:spacing w:line="240" w:lineRule="auto"/>
        <w:ind w:right="51"/>
        <w:rPr>
          <w:rFonts w:asciiTheme="majorHAnsi" w:hAnsiTheme="majorHAnsi"/>
          <w:sz w:val="24"/>
        </w:rPr>
      </w:pPr>
    </w:p>
    <w:p w14:paraId="5C01BCD9" w14:textId="77777777" w:rsidR="00350287" w:rsidRPr="00CA72A2" w:rsidRDefault="00350287" w:rsidP="00350287">
      <w:pPr>
        <w:pStyle w:val="Prrafodelista"/>
        <w:numPr>
          <w:ilvl w:val="0"/>
          <w:numId w:val="19"/>
        </w:numPr>
        <w:spacing w:after="0" w:line="240" w:lineRule="auto"/>
        <w:ind w:left="33" w:right="51" w:firstLine="0"/>
        <w:jc w:val="both"/>
        <w:rPr>
          <w:rFonts w:asciiTheme="majorHAnsi" w:hAnsiTheme="majorHAnsi"/>
          <w:sz w:val="24"/>
          <w:szCs w:val="24"/>
        </w:rPr>
      </w:pPr>
      <w:r w:rsidRPr="00CA72A2">
        <w:rPr>
          <w:rFonts w:asciiTheme="majorHAnsi" w:hAnsiTheme="majorHAnsi"/>
          <w:b/>
          <w:sz w:val="24"/>
          <w:szCs w:val="24"/>
        </w:rPr>
        <w:lastRenderedPageBreak/>
        <w:t>Interrupción del negocio y fallos en los sistemas</w:t>
      </w:r>
      <w:r w:rsidRPr="00CA72A2">
        <w:rPr>
          <w:rFonts w:asciiTheme="majorHAnsi" w:hAnsiTheme="majorHAnsi"/>
          <w:sz w:val="24"/>
          <w:szCs w:val="24"/>
        </w:rPr>
        <w:t>.- Pérdidas derivadas de interrupciones en el negocio y de fallos en los sistemas.</w:t>
      </w:r>
    </w:p>
    <w:p w14:paraId="49B6BA08" w14:textId="77777777" w:rsidR="00350287" w:rsidRPr="00CA72A2" w:rsidRDefault="00350287" w:rsidP="00350287">
      <w:pPr>
        <w:spacing w:line="240" w:lineRule="auto"/>
        <w:ind w:right="51"/>
        <w:rPr>
          <w:rFonts w:asciiTheme="majorHAnsi" w:hAnsiTheme="majorHAnsi"/>
          <w:sz w:val="24"/>
        </w:rPr>
      </w:pPr>
    </w:p>
    <w:p w14:paraId="020B9FA6" w14:textId="77777777" w:rsidR="00350287" w:rsidRPr="00CA72A2" w:rsidRDefault="00350287" w:rsidP="00350287">
      <w:pPr>
        <w:pStyle w:val="Prrafodelista"/>
        <w:numPr>
          <w:ilvl w:val="0"/>
          <w:numId w:val="19"/>
        </w:numPr>
        <w:spacing w:after="0" w:line="240" w:lineRule="auto"/>
        <w:ind w:left="33" w:right="51" w:firstLine="0"/>
        <w:jc w:val="both"/>
        <w:rPr>
          <w:rFonts w:asciiTheme="majorHAnsi" w:hAnsiTheme="majorHAnsi"/>
          <w:sz w:val="24"/>
          <w:szCs w:val="24"/>
        </w:rPr>
      </w:pPr>
      <w:r w:rsidRPr="00CA72A2">
        <w:rPr>
          <w:rFonts w:asciiTheme="majorHAnsi" w:hAnsiTheme="majorHAnsi"/>
          <w:b/>
          <w:sz w:val="24"/>
          <w:szCs w:val="24"/>
        </w:rPr>
        <w:t>Ejecución, entrega y gestión de procesos.-</w:t>
      </w:r>
      <w:r w:rsidRPr="00CA72A2">
        <w:rPr>
          <w:rFonts w:asciiTheme="majorHAnsi" w:hAnsiTheme="majorHAnsi"/>
          <w:sz w:val="24"/>
          <w:szCs w:val="24"/>
        </w:rPr>
        <w:t xml:space="preserve"> Pérdidas derivadas de errores en el procesamiento de operaciones o en la gestión de procesos, así como de relaciones con contrapartes comerciales y proveedores</w:t>
      </w:r>
    </w:p>
    <w:p w14:paraId="12F85582" w14:textId="77777777" w:rsidR="00350287" w:rsidRPr="00CA72A2" w:rsidRDefault="00350287" w:rsidP="00350287">
      <w:pPr>
        <w:spacing w:line="240" w:lineRule="auto"/>
        <w:ind w:right="51"/>
        <w:rPr>
          <w:rFonts w:asciiTheme="majorHAnsi" w:hAnsiTheme="majorHAnsi"/>
          <w:sz w:val="24"/>
        </w:rPr>
      </w:pPr>
    </w:p>
    <w:p w14:paraId="5BF52A87" w14:textId="77777777" w:rsidR="00350287" w:rsidRPr="00CA72A2" w:rsidRDefault="00350287" w:rsidP="00350287">
      <w:pPr>
        <w:tabs>
          <w:tab w:val="left" w:pos="142"/>
        </w:tabs>
        <w:spacing w:line="240" w:lineRule="auto"/>
        <w:ind w:left="33" w:right="51"/>
        <w:rPr>
          <w:rFonts w:asciiTheme="majorHAnsi" w:hAnsiTheme="majorHAnsi"/>
          <w:b/>
          <w:sz w:val="24"/>
        </w:rPr>
      </w:pPr>
    </w:p>
    <w:p w14:paraId="676D66C4" w14:textId="77777777" w:rsidR="00350287" w:rsidRPr="00CA72A2" w:rsidRDefault="00350287" w:rsidP="00350287">
      <w:pPr>
        <w:widowControl w:val="0"/>
        <w:tabs>
          <w:tab w:val="left" w:pos="142"/>
        </w:tabs>
        <w:spacing w:line="240" w:lineRule="auto"/>
        <w:ind w:left="33"/>
        <w:rPr>
          <w:rFonts w:asciiTheme="majorHAnsi" w:hAnsiTheme="majorHAnsi"/>
          <w:b/>
          <w:sz w:val="24"/>
        </w:rPr>
      </w:pPr>
      <w:r w:rsidRPr="00CA72A2">
        <w:rPr>
          <w:rFonts w:asciiTheme="majorHAnsi" w:hAnsiTheme="majorHAnsi"/>
          <w:b/>
          <w:sz w:val="24"/>
        </w:rPr>
        <w:t>III. CAMPOS DE LA BASE DE DATOS SOBRE INCIDENCIAS Y EVENTOS DE RIESGO OPERATIVO</w:t>
      </w:r>
    </w:p>
    <w:p w14:paraId="6B0C525B" w14:textId="77777777" w:rsidR="00350287" w:rsidRPr="00CA72A2" w:rsidRDefault="00350287" w:rsidP="00350287">
      <w:pPr>
        <w:widowControl w:val="0"/>
        <w:tabs>
          <w:tab w:val="left" w:pos="142"/>
        </w:tabs>
        <w:spacing w:line="240" w:lineRule="auto"/>
        <w:ind w:left="33"/>
        <w:rPr>
          <w:rFonts w:asciiTheme="majorHAnsi" w:hAnsiTheme="majorHAnsi"/>
          <w:b/>
          <w:sz w:val="24"/>
        </w:rPr>
      </w:pPr>
    </w:p>
    <w:p w14:paraId="52C04F24" w14:textId="77777777" w:rsidR="00350287" w:rsidRPr="00CA72A2" w:rsidRDefault="00350287" w:rsidP="00350287">
      <w:pPr>
        <w:widowControl w:val="0"/>
        <w:tabs>
          <w:tab w:val="left" w:pos="142"/>
        </w:tabs>
        <w:spacing w:line="240" w:lineRule="auto"/>
        <w:ind w:left="33"/>
        <w:rPr>
          <w:rFonts w:asciiTheme="majorHAnsi" w:hAnsiTheme="majorHAnsi"/>
          <w:sz w:val="24"/>
        </w:rPr>
      </w:pPr>
      <w:r w:rsidRPr="00CA72A2">
        <w:rPr>
          <w:rFonts w:asciiTheme="majorHAnsi" w:hAnsiTheme="majorHAnsi"/>
          <w:sz w:val="24"/>
        </w:rPr>
        <w:t>La base de datos de incidencias y eventos de riesgo permite establecer de forma cuantitativa la exposición al riesgo operativo de la entidad.  Esta herramienta suministra información sobre cuáles son los eventos más relevantes y en qué líneas de negocio se originan.</w:t>
      </w:r>
    </w:p>
    <w:p w14:paraId="36A8E914" w14:textId="77777777" w:rsidR="00350287" w:rsidRPr="00CA72A2" w:rsidRDefault="00350287" w:rsidP="00350287">
      <w:pPr>
        <w:widowControl w:val="0"/>
        <w:tabs>
          <w:tab w:val="left" w:pos="142"/>
        </w:tabs>
        <w:spacing w:line="240" w:lineRule="auto"/>
        <w:ind w:left="33"/>
        <w:rPr>
          <w:rFonts w:asciiTheme="majorHAnsi" w:hAnsiTheme="majorHAnsi"/>
          <w:sz w:val="24"/>
        </w:rPr>
      </w:pPr>
    </w:p>
    <w:p w14:paraId="0902654F" w14:textId="77777777" w:rsidR="00350287" w:rsidRPr="00CA72A2" w:rsidRDefault="00350287" w:rsidP="00350287">
      <w:pPr>
        <w:widowControl w:val="0"/>
        <w:tabs>
          <w:tab w:val="left" w:pos="142"/>
        </w:tabs>
        <w:spacing w:line="240" w:lineRule="auto"/>
        <w:ind w:left="33"/>
        <w:rPr>
          <w:rFonts w:asciiTheme="majorHAnsi" w:hAnsiTheme="majorHAnsi"/>
          <w:sz w:val="24"/>
        </w:rPr>
      </w:pPr>
      <w:r w:rsidRPr="00CA72A2">
        <w:rPr>
          <w:rFonts w:asciiTheme="majorHAnsi" w:hAnsiTheme="majorHAnsi"/>
          <w:sz w:val="24"/>
        </w:rPr>
        <w:t>La entidad de conformidad con el artículo 19 del Acuerdo SUGEF 18-16 debe remitir a la SUGEF la información contenida en la base de datos conforme los términos del respectivo capítulo del Manual de Información-SICVECA.</w:t>
      </w:r>
    </w:p>
    <w:p w14:paraId="3BF52E4A" w14:textId="77777777" w:rsidR="00350287" w:rsidRPr="00CA72A2" w:rsidRDefault="00350287" w:rsidP="00350287">
      <w:pPr>
        <w:widowControl w:val="0"/>
        <w:tabs>
          <w:tab w:val="left" w:pos="142"/>
        </w:tabs>
        <w:spacing w:line="240" w:lineRule="auto"/>
        <w:ind w:left="33"/>
        <w:rPr>
          <w:rFonts w:asciiTheme="majorHAnsi" w:hAnsiTheme="majorHAnsi"/>
          <w:sz w:val="24"/>
        </w:rPr>
      </w:pPr>
    </w:p>
    <w:p w14:paraId="47FD9543" w14:textId="77777777" w:rsidR="00350287" w:rsidRPr="00CA72A2" w:rsidRDefault="00350287" w:rsidP="00350287">
      <w:pPr>
        <w:widowControl w:val="0"/>
        <w:tabs>
          <w:tab w:val="left" w:pos="142"/>
        </w:tabs>
        <w:spacing w:line="240" w:lineRule="auto"/>
        <w:ind w:left="33"/>
        <w:rPr>
          <w:rFonts w:asciiTheme="majorHAnsi" w:hAnsiTheme="majorHAnsi"/>
          <w:sz w:val="24"/>
        </w:rPr>
      </w:pPr>
      <w:r w:rsidRPr="00CA72A2">
        <w:rPr>
          <w:rFonts w:asciiTheme="majorHAnsi" w:hAnsiTheme="majorHAnsi"/>
          <w:sz w:val="24"/>
        </w:rPr>
        <w:t xml:space="preserve">De conformidad con lo dispuesto en el artículo 14 del Acuerdo SUGEF 18-16, la entidad debe consignar en su base de datos sobre incidencias y eventos de riesgo operativo los siguientes campos: </w:t>
      </w:r>
    </w:p>
    <w:p w14:paraId="66541703" w14:textId="77777777" w:rsidR="00350287" w:rsidRPr="00CA72A2" w:rsidRDefault="00350287" w:rsidP="00350287">
      <w:pPr>
        <w:widowControl w:val="0"/>
        <w:tabs>
          <w:tab w:val="left" w:pos="142"/>
        </w:tabs>
        <w:spacing w:line="240" w:lineRule="auto"/>
        <w:ind w:left="33"/>
        <w:rPr>
          <w:rFonts w:asciiTheme="majorHAnsi" w:hAnsiTheme="majorHAnsi"/>
          <w:sz w:val="24"/>
        </w:rPr>
      </w:pPr>
    </w:p>
    <w:p w14:paraId="7E6805F7" w14:textId="77777777" w:rsidR="00350287" w:rsidRPr="00CA72A2" w:rsidRDefault="00350287" w:rsidP="00350287">
      <w:pPr>
        <w:pStyle w:val="Prrafodelista"/>
        <w:tabs>
          <w:tab w:val="left" w:pos="142"/>
        </w:tabs>
        <w:spacing w:after="0" w:line="240" w:lineRule="auto"/>
        <w:ind w:left="33" w:right="51"/>
        <w:jc w:val="both"/>
        <w:rPr>
          <w:rFonts w:asciiTheme="majorHAnsi" w:hAnsiTheme="majorHAnsi"/>
          <w:sz w:val="24"/>
          <w:szCs w:val="24"/>
          <w:u w:val="single"/>
          <w:lang w:val="es-ES"/>
        </w:rPr>
      </w:pPr>
      <w:r w:rsidRPr="00CA72A2">
        <w:rPr>
          <w:rFonts w:asciiTheme="majorHAnsi" w:hAnsiTheme="majorHAnsi"/>
          <w:sz w:val="24"/>
          <w:szCs w:val="24"/>
          <w:u w:val="single"/>
          <w:lang w:val="es-ES"/>
        </w:rPr>
        <w:t>Campos - Incidencias</w:t>
      </w:r>
    </w:p>
    <w:p w14:paraId="77B9D5C1" w14:textId="77777777" w:rsidR="00350287" w:rsidRPr="00CA72A2" w:rsidRDefault="00350287" w:rsidP="00350287">
      <w:pPr>
        <w:pStyle w:val="Prrafodelista"/>
        <w:tabs>
          <w:tab w:val="left" w:pos="142"/>
        </w:tabs>
        <w:spacing w:after="0" w:line="240" w:lineRule="auto"/>
        <w:ind w:left="33" w:right="51"/>
        <w:jc w:val="both"/>
        <w:rPr>
          <w:rFonts w:asciiTheme="majorHAnsi" w:hAnsiTheme="majorHAnsi"/>
          <w:sz w:val="24"/>
          <w:szCs w:val="24"/>
          <w:u w:val="single"/>
          <w:lang w:val="es-ES"/>
        </w:rPr>
      </w:pPr>
    </w:p>
    <w:p w14:paraId="2F4A453A" w14:textId="77777777" w:rsidR="00350287" w:rsidRPr="00CA72A2" w:rsidRDefault="00350287" w:rsidP="00350287">
      <w:pPr>
        <w:pStyle w:val="Prrafodelista"/>
        <w:numPr>
          <w:ilvl w:val="0"/>
          <w:numId w:val="13"/>
        </w:numPr>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lastRenderedPageBreak/>
        <w:t>Código interno de identificación del incidente (secuencial y asignado por la entidad).</w:t>
      </w:r>
    </w:p>
    <w:p w14:paraId="4F4E7C24" w14:textId="77777777" w:rsidR="00350287" w:rsidRPr="00CA72A2" w:rsidRDefault="00350287" w:rsidP="00350287">
      <w:pPr>
        <w:pStyle w:val="Prrafodelista"/>
        <w:numPr>
          <w:ilvl w:val="0"/>
          <w:numId w:val="13"/>
        </w:numPr>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Categoría de evento de pérdida (según las categorías de eventos señalados en el apartado II de estos lineamientos).</w:t>
      </w:r>
    </w:p>
    <w:p w14:paraId="10FD4227" w14:textId="77777777" w:rsidR="00350287" w:rsidRPr="00CA72A2" w:rsidRDefault="00350287" w:rsidP="00350287">
      <w:pPr>
        <w:pStyle w:val="Prrafodelista"/>
        <w:numPr>
          <w:ilvl w:val="0"/>
          <w:numId w:val="13"/>
        </w:numPr>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Línea de negocio asociado, según líneas señaladas en el apartado I de estos lineamientos.</w:t>
      </w:r>
    </w:p>
    <w:p w14:paraId="5EDF9A2C" w14:textId="77777777" w:rsidR="00350287" w:rsidRPr="00CA72A2" w:rsidRDefault="00350287" w:rsidP="00350287">
      <w:pPr>
        <w:pStyle w:val="Prrafodelista"/>
        <w:numPr>
          <w:ilvl w:val="0"/>
          <w:numId w:val="13"/>
        </w:numPr>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 xml:space="preserve">Título del riesgo.  Corresponde a la frase con que se da a conocer el nombre o asunto distintivo. </w:t>
      </w:r>
    </w:p>
    <w:p w14:paraId="432A792E" w14:textId="77777777" w:rsidR="00350287" w:rsidRPr="00CA72A2" w:rsidRDefault="00350287" w:rsidP="00350287">
      <w:pPr>
        <w:pStyle w:val="Prrafodelista"/>
        <w:numPr>
          <w:ilvl w:val="0"/>
          <w:numId w:val="13"/>
        </w:numPr>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Descripción del riesgo.</w:t>
      </w:r>
    </w:p>
    <w:p w14:paraId="4F77A277" w14:textId="77777777" w:rsidR="00350287" w:rsidRPr="00CA72A2" w:rsidRDefault="00350287" w:rsidP="00350287">
      <w:pPr>
        <w:spacing w:line="240" w:lineRule="auto"/>
        <w:ind w:left="1134" w:right="51" w:hanging="567"/>
        <w:rPr>
          <w:rFonts w:asciiTheme="majorHAnsi" w:hAnsiTheme="majorHAnsi"/>
          <w:sz w:val="24"/>
        </w:rPr>
      </w:pPr>
      <w:r w:rsidRPr="00CA72A2">
        <w:rPr>
          <w:rFonts w:asciiTheme="majorHAnsi" w:hAnsiTheme="majorHAnsi"/>
          <w:sz w:val="24"/>
        </w:rPr>
        <w:t>5.1 Carácter del riesgo</w:t>
      </w:r>
    </w:p>
    <w:p w14:paraId="3BA09762" w14:textId="77777777" w:rsidR="00350287" w:rsidRPr="00CA72A2" w:rsidRDefault="00350287" w:rsidP="00350287">
      <w:pPr>
        <w:spacing w:line="240" w:lineRule="auto"/>
        <w:ind w:left="1701" w:right="51" w:hanging="567"/>
        <w:rPr>
          <w:rFonts w:asciiTheme="majorHAnsi" w:hAnsiTheme="majorHAnsi"/>
          <w:sz w:val="24"/>
        </w:rPr>
      </w:pPr>
      <w:r w:rsidRPr="00CA72A2">
        <w:rPr>
          <w:rFonts w:asciiTheme="majorHAnsi" w:hAnsiTheme="majorHAnsi"/>
          <w:sz w:val="24"/>
        </w:rPr>
        <w:t>5.1.1 Pérdida ocurrida individual</w:t>
      </w:r>
    </w:p>
    <w:p w14:paraId="1ADC5083" w14:textId="77777777" w:rsidR="00350287" w:rsidRPr="00CA72A2" w:rsidRDefault="00350287" w:rsidP="00350287">
      <w:pPr>
        <w:spacing w:line="240" w:lineRule="auto"/>
        <w:ind w:left="1701" w:right="51" w:hanging="567"/>
        <w:rPr>
          <w:rFonts w:asciiTheme="majorHAnsi" w:hAnsiTheme="majorHAnsi"/>
          <w:sz w:val="24"/>
        </w:rPr>
      </w:pPr>
      <w:r w:rsidRPr="00CA72A2">
        <w:rPr>
          <w:rFonts w:asciiTheme="majorHAnsi" w:hAnsiTheme="majorHAnsi"/>
          <w:sz w:val="24"/>
        </w:rPr>
        <w:t>5.1.2 Pérdida ocurrida repetitiva</w:t>
      </w:r>
    </w:p>
    <w:p w14:paraId="11097720" w14:textId="77777777" w:rsidR="00350287" w:rsidRPr="00CA72A2" w:rsidRDefault="00350287" w:rsidP="00350287">
      <w:pPr>
        <w:spacing w:line="240" w:lineRule="auto"/>
        <w:ind w:left="1701" w:right="51" w:hanging="567"/>
        <w:rPr>
          <w:rFonts w:asciiTheme="majorHAnsi" w:hAnsiTheme="majorHAnsi"/>
          <w:sz w:val="24"/>
        </w:rPr>
      </w:pPr>
      <w:r w:rsidRPr="00CA72A2">
        <w:rPr>
          <w:rFonts w:asciiTheme="majorHAnsi" w:hAnsiTheme="majorHAnsi"/>
          <w:sz w:val="24"/>
        </w:rPr>
        <w:t>5.1.3 Pérdida estimada contablemente</w:t>
      </w:r>
    </w:p>
    <w:p w14:paraId="332BCFAE" w14:textId="77777777" w:rsidR="00350287" w:rsidRPr="00CA72A2" w:rsidRDefault="00350287" w:rsidP="00350287">
      <w:pPr>
        <w:spacing w:line="240" w:lineRule="auto"/>
        <w:ind w:left="1134" w:right="51" w:hanging="567"/>
        <w:rPr>
          <w:rFonts w:asciiTheme="majorHAnsi" w:hAnsiTheme="majorHAnsi"/>
          <w:sz w:val="24"/>
        </w:rPr>
      </w:pPr>
      <w:r w:rsidRPr="00CA72A2">
        <w:rPr>
          <w:rFonts w:asciiTheme="majorHAnsi" w:hAnsiTheme="majorHAnsi"/>
          <w:sz w:val="24"/>
        </w:rPr>
        <w:t>5.2 Detalle.</w:t>
      </w:r>
    </w:p>
    <w:p w14:paraId="362BFDCD" w14:textId="77777777" w:rsidR="00350287" w:rsidRPr="00CA72A2" w:rsidRDefault="00350287" w:rsidP="00350287">
      <w:pPr>
        <w:pStyle w:val="Prrafodelista"/>
        <w:numPr>
          <w:ilvl w:val="0"/>
          <w:numId w:val="13"/>
        </w:numPr>
        <w:tabs>
          <w:tab w:val="left" w:pos="142"/>
        </w:tabs>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Proceso o área a la que pertenece el riesgo.</w:t>
      </w:r>
    </w:p>
    <w:p w14:paraId="50B46881" w14:textId="77777777" w:rsidR="00350287" w:rsidRPr="00CA72A2" w:rsidRDefault="00350287" w:rsidP="00350287">
      <w:pPr>
        <w:tabs>
          <w:tab w:val="left" w:pos="142"/>
        </w:tabs>
        <w:spacing w:line="240" w:lineRule="auto"/>
        <w:ind w:left="1134" w:right="51" w:hanging="567"/>
        <w:rPr>
          <w:rFonts w:asciiTheme="majorHAnsi" w:hAnsiTheme="majorHAnsi"/>
          <w:sz w:val="24"/>
        </w:rPr>
      </w:pPr>
      <w:r w:rsidRPr="00CA72A2">
        <w:rPr>
          <w:rFonts w:asciiTheme="majorHAnsi" w:hAnsiTheme="majorHAnsi"/>
          <w:sz w:val="24"/>
        </w:rPr>
        <w:t>6.1</w:t>
      </w:r>
      <w:r w:rsidRPr="00CA72A2">
        <w:rPr>
          <w:rFonts w:asciiTheme="majorHAnsi" w:hAnsiTheme="majorHAnsi"/>
          <w:sz w:val="24"/>
        </w:rPr>
        <w:tab/>
        <w:t>Área de negocio</w:t>
      </w:r>
    </w:p>
    <w:p w14:paraId="3419FE32" w14:textId="77777777" w:rsidR="00350287" w:rsidRPr="00CA72A2" w:rsidRDefault="00350287" w:rsidP="00350287">
      <w:pPr>
        <w:tabs>
          <w:tab w:val="left" w:pos="142"/>
        </w:tabs>
        <w:spacing w:line="240" w:lineRule="auto"/>
        <w:ind w:left="1134" w:right="51" w:hanging="567"/>
        <w:rPr>
          <w:rFonts w:asciiTheme="majorHAnsi" w:hAnsiTheme="majorHAnsi"/>
          <w:sz w:val="24"/>
        </w:rPr>
      </w:pPr>
      <w:r w:rsidRPr="00CA72A2">
        <w:rPr>
          <w:rFonts w:asciiTheme="majorHAnsi" w:hAnsiTheme="majorHAnsi"/>
          <w:sz w:val="24"/>
        </w:rPr>
        <w:t>6.2</w:t>
      </w:r>
      <w:r w:rsidRPr="00CA72A2">
        <w:rPr>
          <w:rFonts w:asciiTheme="majorHAnsi" w:hAnsiTheme="majorHAnsi"/>
          <w:sz w:val="24"/>
        </w:rPr>
        <w:tab/>
        <w:t>Proceso</w:t>
      </w:r>
    </w:p>
    <w:p w14:paraId="64399C21" w14:textId="77777777" w:rsidR="00350287" w:rsidRPr="00CA72A2" w:rsidRDefault="00350287" w:rsidP="00350287">
      <w:pPr>
        <w:tabs>
          <w:tab w:val="left" w:pos="142"/>
        </w:tabs>
        <w:spacing w:line="240" w:lineRule="auto"/>
        <w:ind w:left="1701" w:right="51" w:hanging="567"/>
        <w:rPr>
          <w:rFonts w:asciiTheme="majorHAnsi" w:hAnsiTheme="majorHAnsi"/>
          <w:sz w:val="24"/>
        </w:rPr>
      </w:pPr>
      <w:r w:rsidRPr="00CA72A2">
        <w:rPr>
          <w:rFonts w:asciiTheme="majorHAnsi" w:hAnsiTheme="majorHAnsi"/>
          <w:sz w:val="24"/>
        </w:rPr>
        <w:t>6.2.1 Subproceso</w:t>
      </w:r>
    </w:p>
    <w:p w14:paraId="11278145" w14:textId="77777777" w:rsidR="00350287" w:rsidRPr="00CA72A2" w:rsidRDefault="00350287" w:rsidP="00350287">
      <w:pPr>
        <w:tabs>
          <w:tab w:val="left" w:pos="142"/>
        </w:tabs>
        <w:spacing w:line="240" w:lineRule="auto"/>
        <w:ind w:left="1134" w:right="51" w:hanging="567"/>
        <w:rPr>
          <w:rFonts w:asciiTheme="majorHAnsi" w:hAnsiTheme="majorHAnsi"/>
          <w:sz w:val="24"/>
        </w:rPr>
      </w:pPr>
      <w:r w:rsidRPr="00CA72A2">
        <w:rPr>
          <w:rFonts w:asciiTheme="majorHAnsi" w:hAnsiTheme="majorHAnsi"/>
          <w:sz w:val="24"/>
        </w:rPr>
        <w:t>6.3</w:t>
      </w:r>
      <w:r w:rsidRPr="00CA72A2">
        <w:rPr>
          <w:rFonts w:asciiTheme="majorHAnsi" w:hAnsiTheme="majorHAnsi"/>
          <w:sz w:val="24"/>
        </w:rPr>
        <w:tab/>
        <w:t>Producto</w:t>
      </w:r>
    </w:p>
    <w:p w14:paraId="33970165"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t xml:space="preserve">Fecha de ocurrencia (o de inicio del riesgo). </w:t>
      </w:r>
    </w:p>
    <w:p w14:paraId="431D448D"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t>Fecha de conclusión del riesgo.</w:t>
      </w:r>
    </w:p>
    <w:p w14:paraId="54DBAC4A"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t>Fecha de descubrimiento del riesgo.</w:t>
      </w:r>
    </w:p>
    <w:p w14:paraId="0A6D6F46"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t>Fecha de registro contable del riesgo.</w:t>
      </w:r>
    </w:p>
    <w:p w14:paraId="2352827C"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t>Monto bruto de la pérdida, moneda y tipo de cambio.</w:t>
      </w:r>
    </w:p>
    <w:p w14:paraId="2F648F69"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t>Monto total recuperado.</w:t>
      </w:r>
    </w:p>
    <w:p w14:paraId="3FDE8A1C"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t>Monto neto de la pérdida, moneda y tipo de cambio.</w:t>
      </w:r>
    </w:p>
    <w:p w14:paraId="57651B47"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t>Cuenta(s) contable(s) asociada(s) (cuando aplique).</w:t>
      </w:r>
    </w:p>
    <w:p w14:paraId="5CD45B17"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lastRenderedPageBreak/>
        <w:t>Acción correctiva asociada.</w:t>
      </w:r>
    </w:p>
    <w:p w14:paraId="59B77B90" w14:textId="77777777" w:rsidR="00350287" w:rsidRPr="00CA72A2" w:rsidRDefault="00350287" w:rsidP="00350287">
      <w:pPr>
        <w:pStyle w:val="Prrafodelista"/>
        <w:numPr>
          <w:ilvl w:val="0"/>
          <w:numId w:val="13"/>
        </w:numPr>
        <w:tabs>
          <w:tab w:val="left" w:pos="142"/>
        </w:tabs>
        <w:spacing w:after="0" w:line="240" w:lineRule="auto"/>
        <w:ind w:left="33" w:right="51" w:firstLine="0"/>
        <w:jc w:val="both"/>
        <w:rPr>
          <w:rFonts w:asciiTheme="majorHAnsi" w:hAnsiTheme="majorHAnsi"/>
          <w:sz w:val="24"/>
          <w:szCs w:val="24"/>
        </w:rPr>
      </w:pPr>
      <w:r w:rsidRPr="00CA72A2">
        <w:rPr>
          <w:rFonts w:asciiTheme="majorHAnsi" w:hAnsiTheme="majorHAnsi"/>
          <w:sz w:val="24"/>
          <w:szCs w:val="24"/>
        </w:rPr>
        <w:t>Vínculo con otro riesgo.</w:t>
      </w:r>
    </w:p>
    <w:p w14:paraId="6F0C26F7" w14:textId="77777777" w:rsidR="00350287" w:rsidRPr="00CA72A2" w:rsidRDefault="00350287" w:rsidP="00350287">
      <w:pPr>
        <w:tabs>
          <w:tab w:val="left" w:pos="142"/>
        </w:tabs>
        <w:spacing w:line="240" w:lineRule="auto"/>
        <w:ind w:left="1276" w:right="51" w:hanging="567"/>
        <w:rPr>
          <w:rFonts w:asciiTheme="majorHAnsi" w:hAnsiTheme="majorHAnsi"/>
          <w:sz w:val="24"/>
        </w:rPr>
      </w:pPr>
      <w:r w:rsidRPr="00CA72A2">
        <w:rPr>
          <w:rFonts w:asciiTheme="majorHAnsi" w:hAnsiTheme="majorHAnsi"/>
          <w:sz w:val="24"/>
        </w:rPr>
        <w:t>16.1 Crédito</w:t>
      </w:r>
    </w:p>
    <w:p w14:paraId="403FC1E6" w14:textId="77777777" w:rsidR="00350287" w:rsidRPr="00CA72A2" w:rsidRDefault="00350287" w:rsidP="00350287">
      <w:pPr>
        <w:tabs>
          <w:tab w:val="left" w:pos="142"/>
        </w:tabs>
        <w:spacing w:line="240" w:lineRule="auto"/>
        <w:ind w:left="1276" w:right="51" w:hanging="567"/>
        <w:rPr>
          <w:rFonts w:asciiTheme="majorHAnsi" w:hAnsiTheme="majorHAnsi"/>
          <w:sz w:val="24"/>
        </w:rPr>
      </w:pPr>
      <w:r w:rsidRPr="00CA72A2">
        <w:rPr>
          <w:rFonts w:asciiTheme="majorHAnsi" w:hAnsiTheme="majorHAnsi"/>
          <w:sz w:val="24"/>
        </w:rPr>
        <w:t>16.2 Mercado</w:t>
      </w:r>
    </w:p>
    <w:p w14:paraId="68FE6B3F" w14:textId="77777777" w:rsidR="00350287" w:rsidRPr="00CA72A2" w:rsidRDefault="00350287" w:rsidP="00350287">
      <w:pPr>
        <w:tabs>
          <w:tab w:val="left" w:pos="142"/>
        </w:tabs>
        <w:spacing w:line="240" w:lineRule="auto"/>
        <w:ind w:left="1276" w:right="51" w:hanging="567"/>
        <w:rPr>
          <w:rFonts w:asciiTheme="majorHAnsi" w:hAnsiTheme="majorHAnsi"/>
          <w:sz w:val="24"/>
        </w:rPr>
      </w:pPr>
      <w:r w:rsidRPr="00CA72A2">
        <w:rPr>
          <w:rFonts w:asciiTheme="majorHAnsi" w:hAnsiTheme="majorHAnsi"/>
          <w:sz w:val="24"/>
        </w:rPr>
        <w:t>16.3 Crédito y Mercado</w:t>
      </w:r>
    </w:p>
    <w:p w14:paraId="03652FCD" w14:textId="77777777" w:rsidR="00350287" w:rsidRPr="00CA72A2" w:rsidRDefault="00350287" w:rsidP="00350287">
      <w:pPr>
        <w:tabs>
          <w:tab w:val="left" w:pos="142"/>
        </w:tabs>
        <w:spacing w:line="240" w:lineRule="auto"/>
        <w:ind w:left="1276" w:right="51" w:hanging="567"/>
        <w:rPr>
          <w:rFonts w:asciiTheme="majorHAnsi" w:hAnsiTheme="majorHAnsi"/>
          <w:sz w:val="24"/>
        </w:rPr>
      </w:pPr>
      <w:r w:rsidRPr="00CA72A2">
        <w:rPr>
          <w:rFonts w:asciiTheme="majorHAnsi" w:hAnsiTheme="majorHAnsi"/>
          <w:sz w:val="24"/>
        </w:rPr>
        <w:t>16.4 Otros</w:t>
      </w:r>
    </w:p>
    <w:p w14:paraId="5BE76BC4" w14:textId="77777777" w:rsidR="00350287" w:rsidRPr="00CA72A2" w:rsidRDefault="00350287" w:rsidP="00350287">
      <w:pPr>
        <w:tabs>
          <w:tab w:val="left" w:pos="142"/>
        </w:tabs>
        <w:spacing w:line="240" w:lineRule="auto"/>
        <w:ind w:left="33" w:right="51"/>
        <w:rPr>
          <w:rFonts w:asciiTheme="majorHAnsi" w:hAnsiTheme="majorHAnsi"/>
          <w:sz w:val="24"/>
        </w:rPr>
      </w:pPr>
    </w:p>
    <w:p w14:paraId="581E230E" w14:textId="77777777" w:rsidR="00350287" w:rsidRPr="00CA72A2" w:rsidRDefault="00350287" w:rsidP="00350287">
      <w:pPr>
        <w:pStyle w:val="Prrafodelista"/>
        <w:tabs>
          <w:tab w:val="left" w:pos="142"/>
        </w:tabs>
        <w:spacing w:after="0" w:line="240" w:lineRule="auto"/>
        <w:ind w:left="33" w:right="51"/>
        <w:jc w:val="both"/>
        <w:rPr>
          <w:rFonts w:asciiTheme="majorHAnsi" w:hAnsiTheme="majorHAnsi"/>
          <w:sz w:val="24"/>
          <w:szCs w:val="24"/>
          <w:u w:val="single"/>
          <w:lang w:val="es-ES"/>
        </w:rPr>
      </w:pPr>
      <w:r w:rsidRPr="00CA72A2">
        <w:rPr>
          <w:rFonts w:asciiTheme="majorHAnsi" w:hAnsiTheme="majorHAnsi"/>
          <w:sz w:val="24"/>
          <w:szCs w:val="24"/>
          <w:u w:val="single"/>
          <w:lang w:val="es-ES"/>
        </w:rPr>
        <w:t>Campos – Eventos Potenciales</w:t>
      </w:r>
    </w:p>
    <w:p w14:paraId="1733BCA9" w14:textId="77777777" w:rsidR="00350287" w:rsidRPr="00CA72A2" w:rsidRDefault="00350287" w:rsidP="00350287">
      <w:pPr>
        <w:pStyle w:val="Prrafodelista"/>
        <w:tabs>
          <w:tab w:val="left" w:pos="142"/>
        </w:tabs>
        <w:spacing w:after="0" w:line="240" w:lineRule="auto"/>
        <w:ind w:left="33" w:right="51"/>
        <w:jc w:val="both"/>
        <w:rPr>
          <w:rFonts w:asciiTheme="majorHAnsi" w:hAnsiTheme="majorHAnsi"/>
          <w:b/>
          <w:sz w:val="24"/>
          <w:szCs w:val="24"/>
          <w:u w:val="single"/>
        </w:rPr>
      </w:pPr>
    </w:p>
    <w:p w14:paraId="36D95A70" w14:textId="77777777" w:rsidR="00350287" w:rsidRPr="00CA72A2" w:rsidRDefault="00350287" w:rsidP="00350287">
      <w:pPr>
        <w:pStyle w:val="Prrafodelista"/>
        <w:numPr>
          <w:ilvl w:val="0"/>
          <w:numId w:val="14"/>
        </w:numPr>
        <w:tabs>
          <w:tab w:val="left" w:pos="142"/>
        </w:tabs>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Código interno de identificación del evento (secuencial y asignado por la entidad).</w:t>
      </w:r>
    </w:p>
    <w:p w14:paraId="4B6F599F" w14:textId="77777777" w:rsidR="00350287" w:rsidRPr="00CA72A2" w:rsidRDefault="00350287" w:rsidP="00350287">
      <w:pPr>
        <w:pStyle w:val="Prrafodelista"/>
        <w:numPr>
          <w:ilvl w:val="0"/>
          <w:numId w:val="14"/>
        </w:numPr>
        <w:tabs>
          <w:tab w:val="left" w:pos="142"/>
        </w:tabs>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Categoría de evento de pérdida (según las categorías de eventos señalados en el apartado II de estos lineamientos).</w:t>
      </w:r>
    </w:p>
    <w:p w14:paraId="09CE07ED" w14:textId="77777777" w:rsidR="00350287" w:rsidRPr="00CA72A2" w:rsidRDefault="00350287" w:rsidP="00350287">
      <w:pPr>
        <w:pStyle w:val="Prrafodelista"/>
        <w:numPr>
          <w:ilvl w:val="0"/>
          <w:numId w:val="14"/>
        </w:numPr>
        <w:tabs>
          <w:tab w:val="left" w:pos="142"/>
        </w:tabs>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Línea de negocio asociado, según líneas señaladas en el apartado I de estos lineamientos.</w:t>
      </w:r>
    </w:p>
    <w:p w14:paraId="4012B66F" w14:textId="77777777" w:rsidR="00350287" w:rsidRPr="00CA72A2" w:rsidRDefault="00350287" w:rsidP="00350287">
      <w:pPr>
        <w:pStyle w:val="Prrafodelista"/>
        <w:numPr>
          <w:ilvl w:val="0"/>
          <w:numId w:val="14"/>
        </w:numPr>
        <w:tabs>
          <w:tab w:val="left" w:pos="142"/>
        </w:tabs>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 xml:space="preserve">Título del evento.  Corresponde a la frase con que se da a conocer el nombre o asunto distintivo. </w:t>
      </w:r>
    </w:p>
    <w:p w14:paraId="28EDA807" w14:textId="77777777" w:rsidR="00350287" w:rsidRPr="00CA72A2" w:rsidRDefault="00350287" w:rsidP="00350287">
      <w:pPr>
        <w:pStyle w:val="Prrafodelista"/>
        <w:numPr>
          <w:ilvl w:val="0"/>
          <w:numId w:val="14"/>
        </w:numPr>
        <w:tabs>
          <w:tab w:val="left" w:pos="142"/>
        </w:tabs>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Descripción del evento.</w:t>
      </w:r>
    </w:p>
    <w:p w14:paraId="4053D701" w14:textId="77777777" w:rsidR="00350287" w:rsidRPr="00CA72A2" w:rsidRDefault="00350287" w:rsidP="00350287">
      <w:pPr>
        <w:spacing w:line="240" w:lineRule="auto"/>
        <w:ind w:left="1134" w:right="51" w:hanging="534"/>
        <w:rPr>
          <w:rFonts w:asciiTheme="majorHAnsi" w:hAnsiTheme="majorHAnsi"/>
          <w:sz w:val="24"/>
        </w:rPr>
      </w:pPr>
      <w:r w:rsidRPr="00CA72A2">
        <w:rPr>
          <w:rFonts w:asciiTheme="majorHAnsi" w:hAnsiTheme="majorHAnsi"/>
          <w:sz w:val="24"/>
        </w:rPr>
        <w:t>5.1 Carácter del evento</w:t>
      </w:r>
    </w:p>
    <w:p w14:paraId="6B6C1F9F" w14:textId="77777777" w:rsidR="00350287" w:rsidRPr="00CA72A2" w:rsidRDefault="00350287" w:rsidP="00350287">
      <w:pPr>
        <w:spacing w:line="240" w:lineRule="auto"/>
        <w:ind w:left="1701" w:right="51" w:hanging="534"/>
        <w:rPr>
          <w:rFonts w:asciiTheme="majorHAnsi" w:hAnsiTheme="majorHAnsi"/>
          <w:sz w:val="24"/>
        </w:rPr>
      </w:pPr>
      <w:r w:rsidRPr="00CA72A2">
        <w:rPr>
          <w:rFonts w:asciiTheme="majorHAnsi" w:hAnsiTheme="majorHAnsi"/>
          <w:sz w:val="24"/>
        </w:rPr>
        <w:t>5.1.1 Cuasipérdida</w:t>
      </w:r>
    </w:p>
    <w:p w14:paraId="2E0603EF" w14:textId="77777777" w:rsidR="00350287" w:rsidRPr="00CA72A2" w:rsidRDefault="00350287" w:rsidP="00350287">
      <w:pPr>
        <w:spacing w:line="240" w:lineRule="auto"/>
        <w:ind w:left="1134" w:right="51" w:hanging="534"/>
        <w:rPr>
          <w:rFonts w:asciiTheme="majorHAnsi" w:hAnsiTheme="majorHAnsi"/>
          <w:sz w:val="24"/>
        </w:rPr>
      </w:pPr>
      <w:r w:rsidRPr="00CA72A2">
        <w:rPr>
          <w:rFonts w:asciiTheme="majorHAnsi" w:hAnsiTheme="majorHAnsi"/>
          <w:sz w:val="24"/>
        </w:rPr>
        <w:t>5.2 Detalle</w:t>
      </w:r>
    </w:p>
    <w:p w14:paraId="37D1B454" w14:textId="77777777" w:rsidR="00350287" w:rsidRPr="00CA72A2" w:rsidRDefault="00350287" w:rsidP="00350287">
      <w:pPr>
        <w:pStyle w:val="Prrafodelista"/>
        <w:numPr>
          <w:ilvl w:val="0"/>
          <w:numId w:val="14"/>
        </w:numPr>
        <w:tabs>
          <w:tab w:val="left" w:pos="142"/>
        </w:tabs>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Proceso o área a la que pertenece el evento.</w:t>
      </w:r>
    </w:p>
    <w:p w14:paraId="02FFBF74" w14:textId="77777777" w:rsidR="00350287" w:rsidRPr="00CA72A2" w:rsidRDefault="00350287" w:rsidP="00350287">
      <w:pPr>
        <w:tabs>
          <w:tab w:val="left" w:pos="142"/>
        </w:tabs>
        <w:spacing w:line="240" w:lineRule="auto"/>
        <w:ind w:left="1134" w:right="51" w:hanging="534"/>
        <w:rPr>
          <w:rFonts w:asciiTheme="majorHAnsi" w:hAnsiTheme="majorHAnsi"/>
          <w:sz w:val="24"/>
        </w:rPr>
      </w:pPr>
      <w:r w:rsidRPr="00CA72A2">
        <w:rPr>
          <w:rFonts w:asciiTheme="majorHAnsi" w:hAnsiTheme="majorHAnsi"/>
          <w:sz w:val="24"/>
        </w:rPr>
        <w:t>6.1 Área de negocio.</w:t>
      </w:r>
    </w:p>
    <w:p w14:paraId="28607CD0" w14:textId="77777777" w:rsidR="00350287" w:rsidRPr="00CA72A2" w:rsidRDefault="00350287" w:rsidP="00350287">
      <w:pPr>
        <w:tabs>
          <w:tab w:val="left" w:pos="142"/>
        </w:tabs>
        <w:spacing w:line="240" w:lineRule="auto"/>
        <w:ind w:left="1134" w:right="51" w:hanging="534"/>
        <w:rPr>
          <w:rFonts w:asciiTheme="majorHAnsi" w:hAnsiTheme="majorHAnsi"/>
          <w:sz w:val="24"/>
        </w:rPr>
      </w:pPr>
      <w:r w:rsidRPr="00CA72A2">
        <w:rPr>
          <w:rFonts w:asciiTheme="majorHAnsi" w:hAnsiTheme="majorHAnsi"/>
          <w:sz w:val="24"/>
        </w:rPr>
        <w:t>6.2 Proceso</w:t>
      </w:r>
    </w:p>
    <w:p w14:paraId="18A10FD5" w14:textId="77777777" w:rsidR="00350287" w:rsidRPr="00CA72A2" w:rsidRDefault="00350287" w:rsidP="00350287">
      <w:pPr>
        <w:tabs>
          <w:tab w:val="left" w:pos="142"/>
        </w:tabs>
        <w:spacing w:line="240" w:lineRule="auto"/>
        <w:ind w:left="1701" w:right="51" w:hanging="534"/>
        <w:rPr>
          <w:rFonts w:asciiTheme="majorHAnsi" w:hAnsiTheme="majorHAnsi"/>
          <w:sz w:val="24"/>
        </w:rPr>
      </w:pPr>
      <w:r w:rsidRPr="00CA72A2">
        <w:rPr>
          <w:rFonts w:asciiTheme="majorHAnsi" w:hAnsiTheme="majorHAnsi"/>
          <w:sz w:val="24"/>
        </w:rPr>
        <w:t>6.2.1 Subproceso</w:t>
      </w:r>
    </w:p>
    <w:p w14:paraId="75E927CE" w14:textId="77777777" w:rsidR="00350287" w:rsidRPr="00CA72A2" w:rsidRDefault="00350287" w:rsidP="00350287">
      <w:pPr>
        <w:tabs>
          <w:tab w:val="left" w:pos="142"/>
        </w:tabs>
        <w:spacing w:line="240" w:lineRule="auto"/>
        <w:ind w:left="1134" w:right="51" w:hanging="534"/>
        <w:rPr>
          <w:rFonts w:asciiTheme="majorHAnsi" w:hAnsiTheme="majorHAnsi"/>
          <w:sz w:val="24"/>
        </w:rPr>
      </w:pPr>
      <w:r w:rsidRPr="00CA72A2">
        <w:rPr>
          <w:rFonts w:asciiTheme="majorHAnsi" w:hAnsiTheme="majorHAnsi"/>
          <w:sz w:val="24"/>
        </w:rPr>
        <w:t>6.3 Producto</w:t>
      </w:r>
    </w:p>
    <w:p w14:paraId="0CA90A57" w14:textId="77777777" w:rsidR="00350287" w:rsidRPr="00CA72A2" w:rsidRDefault="00350287" w:rsidP="00350287">
      <w:pPr>
        <w:pStyle w:val="Prrafodelista"/>
        <w:numPr>
          <w:ilvl w:val="0"/>
          <w:numId w:val="14"/>
        </w:numPr>
        <w:tabs>
          <w:tab w:val="left" w:pos="142"/>
        </w:tabs>
        <w:spacing w:after="0" w:line="240" w:lineRule="auto"/>
        <w:ind w:left="567" w:right="51" w:hanging="534"/>
        <w:jc w:val="both"/>
        <w:rPr>
          <w:rFonts w:asciiTheme="majorHAnsi" w:hAnsiTheme="majorHAnsi"/>
          <w:sz w:val="24"/>
          <w:szCs w:val="24"/>
        </w:rPr>
      </w:pPr>
      <w:r w:rsidRPr="00CA72A2">
        <w:rPr>
          <w:rFonts w:asciiTheme="majorHAnsi" w:hAnsiTheme="majorHAnsi"/>
          <w:sz w:val="24"/>
          <w:szCs w:val="24"/>
        </w:rPr>
        <w:t>Monto estimado de la pérdida, moneda y tipo de cambio.</w:t>
      </w:r>
    </w:p>
    <w:p w14:paraId="4BFE72DD" w14:textId="77777777" w:rsidR="00350287" w:rsidRPr="00CA72A2" w:rsidRDefault="00350287" w:rsidP="00350287">
      <w:pPr>
        <w:widowControl w:val="0"/>
        <w:tabs>
          <w:tab w:val="left" w:pos="142"/>
        </w:tabs>
        <w:spacing w:line="240" w:lineRule="auto"/>
        <w:ind w:left="33"/>
        <w:rPr>
          <w:rFonts w:asciiTheme="majorHAnsi" w:hAnsiTheme="majorHAnsi"/>
          <w:sz w:val="24"/>
        </w:rPr>
      </w:pPr>
    </w:p>
    <w:p w14:paraId="7B895828" w14:textId="77777777" w:rsidR="00350287" w:rsidRPr="00CA72A2" w:rsidRDefault="00350287" w:rsidP="00350287">
      <w:pPr>
        <w:widowControl w:val="0"/>
        <w:tabs>
          <w:tab w:val="left" w:pos="142"/>
        </w:tabs>
        <w:spacing w:line="240" w:lineRule="auto"/>
        <w:ind w:left="33"/>
        <w:rPr>
          <w:rFonts w:asciiTheme="majorHAnsi" w:hAnsiTheme="majorHAnsi"/>
          <w:sz w:val="24"/>
        </w:rPr>
      </w:pPr>
      <w:r w:rsidRPr="00CA72A2">
        <w:rPr>
          <w:rFonts w:asciiTheme="majorHAnsi" w:hAnsiTheme="majorHAnsi"/>
          <w:sz w:val="24"/>
        </w:rPr>
        <w:t>De seguido se presentan orientaciones generales en relación a la información que se debe consignar en la base de datos de incidencias y para eventos potenciales de riesgo operativo:</w:t>
      </w:r>
    </w:p>
    <w:p w14:paraId="5F07E87F" w14:textId="77777777" w:rsidR="00350287" w:rsidRPr="00CA72A2" w:rsidRDefault="00350287" w:rsidP="00350287">
      <w:pPr>
        <w:widowControl w:val="0"/>
        <w:tabs>
          <w:tab w:val="left" w:pos="142"/>
        </w:tabs>
        <w:spacing w:line="240" w:lineRule="auto"/>
        <w:ind w:left="33"/>
        <w:rPr>
          <w:rFonts w:asciiTheme="majorHAnsi" w:hAnsiTheme="majorHAnsi"/>
          <w:sz w:val="24"/>
        </w:rPr>
      </w:pPr>
    </w:p>
    <w:p w14:paraId="4D6F349D" w14:textId="77777777" w:rsidR="00350287" w:rsidRPr="00CA72A2" w:rsidRDefault="00350287" w:rsidP="00350287">
      <w:pPr>
        <w:pStyle w:val="Prrafodelista"/>
        <w:widowControl w:val="0"/>
        <w:numPr>
          <w:ilvl w:val="0"/>
          <w:numId w:val="20"/>
        </w:numPr>
        <w:spacing w:after="0" w:line="240" w:lineRule="auto"/>
        <w:ind w:left="567" w:hanging="534"/>
        <w:jc w:val="both"/>
        <w:rPr>
          <w:rFonts w:asciiTheme="majorHAnsi" w:hAnsiTheme="majorHAnsi"/>
          <w:sz w:val="24"/>
          <w:szCs w:val="24"/>
        </w:rPr>
      </w:pPr>
      <w:r w:rsidRPr="00CA72A2">
        <w:rPr>
          <w:rFonts w:asciiTheme="majorHAnsi" w:hAnsiTheme="majorHAnsi"/>
          <w:sz w:val="24"/>
          <w:szCs w:val="24"/>
        </w:rPr>
        <w:t>En las bases de datos se deben registrar todos los eventos que, siendo cuantificables, hayan generado pérdidas o hayan sido provisionados contablemente en el caso de incidencias. Asimismo, en la medida que puedan ser claramente identificados y cuantificados, se deben informar las cuasipérdidas de eventos potenciales.</w:t>
      </w:r>
    </w:p>
    <w:p w14:paraId="3E425B21" w14:textId="77777777" w:rsidR="00350287" w:rsidRPr="00CA72A2" w:rsidRDefault="00350287" w:rsidP="00350287">
      <w:pPr>
        <w:widowControl w:val="0"/>
        <w:tabs>
          <w:tab w:val="left" w:pos="142"/>
        </w:tabs>
        <w:spacing w:line="240" w:lineRule="auto"/>
        <w:ind w:left="33"/>
        <w:rPr>
          <w:rFonts w:asciiTheme="majorHAnsi" w:hAnsiTheme="majorHAnsi"/>
          <w:sz w:val="24"/>
          <w:lang w:val="es-CR"/>
        </w:rPr>
      </w:pPr>
    </w:p>
    <w:p w14:paraId="12AED0A4" w14:textId="77777777" w:rsidR="00350287" w:rsidRPr="00CA72A2" w:rsidRDefault="00350287" w:rsidP="00350287">
      <w:pPr>
        <w:pStyle w:val="Prrafodelista"/>
        <w:widowControl w:val="0"/>
        <w:numPr>
          <w:ilvl w:val="0"/>
          <w:numId w:val="20"/>
        </w:numPr>
        <w:spacing w:after="0" w:line="240" w:lineRule="auto"/>
        <w:ind w:left="567" w:hanging="534"/>
        <w:jc w:val="both"/>
        <w:rPr>
          <w:rFonts w:asciiTheme="majorHAnsi" w:hAnsiTheme="majorHAnsi"/>
          <w:bCs/>
          <w:sz w:val="24"/>
          <w:szCs w:val="24"/>
        </w:rPr>
      </w:pPr>
      <w:r w:rsidRPr="00CA72A2">
        <w:rPr>
          <w:rFonts w:asciiTheme="majorHAnsi" w:hAnsiTheme="majorHAnsi"/>
          <w:sz w:val="24"/>
          <w:szCs w:val="24"/>
        </w:rPr>
        <w:t xml:space="preserve">Para las incidencias se deben incluir aquellos eventos cuyo importe o monto, sin considerar el recupero, supere el umbral mínimo establecido por la </w:t>
      </w:r>
      <w:r w:rsidRPr="00CA72A2">
        <w:rPr>
          <w:rFonts w:asciiTheme="majorHAnsi" w:hAnsiTheme="majorHAnsi"/>
          <w:bCs/>
          <w:sz w:val="24"/>
          <w:szCs w:val="24"/>
        </w:rPr>
        <w:t>Junta Directiva o autoridad equivalente de la entidad. No obstante, aquellos eventos de similar naturaleza que individualmente no alcancen el monto mínimo pero su sumatoria lo exceda y se produzcan en el mismo mes (pérdidas repetitivas), deben ser incluidos e informados en forma consolidada.</w:t>
      </w:r>
    </w:p>
    <w:p w14:paraId="501AED70" w14:textId="77777777" w:rsidR="00C051E5" w:rsidRPr="00CA72A2" w:rsidRDefault="00C051E5" w:rsidP="00350287">
      <w:pPr>
        <w:widowControl w:val="0"/>
        <w:spacing w:line="240" w:lineRule="auto"/>
        <w:ind w:left="567" w:hanging="534"/>
        <w:rPr>
          <w:rFonts w:asciiTheme="majorHAnsi" w:hAnsiTheme="majorHAnsi"/>
          <w:sz w:val="24"/>
        </w:rPr>
      </w:pPr>
    </w:p>
    <w:p w14:paraId="5786DA46" w14:textId="77777777" w:rsidR="00350287" w:rsidRPr="00CA72A2" w:rsidRDefault="00350287" w:rsidP="00350287">
      <w:pPr>
        <w:widowControl w:val="0"/>
        <w:spacing w:line="240" w:lineRule="auto"/>
        <w:ind w:left="567" w:hanging="534"/>
        <w:rPr>
          <w:rFonts w:asciiTheme="majorHAnsi" w:hAnsiTheme="majorHAnsi"/>
          <w:sz w:val="24"/>
        </w:rPr>
      </w:pPr>
      <w:r w:rsidRPr="00CA72A2">
        <w:rPr>
          <w:rFonts w:asciiTheme="majorHAnsi" w:hAnsiTheme="majorHAnsi"/>
          <w:sz w:val="24"/>
        </w:rPr>
        <w:t>c)</w:t>
      </w:r>
      <w:r w:rsidRPr="00CA72A2">
        <w:rPr>
          <w:rFonts w:asciiTheme="majorHAnsi" w:hAnsiTheme="majorHAnsi"/>
          <w:sz w:val="24"/>
        </w:rPr>
        <w:tab/>
        <w:t>El monto recuperado debe asociarse y vincularse al riesgo original (causa raíz) y corresponde al importe obtenido.</w:t>
      </w:r>
    </w:p>
    <w:p w14:paraId="489BC586" w14:textId="77777777" w:rsidR="00C051E5" w:rsidRPr="00CA72A2" w:rsidRDefault="00C051E5" w:rsidP="00350287">
      <w:pPr>
        <w:spacing w:line="240" w:lineRule="auto"/>
        <w:ind w:left="567" w:hanging="534"/>
        <w:rPr>
          <w:rFonts w:asciiTheme="majorHAnsi" w:hAnsiTheme="majorHAnsi"/>
          <w:sz w:val="24"/>
        </w:rPr>
      </w:pPr>
    </w:p>
    <w:p w14:paraId="6B70A032" w14:textId="77777777" w:rsidR="00350287" w:rsidRPr="00CA72A2" w:rsidRDefault="00350287" w:rsidP="00350287">
      <w:pPr>
        <w:spacing w:line="240" w:lineRule="auto"/>
        <w:ind w:left="567" w:hanging="534"/>
        <w:rPr>
          <w:rFonts w:asciiTheme="majorHAnsi" w:hAnsiTheme="majorHAnsi"/>
          <w:sz w:val="24"/>
        </w:rPr>
      </w:pPr>
      <w:r w:rsidRPr="00CA72A2">
        <w:rPr>
          <w:rFonts w:asciiTheme="majorHAnsi" w:hAnsiTheme="majorHAnsi"/>
          <w:sz w:val="24"/>
        </w:rPr>
        <w:t>d)</w:t>
      </w:r>
      <w:r w:rsidRPr="00CA72A2">
        <w:rPr>
          <w:rFonts w:asciiTheme="majorHAnsi" w:hAnsiTheme="majorHAnsi"/>
          <w:sz w:val="24"/>
        </w:rPr>
        <w:tab/>
        <w:t xml:space="preserve">En el caso de riesgos con pérdidas múltiples (impactos múltiples), la entidad debe tener en cuenta la causa original (causa raíz) que ocasionó las pérdidas subsiguientes, de manera que la registre como si se tratase de un único incidente. </w:t>
      </w:r>
    </w:p>
    <w:p w14:paraId="4FC2028C" w14:textId="77777777" w:rsidR="00C051E5" w:rsidRPr="00CA72A2" w:rsidRDefault="00C051E5" w:rsidP="00350287">
      <w:pPr>
        <w:spacing w:line="240" w:lineRule="auto"/>
        <w:ind w:left="567" w:hanging="534"/>
        <w:rPr>
          <w:rFonts w:asciiTheme="majorHAnsi" w:hAnsiTheme="majorHAnsi"/>
          <w:sz w:val="24"/>
        </w:rPr>
      </w:pPr>
    </w:p>
    <w:p w14:paraId="5ABE862A" w14:textId="77777777" w:rsidR="00350287" w:rsidRPr="00CA72A2" w:rsidRDefault="00350287" w:rsidP="00350287">
      <w:pPr>
        <w:spacing w:line="240" w:lineRule="auto"/>
        <w:ind w:left="567" w:hanging="534"/>
        <w:rPr>
          <w:rFonts w:asciiTheme="majorHAnsi" w:hAnsiTheme="majorHAnsi"/>
          <w:sz w:val="24"/>
        </w:rPr>
      </w:pPr>
      <w:r w:rsidRPr="00CA72A2">
        <w:rPr>
          <w:rFonts w:asciiTheme="majorHAnsi" w:hAnsiTheme="majorHAnsi"/>
          <w:sz w:val="24"/>
        </w:rPr>
        <w:lastRenderedPageBreak/>
        <w:t>e)</w:t>
      </w:r>
      <w:r w:rsidRPr="00CA72A2">
        <w:rPr>
          <w:rFonts w:asciiTheme="majorHAnsi" w:hAnsiTheme="majorHAnsi"/>
          <w:sz w:val="24"/>
        </w:rPr>
        <w:tab/>
        <w:t>Se puede registrar información parcial de un riesgo, en tanto se obtengan los demás datos requeridos. Por ejemplo, podrá registrarse primero el monto de la pérdida, para posteriormente añadir las recuperaciones asociadas.</w:t>
      </w:r>
    </w:p>
    <w:p w14:paraId="7A82239F" w14:textId="77777777" w:rsidR="00C051E5" w:rsidRPr="00CA72A2" w:rsidRDefault="00C051E5" w:rsidP="00350287">
      <w:pPr>
        <w:widowControl w:val="0"/>
        <w:spacing w:line="240" w:lineRule="auto"/>
        <w:ind w:left="567" w:hanging="534"/>
        <w:rPr>
          <w:rFonts w:asciiTheme="majorHAnsi" w:hAnsiTheme="majorHAnsi"/>
          <w:sz w:val="24"/>
        </w:rPr>
      </w:pPr>
    </w:p>
    <w:p w14:paraId="5A2DD797" w14:textId="77777777" w:rsidR="00350287" w:rsidRPr="00CA72A2" w:rsidRDefault="00350287" w:rsidP="00350287">
      <w:pPr>
        <w:widowControl w:val="0"/>
        <w:spacing w:line="240" w:lineRule="auto"/>
        <w:ind w:left="567" w:hanging="534"/>
        <w:rPr>
          <w:rFonts w:asciiTheme="majorHAnsi" w:hAnsiTheme="majorHAnsi"/>
          <w:sz w:val="24"/>
        </w:rPr>
      </w:pPr>
      <w:r w:rsidRPr="00CA72A2">
        <w:rPr>
          <w:rFonts w:asciiTheme="majorHAnsi" w:hAnsiTheme="majorHAnsi"/>
          <w:sz w:val="24"/>
        </w:rPr>
        <w:t>f)</w:t>
      </w:r>
      <w:r w:rsidRPr="00CA72A2">
        <w:rPr>
          <w:rFonts w:asciiTheme="majorHAnsi" w:hAnsiTheme="majorHAnsi"/>
          <w:sz w:val="24"/>
        </w:rPr>
        <w:tab/>
        <w:t>No deben ser incluidos costos indirectos que sean cubiertos internamente sin incurrir en un gasto adicional.</w:t>
      </w:r>
    </w:p>
    <w:p w14:paraId="64DCF8B7" w14:textId="77777777" w:rsidR="00C051E5" w:rsidRDefault="00C051E5" w:rsidP="00350287">
      <w:pPr>
        <w:widowControl w:val="0"/>
        <w:spacing w:line="240" w:lineRule="auto"/>
        <w:ind w:left="567" w:hanging="534"/>
        <w:rPr>
          <w:rFonts w:asciiTheme="majorHAnsi" w:hAnsiTheme="majorHAnsi"/>
          <w:sz w:val="24"/>
        </w:rPr>
      </w:pPr>
    </w:p>
    <w:p w14:paraId="51E506E8" w14:textId="77777777" w:rsidR="00966CA3" w:rsidRPr="00CA72A2" w:rsidRDefault="00966CA3" w:rsidP="00350287">
      <w:pPr>
        <w:widowControl w:val="0"/>
        <w:spacing w:line="240" w:lineRule="auto"/>
        <w:ind w:left="567" w:hanging="534"/>
        <w:rPr>
          <w:rFonts w:asciiTheme="majorHAnsi" w:hAnsiTheme="majorHAnsi"/>
          <w:sz w:val="24"/>
        </w:rPr>
      </w:pPr>
    </w:p>
    <w:p w14:paraId="2BB4AFFF" w14:textId="77777777" w:rsidR="00350287" w:rsidRPr="00CA72A2" w:rsidRDefault="00350287" w:rsidP="00350287">
      <w:pPr>
        <w:widowControl w:val="0"/>
        <w:spacing w:line="240" w:lineRule="auto"/>
        <w:ind w:left="567" w:hanging="534"/>
        <w:rPr>
          <w:rFonts w:asciiTheme="majorHAnsi" w:hAnsiTheme="majorHAnsi"/>
          <w:sz w:val="24"/>
        </w:rPr>
      </w:pPr>
      <w:r w:rsidRPr="00CA72A2">
        <w:rPr>
          <w:rFonts w:asciiTheme="majorHAnsi" w:hAnsiTheme="majorHAnsi"/>
          <w:sz w:val="24"/>
        </w:rPr>
        <w:t>g)</w:t>
      </w:r>
      <w:r w:rsidRPr="00CA72A2">
        <w:rPr>
          <w:rFonts w:asciiTheme="majorHAnsi" w:hAnsiTheme="majorHAnsi"/>
          <w:sz w:val="24"/>
        </w:rPr>
        <w:tab/>
        <w:t>Una incidencia o un evento potencial de carácter operativo que afecte también a otro tipo de riesgos (crédito o mercado) deberá registrarse en la base de datos, cuando la principal causa de la pérdida sea de naturaleza operativo; asimismo, debe especificarse el vínculo con el otro riesgo.</w:t>
      </w:r>
    </w:p>
    <w:p w14:paraId="0E50B8EB" w14:textId="77777777" w:rsidR="00C051E5" w:rsidRPr="00CA72A2" w:rsidRDefault="00C051E5" w:rsidP="00350287">
      <w:pPr>
        <w:widowControl w:val="0"/>
        <w:spacing w:line="240" w:lineRule="auto"/>
        <w:ind w:left="567" w:hanging="534"/>
        <w:rPr>
          <w:rFonts w:asciiTheme="majorHAnsi" w:hAnsiTheme="majorHAnsi"/>
          <w:sz w:val="24"/>
        </w:rPr>
      </w:pPr>
    </w:p>
    <w:p w14:paraId="4DD091F1" w14:textId="77777777" w:rsidR="00350287" w:rsidRPr="00CA72A2" w:rsidRDefault="00350287" w:rsidP="00350287">
      <w:pPr>
        <w:widowControl w:val="0"/>
        <w:spacing w:line="240" w:lineRule="auto"/>
        <w:ind w:left="567" w:hanging="534"/>
        <w:rPr>
          <w:rFonts w:asciiTheme="majorHAnsi" w:hAnsiTheme="majorHAnsi"/>
          <w:sz w:val="24"/>
        </w:rPr>
      </w:pPr>
      <w:r w:rsidRPr="00CA72A2">
        <w:rPr>
          <w:rFonts w:asciiTheme="majorHAnsi" w:hAnsiTheme="majorHAnsi"/>
          <w:sz w:val="24"/>
        </w:rPr>
        <w:t>h)</w:t>
      </w:r>
      <w:r w:rsidRPr="00CA72A2">
        <w:rPr>
          <w:rFonts w:asciiTheme="majorHAnsi" w:hAnsiTheme="majorHAnsi"/>
          <w:sz w:val="24"/>
        </w:rPr>
        <w:tab/>
        <w:t>En caso que la pérdida involucre algún activo con valor de mercado conocido, este será el valor a tener en cuenta, más los gastos adicionales que correspondan.</w:t>
      </w:r>
    </w:p>
    <w:p w14:paraId="557BAF41" w14:textId="77777777" w:rsidR="00350287" w:rsidRPr="00CA72A2" w:rsidRDefault="00350287" w:rsidP="00350287">
      <w:pPr>
        <w:widowControl w:val="0"/>
        <w:tabs>
          <w:tab w:val="left" w:pos="142"/>
        </w:tabs>
        <w:spacing w:line="240" w:lineRule="auto"/>
        <w:ind w:left="33"/>
        <w:rPr>
          <w:rFonts w:asciiTheme="majorHAnsi" w:hAnsiTheme="majorHAnsi"/>
          <w:b/>
          <w:sz w:val="24"/>
        </w:rPr>
      </w:pPr>
    </w:p>
    <w:p w14:paraId="2F07D25F" w14:textId="534121A4" w:rsidR="00E25A07" w:rsidRPr="00CA72A2" w:rsidRDefault="00E25A07">
      <w:pPr>
        <w:spacing w:line="240" w:lineRule="auto"/>
        <w:jc w:val="left"/>
        <w:rPr>
          <w:rFonts w:asciiTheme="majorHAnsi" w:hAnsiTheme="majorHAnsi"/>
          <w:b/>
          <w:sz w:val="24"/>
        </w:rPr>
      </w:pPr>
    </w:p>
    <w:p w14:paraId="4CC46D89" w14:textId="06240606" w:rsidR="00350287" w:rsidRPr="00CA72A2" w:rsidRDefault="00350287" w:rsidP="00350287">
      <w:pPr>
        <w:widowControl w:val="0"/>
        <w:tabs>
          <w:tab w:val="left" w:pos="142"/>
        </w:tabs>
        <w:spacing w:line="240" w:lineRule="auto"/>
        <w:ind w:left="33"/>
        <w:rPr>
          <w:rFonts w:asciiTheme="majorHAnsi" w:hAnsiTheme="majorHAnsi"/>
          <w:b/>
          <w:sz w:val="24"/>
        </w:rPr>
      </w:pPr>
      <w:r w:rsidRPr="00CA72A2">
        <w:rPr>
          <w:rFonts w:asciiTheme="majorHAnsi" w:hAnsiTheme="majorHAnsi"/>
          <w:b/>
          <w:sz w:val="24"/>
        </w:rPr>
        <w:t>IV. REQUERIMIENTOS MÍNIMOS RESPECTO A LA AUTENTICACIÓN DE CLIENTES Y AUTORIZACIÓN DE TRANSACCIONES EN LOS MEDIOS Y DISPOSITIVOS DE LOS CANALES ELECTRÓNICOS UTILIZADOS EN LA PRESTACIÓN DE SERVICIOS FINANCIEROS DE BANCA EN LINEA.</w:t>
      </w:r>
    </w:p>
    <w:p w14:paraId="26AAFEF5" w14:textId="77777777" w:rsidR="00350287" w:rsidRPr="00CA72A2" w:rsidRDefault="00350287" w:rsidP="00350287">
      <w:pPr>
        <w:widowControl w:val="0"/>
        <w:tabs>
          <w:tab w:val="left" w:pos="142"/>
        </w:tabs>
        <w:spacing w:line="240" w:lineRule="auto"/>
        <w:ind w:left="33"/>
        <w:rPr>
          <w:rFonts w:asciiTheme="majorHAnsi" w:hAnsiTheme="majorHAnsi"/>
          <w:b/>
          <w:sz w:val="24"/>
        </w:rPr>
      </w:pPr>
    </w:p>
    <w:p w14:paraId="0903BCD9" w14:textId="77777777" w:rsidR="00350287" w:rsidRPr="00CA72A2" w:rsidRDefault="00350287" w:rsidP="00350287">
      <w:pPr>
        <w:widowControl w:val="0"/>
        <w:shd w:val="clear" w:color="auto" w:fill="D9D9D9"/>
        <w:spacing w:line="240" w:lineRule="auto"/>
        <w:ind w:left="33"/>
        <w:rPr>
          <w:rFonts w:asciiTheme="majorHAnsi" w:hAnsiTheme="majorHAnsi"/>
          <w:b/>
          <w:sz w:val="24"/>
        </w:rPr>
      </w:pPr>
      <w:r w:rsidRPr="00CA72A2">
        <w:rPr>
          <w:rFonts w:asciiTheme="majorHAnsi" w:hAnsiTheme="majorHAnsi"/>
          <w:b/>
          <w:sz w:val="24"/>
        </w:rPr>
        <w:t>4.1 Definiciones</w:t>
      </w:r>
    </w:p>
    <w:p w14:paraId="6F707B04" w14:textId="77777777" w:rsidR="00350287" w:rsidRPr="00CA72A2" w:rsidRDefault="00350287" w:rsidP="00350287">
      <w:pPr>
        <w:widowControl w:val="0"/>
        <w:spacing w:line="240" w:lineRule="auto"/>
        <w:ind w:left="33"/>
        <w:rPr>
          <w:rFonts w:asciiTheme="majorHAnsi" w:hAnsiTheme="majorHAnsi" w:cs="Helvetica"/>
          <w:b/>
          <w:sz w:val="24"/>
          <w:lang w:val="es-CR" w:eastAsia="es-CR"/>
        </w:rPr>
      </w:pPr>
    </w:p>
    <w:p w14:paraId="492C2C68" w14:textId="77777777" w:rsidR="00350287" w:rsidRPr="00CA72A2" w:rsidRDefault="00350287" w:rsidP="00350287">
      <w:pPr>
        <w:widowControl w:val="0"/>
        <w:spacing w:line="240" w:lineRule="auto"/>
        <w:ind w:left="33"/>
        <w:rPr>
          <w:rFonts w:asciiTheme="majorHAnsi" w:hAnsiTheme="majorHAnsi" w:cs="Helvetica"/>
          <w:b/>
          <w:sz w:val="24"/>
          <w:lang w:val="es-CR" w:eastAsia="es-CR"/>
        </w:rPr>
      </w:pPr>
      <w:r w:rsidRPr="00CA72A2">
        <w:rPr>
          <w:rFonts w:asciiTheme="majorHAnsi" w:hAnsiTheme="majorHAnsi" w:cs="Helvetica"/>
          <w:b/>
          <w:sz w:val="24"/>
          <w:lang w:val="es-CR" w:eastAsia="es-CR"/>
        </w:rPr>
        <w:lastRenderedPageBreak/>
        <w:t>Banca electrónica:</w:t>
      </w:r>
      <w:r w:rsidRPr="00CA72A2">
        <w:rPr>
          <w:rFonts w:asciiTheme="majorHAnsi" w:hAnsiTheme="majorHAnsi" w:cs="Helvetica"/>
          <w:b/>
          <w:i/>
          <w:sz w:val="24"/>
          <w:lang w:val="es-CR" w:eastAsia="es-CR"/>
        </w:rPr>
        <w:t xml:space="preserve"> </w:t>
      </w:r>
      <w:r w:rsidRPr="00CA72A2">
        <w:rPr>
          <w:rFonts w:asciiTheme="majorHAnsi" w:hAnsiTheme="majorHAnsi"/>
          <w:sz w:val="24"/>
        </w:rPr>
        <w:t>Servicios financieros suministrados a través de medios electrónicos. Comprende un conjunto de canales de comunicación compuestos por hardware y software, mediante los cuales las personadas físicas o jurídicas pueden acceder vía remota a los servicios de una entidad financiera, para obtener información o realizar transacciones bancarias.</w:t>
      </w:r>
    </w:p>
    <w:p w14:paraId="3EB0779C" w14:textId="77777777" w:rsidR="00350287" w:rsidRPr="00CA72A2" w:rsidRDefault="00350287" w:rsidP="00350287">
      <w:pPr>
        <w:widowControl w:val="0"/>
        <w:spacing w:line="240" w:lineRule="auto"/>
        <w:ind w:left="33"/>
        <w:rPr>
          <w:rFonts w:asciiTheme="majorHAnsi" w:hAnsiTheme="majorHAnsi" w:cs="Helvetica"/>
          <w:b/>
          <w:sz w:val="24"/>
          <w:lang w:val="es-CR" w:eastAsia="es-CR"/>
        </w:rPr>
      </w:pPr>
    </w:p>
    <w:p w14:paraId="12E96FBF" w14:textId="77777777" w:rsidR="00350287" w:rsidRPr="00CA72A2" w:rsidRDefault="00350287" w:rsidP="00350287">
      <w:pPr>
        <w:widowControl w:val="0"/>
        <w:spacing w:line="240" w:lineRule="auto"/>
        <w:ind w:left="33"/>
        <w:rPr>
          <w:rFonts w:asciiTheme="majorHAnsi" w:hAnsiTheme="majorHAnsi"/>
          <w:sz w:val="24"/>
        </w:rPr>
      </w:pPr>
      <w:r w:rsidRPr="00CA72A2">
        <w:rPr>
          <w:rFonts w:asciiTheme="majorHAnsi" w:hAnsiTheme="majorHAnsi" w:cs="Helvetica"/>
          <w:b/>
          <w:sz w:val="24"/>
          <w:lang w:val="es-CR" w:eastAsia="es-CR"/>
        </w:rPr>
        <w:t>Banca en línea</w:t>
      </w:r>
      <w:r w:rsidRPr="00CA72A2">
        <w:rPr>
          <w:rFonts w:asciiTheme="majorHAnsi" w:hAnsiTheme="majorHAnsi"/>
          <w:sz w:val="24"/>
        </w:rPr>
        <w:t xml:space="preserve"> es uno de los canales de banca electrónica que comprende aquellas herramientas que ofrece una entidad para que sus clientes hagan sus transacciones bancarias utilizando para ello una computadora con conexión a la red Internet.</w:t>
      </w:r>
    </w:p>
    <w:p w14:paraId="20709E39" w14:textId="77777777" w:rsidR="00350287" w:rsidRPr="00CA72A2" w:rsidRDefault="00350287" w:rsidP="00350287">
      <w:pPr>
        <w:widowControl w:val="0"/>
        <w:spacing w:line="240" w:lineRule="auto"/>
        <w:ind w:left="33"/>
        <w:rPr>
          <w:rFonts w:asciiTheme="majorHAnsi" w:hAnsiTheme="majorHAnsi"/>
          <w:sz w:val="24"/>
        </w:rPr>
      </w:pPr>
    </w:p>
    <w:p w14:paraId="1B72AE27"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r w:rsidRPr="00CA72A2">
        <w:rPr>
          <w:rFonts w:asciiTheme="majorHAnsi" w:hAnsiTheme="majorHAnsi" w:cs="Arial"/>
          <w:b/>
          <w:sz w:val="24"/>
          <w:szCs w:val="24"/>
          <w:lang w:val="es-CR"/>
        </w:rPr>
        <w:t>Certificado Digital de Persona Física (Autenticación):</w:t>
      </w:r>
      <w:r w:rsidRPr="00CA72A2">
        <w:rPr>
          <w:rFonts w:asciiTheme="majorHAnsi" w:hAnsiTheme="majorHAnsi"/>
          <w:sz w:val="24"/>
          <w:szCs w:val="24"/>
          <w:lang w:val="es-CR"/>
        </w:rPr>
        <w:t xml:space="preserve"> Archivo electrónico que permite a las personas físicas realizar procesos de autenticación (demostración de la identidad) que las vinculan jurídicamente al amparo de la Ley número 8454.</w:t>
      </w:r>
    </w:p>
    <w:p w14:paraId="198FBF8C"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p>
    <w:p w14:paraId="3AB42C3C"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r w:rsidRPr="00CA72A2">
        <w:rPr>
          <w:rFonts w:asciiTheme="majorHAnsi" w:hAnsiTheme="majorHAnsi" w:cs="Arial"/>
          <w:b/>
          <w:sz w:val="24"/>
          <w:szCs w:val="24"/>
          <w:lang w:val="es-CR"/>
        </w:rPr>
        <w:t>Certificado Digital de Persona Física (Firma):</w:t>
      </w:r>
      <w:r w:rsidRPr="00CA72A2">
        <w:rPr>
          <w:rFonts w:asciiTheme="majorHAnsi" w:hAnsiTheme="majorHAnsi"/>
          <w:sz w:val="24"/>
          <w:szCs w:val="24"/>
          <w:lang w:val="es-CR"/>
        </w:rPr>
        <w:t xml:space="preserve"> Archivo electrónico que permite a las personas físicas realizar procesos de firma digital (manifestación de la voluntad) que las vinculan jurídicamente al amparo de la Ley número 8454.</w:t>
      </w:r>
    </w:p>
    <w:p w14:paraId="2D11D37D"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p>
    <w:p w14:paraId="1FEB2626"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r w:rsidRPr="00CA72A2">
        <w:rPr>
          <w:rFonts w:asciiTheme="majorHAnsi" w:hAnsiTheme="majorHAnsi" w:cs="Arial"/>
          <w:b/>
          <w:sz w:val="24"/>
          <w:szCs w:val="24"/>
          <w:lang w:val="es-CR"/>
        </w:rPr>
        <w:t>Certificado Digital de Persona Jurídica (Sello Electrónico):</w:t>
      </w:r>
      <w:r w:rsidRPr="00CA72A2">
        <w:rPr>
          <w:rFonts w:asciiTheme="majorHAnsi" w:hAnsiTheme="majorHAnsi"/>
          <w:sz w:val="24"/>
          <w:szCs w:val="24"/>
          <w:lang w:val="es-CR"/>
        </w:rPr>
        <w:t xml:space="preserve"> Archivo electrónico que permite a las personas jurídicas realizar procesos de sello electrónico que las comprometen jurídicamente al amparo de la Ley número 8454</w:t>
      </w:r>
    </w:p>
    <w:p w14:paraId="1B233B13"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p>
    <w:p w14:paraId="319E1561"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r w:rsidRPr="00CA72A2">
        <w:rPr>
          <w:rFonts w:asciiTheme="majorHAnsi" w:hAnsiTheme="majorHAnsi" w:cs="Arial"/>
          <w:b/>
          <w:sz w:val="24"/>
          <w:szCs w:val="24"/>
          <w:lang w:val="es-CR"/>
        </w:rPr>
        <w:lastRenderedPageBreak/>
        <w:t>Dirección de Certificadores de Firma Digital (DCFD):</w:t>
      </w:r>
      <w:r w:rsidRPr="00CA72A2">
        <w:rPr>
          <w:rFonts w:asciiTheme="majorHAnsi" w:hAnsiTheme="majorHAnsi"/>
          <w:sz w:val="24"/>
          <w:szCs w:val="24"/>
          <w:lang w:val="es-CR"/>
        </w:rPr>
        <w:t xml:space="preserve"> Dirección adscrita al MICITT, creada por la Ley número 8454, encargada de la emisión de las políticas de certificación en el país.</w:t>
      </w:r>
    </w:p>
    <w:p w14:paraId="18A6FD09" w14:textId="77777777" w:rsidR="00350287" w:rsidRDefault="00350287" w:rsidP="00350287">
      <w:pPr>
        <w:pStyle w:val="NormalWeb"/>
        <w:widowControl w:val="0"/>
        <w:spacing w:before="0" w:beforeAutospacing="0" w:after="0" w:afterAutospacing="0"/>
        <w:ind w:left="33"/>
        <w:jc w:val="both"/>
        <w:rPr>
          <w:rFonts w:asciiTheme="majorHAnsi" w:hAnsiTheme="majorHAnsi" w:cs="Arial"/>
          <w:b/>
          <w:sz w:val="24"/>
          <w:szCs w:val="24"/>
          <w:lang w:val="es-CR"/>
        </w:rPr>
      </w:pPr>
    </w:p>
    <w:p w14:paraId="32086C35" w14:textId="3F96E4CB" w:rsidR="00C149D9" w:rsidRDefault="00C149D9" w:rsidP="00350287">
      <w:pPr>
        <w:pStyle w:val="NormalWeb"/>
        <w:widowControl w:val="0"/>
        <w:spacing w:before="0" w:beforeAutospacing="0" w:after="0" w:afterAutospacing="0"/>
        <w:ind w:left="33"/>
        <w:jc w:val="both"/>
        <w:rPr>
          <w:rFonts w:asciiTheme="majorHAnsi" w:hAnsiTheme="majorHAnsi" w:cs="Arial"/>
          <w:b/>
          <w:sz w:val="24"/>
          <w:szCs w:val="24"/>
          <w:lang w:val="es-CR"/>
        </w:rPr>
      </w:pPr>
    </w:p>
    <w:p w14:paraId="49543C37" w14:textId="77777777" w:rsidR="00C149D9" w:rsidRPr="00CA72A2" w:rsidRDefault="00C149D9" w:rsidP="00350287">
      <w:pPr>
        <w:pStyle w:val="NormalWeb"/>
        <w:widowControl w:val="0"/>
        <w:spacing w:before="0" w:beforeAutospacing="0" w:after="0" w:afterAutospacing="0"/>
        <w:ind w:left="33"/>
        <w:jc w:val="both"/>
        <w:rPr>
          <w:rFonts w:asciiTheme="majorHAnsi" w:hAnsiTheme="majorHAnsi" w:cs="Arial"/>
          <w:b/>
          <w:sz w:val="24"/>
          <w:szCs w:val="24"/>
          <w:lang w:val="es-CR"/>
        </w:rPr>
      </w:pPr>
    </w:p>
    <w:p w14:paraId="59461118" w14:textId="77777777" w:rsidR="00350287" w:rsidRPr="00CA72A2" w:rsidRDefault="00350287" w:rsidP="00350287">
      <w:pPr>
        <w:pStyle w:val="NormalWeb"/>
        <w:widowControl w:val="0"/>
        <w:spacing w:before="0" w:beforeAutospacing="0" w:after="0" w:afterAutospacing="0"/>
        <w:ind w:left="33"/>
        <w:jc w:val="both"/>
        <w:rPr>
          <w:rFonts w:asciiTheme="majorHAnsi" w:hAnsiTheme="majorHAnsi" w:cs="Arial"/>
          <w:b/>
          <w:sz w:val="24"/>
          <w:szCs w:val="24"/>
          <w:lang w:val="es-CR"/>
        </w:rPr>
      </w:pPr>
      <w:r w:rsidRPr="00CA72A2">
        <w:rPr>
          <w:rFonts w:asciiTheme="majorHAnsi" w:hAnsiTheme="majorHAnsi" w:cs="Arial"/>
          <w:b/>
          <w:sz w:val="24"/>
          <w:szCs w:val="24"/>
          <w:lang w:val="es-CR"/>
        </w:rPr>
        <w:t xml:space="preserve">Firma digital: </w:t>
      </w:r>
      <w:r w:rsidRPr="00CA72A2">
        <w:rPr>
          <w:rFonts w:asciiTheme="majorHAnsi" w:hAnsiTheme="majorHAnsi"/>
          <w:sz w:val="24"/>
          <w:szCs w:val="24"/>
          <w:lang w:val="es-CR"/>
        </w:rPr>
        <w:t xml:space="preserve">mecanismo criptográfico que permite al receptor de un medio electrónico identificar formalmente a su autor, </w:t>
      </w:r>
      <w:r w:rsidRPr="00CA72A2">
        <w:rPr>
          <w:rFonts w:asciiTheme="majorHAnsi" w:hAnsiTheme="majorHAnsi" w:cs="Arial"/>
          <w:sz w:val="24"/>
          <w:szCs w:val="24"/>
          <w:lang w:val="es-CR"/>
        </w:rPr>
        <w:t>garantiza la autoría (identidad del firmante) y la integridad del documento electrónico (no alterado desde que fue firmado por el originador).</w:t>
      </w:r>
    </w:p>
    <w:p w14:paraId="700AA2DA" w14:textId="77777777" w:rsidR="00350287" w:rsidRPr="00CA72A2" w:rsidRDefault="00350287" w:rsidP="00350287">
      <w:pPr>
        <w:autoSpaceDE w:val="0"/>
        <w:autoSpaceDN w:val="0"/>
        <w:adjustRightInd w:val="0"/>
        <w:spacing w:line="240" w:lineRule="auto"/>
        <w:ind w:left="33"/>
        <w:rPr>
          <w:rFonts w:asciiTheme="majorHAnsi" w:hAnsiTheme="majorHAnsi" w:cs="Helvetica"/>
          <w:b/>
          <w:sz w:val="24"/>
          <w:lang w:val="es-CR" w:eastAsia="es-CR"/>
        </w:rPr>
      </w:pPr>
    </w:p>
    <w:p w14:paraId="63167CEE" w14:textId="77777777" w:rsidR="00350287" w:rsidRPr="00CA72A2" w:rsidRDefault="00350287" w:rsidP="00350287">
      <w:pPr>
        <w:autoSpaceDE w:val="0"/>
        <w:autoSpaceDN w:val="0"/>
        <w:adjustRightInd w:val="0"/>
        <w:spacing w:line="240" w:lineRule="auto"/>
        <w:ind w:left="33"/>
        <w:rPr>
          <w:rFonts w:asciiTheme="majorHAnsi" w:hAnsiTheme="majorHAnsi" w:cs="Helvetica"/>
          <w:b/>
          <w:sz w:val="24"/>
          <w:lang w:val="es-CR" w:eastAsia="es-CR"/>
        </w:rPr>
      </w:pPr>
      <w:r w:rsidRPr="00CA72A2">
        <w:rPr>
          <w:rFonts w:asciiTheme="majorHAnsi" w:hAnsiTheme="majorHAnsi" w:cs="Helvetica"/>
          <w:b/>
          <w:sz w:val="24"/>
          <w:lang w:val="es-CR" w:eastAsia="es-CR"/>
        </w:rPr>
        <w:t>Medios o Canales electrónicos:</w:t>
      </w:r>
      <w:r w:rsidRPr="00CA72A2">
        <w:rPr>
          <w:rFonts w:asciiTheme="majorHAnsi" w:hAnsiTheme="majorHAnsi"/>
          <w:sz w:val="24"/>
        </w:rPr>
        <w:t xml:space="preserve"> Dispositivos, redes y servicios informáticos dispuestos por las entidades financieras, por sí o por intermedio de terceros, para la instrucción, consulta, registro, protección, procesamiento y/o almacenamiento de datos de clientes y sus transacciones bancarias.</w:t>
      </w:r>
    </w:p>
    <w:p w14:paraId="70C39A7D"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p>
    <w:p w14:paraId="1B0A9A0F"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r w:rsidRPr="00CA72A2">
        <w:rPr>
          <w:rFonts w:asciiTheme="majorHAnsi" w:hAnsiTheme="majorHAnsi" w:cs="Arial"/>
          <w:b/>
          <w:sz w:val="24"/>
          <w:szCs w:val="24"/>
          <w:lang w:val="es-CR"/>
        </w:rPr>
        <w:t>Ministerio de Ciencia, Tecnología y Telecomunicaciones (MICITT):</w:t>
      </w:r>
      <w:r w:rsidRPr="00CA72A2">
        <w:rPr>
          <w:rFonts w:asciiTheme="majorHAnsi" w:hAnsiTheme="majorHAnsi"/>
          <w:sz w:val="24"/>
          <w:szCs w:val="24"/>
          <w:lang w:val="es-CR"/>
        </w:rPr>
        <w:t xml:space="preserve"> Con base en la Ley Nº 8454, el ente regulador y supervisor del Sistema Nacional de Certificación Digital.</w:t>
      </w:r>
    </w:p>
    <w:p w14:paraId="00C4F39D"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p>
    <w:p w14:paraId="1EC2906D"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r w:rsidRPr="00CA72A2">
        <w:rPr>
          <w:rFonts w:asciiTheme="majorHAnsi" w:hAnsiTheme="majorHAnsi" w:cs="Arial"/>
          <w:b/>
          <w:sz w:val="24"/>
          <w:szCs w:val="24"/>
          <w:lang w:val="es-CR"/>
        </w:rPr>
        <w:t xml:space="preserve">Política de formatos oficiales de los documentos electrónicos firmados digitalmente: </w:t>
      </w:r>
      <w:r w:rsidRPr="00CA72A2">
        <w:rPr>
          <w:rFonts w:asciiTheme="majorHAnsi" w:hAnsiTheme="majorHAnsi"/>
          <w:sz w:val="24"/>
          <w:szCs w:val="24"/>
          <w:lang w:val="es-CR"/>
        </w:rPr>
        <w:t xml:space="preserve">directrices sobre los requisitos que deben cumplir los formatos avanzados de documentos electrónicos firmados digitalmente, los cuales permiten que se consigne en ellos, una “firma de larga duración”.  Implica que la verificación de la firma perdura en el tiempo, para lo cual, además del correspondiente hash (resumen criptográfico del documento), se consigna, previa consulta a la Autoridad Certificadora, la validez del certificado en el </w:t>
      </w:r>
      <w:r w:rsidRPr="00CA72A2">
        <w:rPr>
          <w:rFonts w:asciiTheme="majorHAnsi" w:hAnsiTheme="majorHAnsi"/>
          <w:sz w:val="24"/>
          <w:szCs w:val="24"/>
          <w:lang w:val="es-CR"/>
        </w:rPr>
        <w:lastRenderedPageBreak/>
        <w:t>momento de la firma y una estampa de tiempo mediante la que, un tercero de confianza (una autoridad de estampado), ubica fehacientemente el documento en el tiempo,</w:t>
      </w:r>
      <w:r w:rsidRPr="00CA72A2">
        <w:rPr>
          <w:rFonts w:asciiTheme="majorHAnsi" w:hAnsiTheme="majorHAnsi"/>
          <w:color w:val="FF0000"/>
          <w:sz w:val="24"/>
          <w:szCs w:val="24"/>
          <w:lang w:val="es-CR"/>
        </w:rPr>
        <w:t xml:space="preserve"> </w:t>
      </w:r>
      <w:r w:rsidRPr="00CA72A2">
        <w:rPr>
          <w:rFonts w:asciiTheme="majorHAnsi" w:hAnsiTheme="majorHAnsi"/>
          <w:sz w:val="24"/>
          <w:szCs w:val="24"/>
          <w:lang w:val="es-CR"/>
        </w:rPr>
        <w:t>publicados por el Ministerio de Ciencia, Tecnología y Telecomunicaciones y la Dirección de Certificadores de Firma Digital.</w:t>
      </w:r>
    </w:p>
    <w:p w14:paraId="292B5687" w14:textId="77777777" w:rsidR="00350287" w:rsidRPr="00CA72A2" w:rsidRDefault="00350287" w:rsidP="00350287">
      <w:pPr>
        <w:widowControl w:val="0"/>
        <w:spacing w:line="240" w:lineRule="auto"/>
        <w:ind w:left="33"/>
        <w:rPr>
          <w:rFonts w:asciiTheme="majorHAnsi" w:hAnsiTheme="majorHAnsi" w:cs="Helvetica"/>
          <w:b/>
          <w:sz w:val="24"/>
          <w:lang w:val="es-CR" w:eastAsia="es-CR"/>
        </w:rPr>
      </w:pPr>
    </w:p>
    <w:p w14:paraId="7EA34F78" w14:textId="77777777" w:rsidR="00350287" w:rsidRPr="00CA72A2" w:rsidRDefault="00350287" w:rsidP="00350287">
      <w:pPr>
        <w:widowControl w:val="0"/>
        <w:spacing w:line="240" w:lineRule="auto"/>
        <w:ind w:left="33"/>
        <w:rPr>
          <w:rFonts w:asciiTheme="majorHAnsi" w:hAnsiTheme="majorHAnsi" w:cs="Helvetica"/>
          <w:b/>
          <w:sz w:val="24"/>
          <w:lang w:val="es-CR" w:eastAsia="es-CR"/>
        </w:rPr>
      </w:pPr>
      <w:r w:rsidRPr="00CA72A2">
        <w:rPr>
          <w:rFonts w:asciiTheme="majorHAnsi" w:hAnsiTheme="majorHAnsi" w:cs="Helvetica"/>
          <w:b/>
          <w:sz w:val="24"/>
          <w:lang w:val="es-CR" w:eastAsia="es-CR"/>
        </w:rPr>
        <w:t xml:space="preserve">Productos y servicios financieros: </w:t>
      </w:r>
      <w:r w:rsidRPr="00CA72A2">
        <w:rPr>
          <w:rFonts w:asciiTheme="majorHAnsi" w:hAnsiTheme="majorHAnsi"/>
          <w:sz w:val="24"/>
        </w:rPr>
        <w:t>Cualquier transacción que se manifieste en activos o pasivos financieros independientemente de la figura jurídica o contractual que se utilice y del tipo de documento, registro electrónico u otro análogo en el que dichas transacciones se formalicen.</w:t>
      </w:r>
    </w:p>
    <w:p w14:paraId="5A2CAFA8" w14:textId="77777777" w:rsidR="00350287" w:rsidRPr="00CA72A2" w:rsidRDefault="00350287" w:rsidP="00350287">
      <w:pPr>
        <w:pStyle w:val="NormalWeb"/>
        <w:spacing w:before="0" w:beforeAutospacing="0" w:after="0" w:afterAutospacing="0"/>
        <w:ind w:left="33"/>
        <w:jc w:val="both"/>
        <w:rPr>
          <w:rFonts w:asciiTheme="majorHAnsi" w:hAnsiTheme="majorHAnsi" w:cs="Arial"/>
          <w:b/>
          <w:sz w:val="24"/>
          <w:szCs w:val="24"/>
          <w:lang w:val="es-CR"/>
        </w:rPr>
      </w:pPr>
    </w:p>
    <w:p w14:paraId="7F5BA867" w14:textId="77777777" w:rsidR="00350287" w:rsidRPr="00CA72A2" w:rsidRDefault="00350287" w:rsidP="00350287">
      <w:pPr>
        <w:pStyle w:val="NormalWeb"/>
        <w:spacing w:before="0" w:beforeAutospacing="0" w:after="0" w:afterAutospacing="0"/>
        <w:ind w:left="33"/>
        <w:jc w:val="both"/>
        <w:rPr>
          <w:rFonts w:asciiTheme="majorHAnsi" w:hAnsiTheme="majorHAnsi"/>
          <w:sz w:val="24"/>
          <w:szCs w:val="24"/>
          <w:lang w:val="es-CR"/>
        </w:rPr>
      </w:pPr>
      <w:r w:rsidRPr="00CA72A2">
        <w:rPr>
          <w:rFonts w:asciiTheme="majorHAnsi" w:hAnsiTheme="majorHAnsi" w:cs="Arial"/>
          <w:b/>
          <w:sz w:val="24"/>
          <w:szCs w:val="24"/>
          <w:lang w:val="es-CR"/>
        </w:rPr>
        <w:t>Sistema Nacional de Certificación Digital (SNCD):</w:t>
      </w:r>
      <w:r w:rsidRPr="00CA72A2">
        <w:rPr>
          <w:rFonts w:asciiTheme="majorHAnsi" w:hAnsiTheme="majorHAnsi" w:cs="Arial"/>
          <w:b/>
          <w:i/>
          <w:sz w:val="24"/>
          <w:szCs w:val="24"/>
          <w:lang w:val="es-CR"/>
        </w:rPr>
        <w:t xml:space="preserve"> </w:t>
      </w:r>
      <w:r w:rsidRPr="00CA72A2">
        <w:rPr>
          <w:rFonts w:asciiTheme="majorHAnsi" w:hAnsiTheme="majorHAnsi"/>
          <w:sz w:val="24"/>
          <w:szCs w:val="24"/>
          <w:lang w:val="es-CR"/>
        </w:rPr>
        <w:t>En atención a lo estipulado en la Ley número 8454, el MICITT, a través de la DCFD, implementó el SNCD como una jerarquía nacional que emite certificados para Persona Física (con propósitos de Autenticación y Firma), certificados para Persona Jurídica (con propósitos de Sello Electrónico y Agente Electrónico) y certificados de Estampado de Tiempo. El SNCD contempla las Políticas de Certificación, los Estándares de Certificación, las Autoridades Certificadoras (incluida la Autoridad Raíz Nacional), y las Oficinas de Registros requeridas para la emisión de certificados a personas físicas y jurídicas.</w:t>
      </w:r>
    </w:p>
    <w:p w14:paraId="7A587897" w14:textId="77777777" w:rsidR="00350287" w:rsidRDefault="00350287" w:rsidP="00350287">
      <w:pPr>
        <w:pStyle w:val="NormalWeb"/>
        <w:spacing w:before="0" w:beforeAutospacing="0" w:after="0" w:afterAutospacing="0"/>
        <w:ind w:left="33"/>
        <w:jc w:val="both"/>
        <w:rPr>
          <w:rFonts w:asciiTheme="majorHAnsi" w:hAnsiTheme="majorHAnsi" w:cs="Arial"/>
          <w:b/>
          <w:sz w:val="24"/>
          <w:szCs w:val="24"/>
          <w:lang w:val="es-CR"/>
        </w:rPr>
      </w:pPr>
    </w:p>
    <w:p w14:paraId="0688837C" w14:textId="77777777" w:rsidR="00C149D9" w:rsidRPr="00CA72A2" w:rsidRDefault="00C149D9" w:rsidP="00350287">
      <w:pPr>
        <w:pStyle w:val="NormalWeb"/>
        <w:spacing w:before="0" w:beforeAutospacing="0" w:after="0" w:afterAutospacing="0"/>
        <w:ind w:left="33"/>
        <w:jc w:val="both"/>
        <w:rPr>
          <w:rFonts w:asciiTheme="majorHAnsi" w:hAnsiTheme="majorHAnsi" w:cs="Arial"/>
          <w:b/>
          <w:sz w:val="24"/>
          <w:szCs w:val="24"/>
          <w:lang w:val="es-CR"/>
        </w:rPr>
      </w:pPr>
    </w:p>
    <w:p w14:paraId="2F173EC1" w14:textId="77777777" w:rsidR="00350287" w:rsidRPr="00CA72A2" w:rsidRDefault="00350287" w:rsidP="00350287">
      <w:pPr>
        <w:widowControl w:val="0"/>
        <w:shd w:val="clear" w:color="auto" w:fill="D9D9D9"/>
        <w:spacing w:line="240" w:lineRule="auto"/>
        <w:ind w:left="33"/>
        <w:rPr>
          <w:rFonts w:asciiTheme="majorHAnsi" w:hAnsiTheme="majorHAnsi"/>
          <w:b/>
          <w:sz w:val="24"/>
        </w:rPr>
      </w:pPr>
      <w:r w:rsidRPr="00CA72A2">
        <w:rPr>
          <w:rFonts w:asciiTheme="majorHAnsi" w:hAnsiTheme="majorHAnsi"/>
          <w:b/>
          <w:sz w:val="24"/>
        </w:rPr>
        <w:t xml:space="preserve">4.2 Autenticación y Autorización de Transacciones </w:t>
      </w:r>
    </w:p>
    <w:p w14:paraId="29CF3C5E" w14:textId="77777777" w:rsidR="00350287" w:rsidRPr="00CA72A2" w:rsidRDefault="00350287" w:rsidP="00350287">
      <w:pPr>
        <w:pStyle w:val="Textosinformato"/>
        <w:ind w:left="33"/>
        <w:jc w:val="both"/>
        <w:rPr>
          <w:rFonts w:asciiTheme="majorHAnsi" w:eastAsia="Arial Unicode MS" w:hAnsiTheme="majorHAnsi" w:cs="Arial Unicode MS"/>
          <w:sz w:val="24"/>
          <w:szCs w:val="24"/>
          <w:lang w:val="es-CR"/>
        </w:rPr>
      </w:pPr>
    </w:p>
    <w:p w14:paraId="4A5217F6" w14:textId="2086F7C3" w:rsidR="00EE5107" w:rsidRPr="00204EA7" w:rsidRDefault="00EE5107" w:rsidP="00EE5107">
      <w:pPr>
        <w:rPr>
          <w:rFonts w:asciiTheme="majorHAnsi" w:hAnsiTheme="majorHAnsi"/>
          <w:sz w:val="24"/>
        </w:rPr>
      </w:pPr>
      <w:r w:rsidRPr="00EE5107">
        <w:rPr>
          <w:rFonts w:asciiTheme="majorHAnsi" w:hAnsiTheme="majorHAnsi"/>
          <w:sz w:val="24"/>
        </w:rPr>
        <w:t>Con el fin de dotar de una mayor seguridad jurídica a las transacciones realizadas mediante la banca en línea, las entidades supervisadas que ofrezcan servicios por este canal electrónico, sin detrimento de otros medios de au</w:t>
      </w:r>
      <w:r w:rsidRPr="00EE5107">
        <w:rPr>
          <w:rFonts w:asciiTheme="majorHAnsi" w:hAnsiTheme="majorHAnsi"/>
          <w:sz w:val="24"/>
        </w:rPr>
        <w:lastRenderedPageBreak/>
        <w:t>tenticación y autorización de transacciones implementados por la entidad,  deben tener preparada dicha plataforma para que toda persona física o jurídica que posea un certificado digital emitido a través de la infraestructura del Sistema Nacional de Certificación Digital, y que acceda por medio de computadoras pueda alternativamente, autenticarse en el sitio web y firmar digitalmente las transacci</w:t>
      </w:r>
      <w:r w:rsidR="00783B00">
        <w:rPr>
          <w:rFonts w:asciiTheme="majorHAnsi" w:hAnsiTheme="majorHAnsi"/>
          <w:sz w:val="24"/>
        </w:rPr>
        <w:t xml:space="preserve">ones mediante dicho mecanismo, </w:t>
      </w:r>
      <w:r w:rsidRPr="00204EA7">
        <w:rPr>
          <w:rFonts w:asciiTheme="majorHAnsi" w:hAnsiTheme="majorHAnsi"/>
          <w:sz w:val="24"/>
        </w:rPr>
        <w:t>a más tardar,</w:t>
      </w:r>
      <w:r w:rsidRPr="00EE5107">
        <w:rPr>
          <w:rFonts w:asciiTheme="majorHAnsi" w:hAnsiTheme="majorHAnsi"/>
          <w:sz w:val="24"/>
        </w:rPr>
        <w:t xml:space="preserve"> </w:t>
      </w:r>
      <w:r w:rsidRPr="00204EA7">
        <w:rPr>
          <w:rFonts w:asciiTheme="majorHAnsi" w:hAnsiTheme="majorHAnsi"/>
          <w:sz w:val="24"/>
        </w:rPr>
        <w:t xml:space="preserve">24 meses </w:t>
      </w:r>
      <w:r w:rsidR="00A208C2">
        <w:rPr>
          <w:rFonts w:asciiTheme="majorHAnsi" w:hAnsiTheme="majorHAnsi"/>
          <w:sz w:val="24"/>
        </w:rPr>
        <w:t xml:space="preserve">a partir de </w:t>
      </w:r>
      <w:r w:rsidRPr="00204EA7">
        <w:rPr>
          <w:rFonts w:asciiTheme="majorHAnsi" w:hAnsiTheme="majorHAnsi"/>
          <w:sz w:val="24"/>
        </w:rPr>
        <w:t>la entrada en vigencia del reglamento. Las acciones para su puesta en marcha deben formar parte del plan de actividades a que se refiere el Transitorio I del Reglamento del Acuerdo SUGEF 18-16.</w:t>
      </w:r>
    </w:p>
    <w:p w14:paraId="3A9EFA6B" w14:textId="77777777" w:rsidR="00A208C2" w:rsidRDefault="00A208C2" w:rsidP="00EE5107">
      <w:pPr>
        <w:pStyle w:val="Textosinformato"/>
        <w:ind w:left="33"/>
        <w:jc w:val="both"/>
        <w:rPr>
          <w:rFonts w:asciiTheme="majorHAnsi" w:hAnsiTheme="majorHAnsi" w:cs="Times New Roman"/>
          <w:sz w:val="24"/>
          <w:szCs w:val="24"/>
          <w:lang w:val="es-ES"/>
        </w:rPr>
      </w:pPr>
    </w:p>
    <w:p w14:paraId="528EB21E" w14:textId="786C28DF" w:rsidR="00EE5107" w:rsidRPr="00204EA7" w:rsidRDefault="00EE5107" w:rsidP="00EE5107">
      <w:pPr>
        <w:pStyle w:val="Textosinformato"/>
        <w:ind w:left="33"/>
        <w:jc w:val="both"/>
        <w:rPr>
          <w:rFonts w:asciiTheme="majorHAnsi" w:hAnsiTheme="majorHAnsi" w:cs="Times New Roman"/>
          <w:sz w:val="24"/>
          <w:szCs w:val="24"/>
          <w:lang w:val="es-ES"/>
        </w:rPr>
      </w:pPr>
      <w:r w:rsidRPr="00204EA7">
        <w:rPr>
          <w:rFonts w:asciiTheme="majorHAnsi" w:hAnsiTheme="majorHAnsi" w:cs="Times New Roman"/>
          <w:sz w:val="24"/>
          <w:szCs w:val="24"/>
          <w:lang w:val="es-ES"/>
        </w:rPr>
        <w:t>Las entidades no deben requerir el uso de ningún medio de autenticación y autorización de transacciones adicional, para aquellos usuarios que elijan utilizar el certificado digital emitido por el Sistema Nacional de Certificación Digital, en las plataformas de banca en línea de la entidad.</w:t>
      </w:r>
    </w:p>
    <w:p w14:paraId="2998BAF1" w14:textId="1AE2E6F2" w:rsidR="00C149D9" w:rsidRPr="00BF7C63" w:rsidRDefault="00C149D9" w:rsidP="00350287">
      <w:pPr>
        <w:pStyle w:val="Textosinformato"/>
        <w:ind w:left="33"/>
        <w:jc w:val="both"/>
        <w:rPr>
          <w:rFonts w:asciiTheme="majorHAnsi" w:eastAsia="Arial Unicode MS" w:hAnsiTheme="majorHAnsi" w:cs="Arial Unicode MS"/>
          <w:sz w:val="24"/>
          <w:szCs w:val="24"/>
          <w:lang w:val="es-ES_tradnl"/>
        </w:rPr>
      </w:pPr>
    </w:p>
    <w:p w14:paraId="7C6A73A1" w14:textId="77777777" w:rsidR="00C149D9" w:rsidRPr="00CA72A2" w:rsidRDefault="00C149D9" w:rsidP="00350287">
      <w:pPr>
        <w:pStyle w:val="Textosinformato"/>
        <w:ind w:left="33"/>
        <w:jc w:val="both"/>
        <w:rPr>
          <w:rFonts w:asciiTheme="majorHAnsi" w:eastAsia="Arial Unicode MS" w:hAnsiTheme="majorHAnsi" w:cs="Arial Unicode MS"/>
          <w:sz w:val="24"/>
          <w:szCs w:val="24"/>
          <w:lang w:val="es-CR"/>
        </w:rPr>
      </w:pPr>
    </w:p>
    <w:p w14:paraId="3B4FFF8B" w14:textId="77777777" w:rsidR="00350287" w:rsidRPr="00CA72A2" w:rsidRDefault="00350287" w:rsidP="00350287">
      <w:pPr>
        <w:widowControl w:val="0"/>
        <w:shd w:val="clear" w:color="auto" w:fill="D9D9D9"/>
        <w:spacing w:line="240" w:lineRule="auto"/>
        <w:ind w:left="33"/>
        <w:rPr>
          <w:rFonts w:asciiTheme="majorHAnsi" w:hAnsiTheme="majorHAnsi"/>
          <w:b/>
          <w:sz w:val="24"/>
        </w:rPr>
      </w:pPr>
      <w:r w:rsidRPr="00CA72A2">
        <w:rPr>
          <w:rFonts w:asciiTheme="majorHAnsi" w:hAnsiTheme="majorHAnsi"/>
          <w:b/>
          <w:sz w:val="24"/>
        </w:rPr>
        <w:t>4.3 Emisión de comprobantes de transacciones</w:t>
      </w:r>
    </w:p>
    <w:p w14:paraId="070B57C8"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p>
    <w:p w14:paraId="593356CA"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r w:rsidRPr="00CA72A2">
        <w:rPr>
          <w:rFonts w:asciiTheme="majorHAnsi" w:hAnsiTheme="majorHAnsi" w:cs="Arial"/>
          <w:sz w:val="24"/>
          <w:lang w:val="es-CR" w:eastAsia="es-CR"/>
        </w:rPr>
        <w:t>La entidad supervisada debe emitir un comprobante de confirmación para cada una de las transacciones que realicen con sus clientes, ya sea por medio</w:t>
      </w:r>
      <w:r w:rsidRPr="00CA72A2">
        <w:rPr>
          <w:rFonts w:asciiTheme="majorHAnsi" w:hAnsiTheme="majorHAnsi" w:cs="Arial"/>
          <w:color w:val="FF0000"/>
          <w:sz w:val="24"/>
          <w:lang w:val="es-CR" w:eastAsia="es-CR"/>
        </w:rPr>
        <w:t xml:space="preserve"> </w:t>
      </w:r>
      <w:r w:rsidRPr="00CA72A2">
        <w:rPr>
          <w:rFonts w:asciiTheme="majorHAnsi" w:hAnsiTheme="majorHAnsi" w:cs="Arial"/>
          <w:sz w:val="24"/>
          <w:lang w:val="es-CR" w:eastAsia="es-CR"/>
        </w:rPr>
        <w:t xml:space="preserve">de su plataforma de banca en línea o por cualquier otro medio. </w:t>
      </w:r>
    </w:p>
    <w:p w14:paraId="219579FF"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p>
    <w:p w14:paraId="7E75F3B7"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r w:rsidRPr="00CA72A2">
        <w:rPr>
          <w:rFonts w:asciiTheme="majorHAnsi" w:hAnsiTheme="majorHAnsi" w:cs="Arial"/>
          <w:sz w:val="24"/>
          <w:lang w:val="es-CR" w:eastAsia="es-CR"/>
        </w:rPr>
        <w:t xml:space="preserve">Independientemente de cuál haya sido el mecanismo de seguridad utilizado por el cliente para autenticarse y autorizar las transacciones en el sitio web, las transacciones consideradas de riesgo, conforme los criterios definidos por la propia entidad, deben estar sujetas a un protocolo de confirmación </w:t>
      </w:r>
      <w:r w:rsidRPr="00CA72A2">
        <w:rPr>
          <w:rFonts w:asciiTheme="majorHAnsi" w:hAnsiTheme="majorHAnsi" w:cs="Arial"/>
          <w:sz w:val="24"/>
          <w:lang w:val="es-CR" w:eastAsia="es-CR"/>
        </w:rPr>
        <w:lastRenderedPageBreak/>
        <w:t xml:space="preserve">que haga uso del certificado de Persona Jurídica (Sello Electrónico) </w:t>
      </w:r>
      <w:r w:rsidRPr="00CA72A2">
        <w:rPr>
          <w:rFonts w:asciiTheme="majorHAnsi" w:eastAsia="Arial Unicode MS" w:hAnsiTheme="majorHAnsi" w:cs="Arial Unicode MS"/>
          <w:sz w:val="24"/>
        </w:rPr>
        <w:t>emitido a través de la infraestructura del Sistema Nacional de Certificación Digital</w:t>
      </w:r>
      <w:r w:rsidRPr="00CA72A2">
        <w:rPr>
          <w:rFonts w:asciiTheme="majorHAnsi" w:hAnsiTheme="majorHAnsi" w:cs="Arial"/>
          <w:sz w:val="24"/>
          <w:lang w:val="es-CR" w:eastAsia="es-CR"/>
        </w:rPr>
        <w:t>.</w:t>
      </w:r>
    </w:p>
    <w:p w14:paraId="0E13A9A5"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p>
    <w:p w14:paraId="235FE3A7"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r w:rsidRPr="00CA72A2">
        <w:rPr>
          <w:rFonts w:asciiTheme="majorHAnsi" w:hAnsiTheme="majorHAnsi" w:cs="Arial"/>
          <w:sz w:val="24"/>
          <w:lang w:val="es-CR" w:eastAsia="es-CR"/>
        </w:rPr>
        <w:t xml:space="preserve">En la medida de lo posible, se debe procurar que la transacción autorizada por el cliente y el respectivo comprobante de confirmación (que la entidad debe emitirle a su cliente) sea un solo archivo, no obstante, en caso de que éstos sean archivos separados, los mismos deben estar asociados lógicamente de modo que se pueda establecer la relación directa entre ambos. </w:t>
      </w:r>
    </w:p>
    <w:p w14:paraId="0281E4BE"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p>
    <w:p w14:paraId="4C30FE53" w14:textId="77777777" w:rsidR="00350287" w:rsidRPr="00CA72A2" w:rsidRDefault="00350287" w:rsidP="00350287">
      <w:pPr>
        <w:widowControl w:val="0"/>
        <w:shd w:val="clear" w:color="auto" w:fill="D9D9D9"/>
        <w:spacing w:line="240" w:lineRule="auto"/>
        <w:ind w:left="33"/>
        <w:rPr>
          <w:rFonts w:asciiTheme="majorHAnsi" w:hAnsiTheme="majorHAnsi"/>
          <w:b/>
          <w:sz w:val="24"/>
        </w:rPr>
      </w:pPr>
      <w:r w:rsidRPr="00CA72A2">
        <w:rPr>
          <w:rFonts w:asciiTheme="majorHAnsi" w:hAnsiTheme="majorHAnsi"/>
          <w:b/>
          <w:sz w:val="24"/>
        </w:rPr>
        <w:t>4.4 Conservación de los comprobantes de las transacciones</w:t>
      </w:r>
    </w:p>
    <w:p w14:paraId="0E99A3EE" w14:textId="77777777" w:rsidR="00350287" w:rsidRPr="00CA72A2" w:rsidRDefault="00350287" w:rsidP="00350287">
      <w:pPr>
        <w:autoSpaceDE w:val="0"/>
        <w:autoSpaceDN w:val="0"/>
        <w:adjustRightInd w:val="0"/>
        <w:spacing w:line="240" w:lineRule="auto"/>
        <w:ind w:left="33"/>
        <w:rPr>
          <w:rFonts w:asciiTheme="majorHAnsi" w:eastAsia="Arial Unicode MS" w:hAnsiTheme="majorHAnsi" w:cs="Arial Unicode MS"/>
          <w:sz w:val="24"/>
        </w:rPr>
      </w:pPr>
    </w:p>
    <w:p w14:paraId="3732898C" w14:textId="77777777" w:rsidR="00350287" w:rsidRPr="00CA72A2" w:rsidRDefault="00350287" w:rsidP="00350287">
      <w:pPr>
        <w:autoSpaceDE w:val="0"/>
        <w:autoSpaceDN w:val="0"/>
        <w:adjustRightInd w:val="0"/>
        <w:spacing w:line="240" w:lineRule="auto"/>
        <w:ind w:left="33"/>
        <w:rPr>
          <w:rFonts w:asciiTheme="majorHAnsi" w:eastAsia="Arial Unicode MS" w:hAnsiTheme="majorHAnsi" w:cs="Arial Unicode MS"/>
          <w:strike/>
          <w:sz w:val="24"/>
        </w:rPr>
      </w:pPr>
      <w:r w:rsidRPr="00CA72A2">
        <w:rPr>
          <w:rFonts w:asciiTheme="majorHAnsi" w:eastAsia="Arial Unicode MS" w:hAnsiTheme="majorHAnsi" w:cs="Arial Unicode MS"/>
          <w:sz w:val="24"/>
        </w:rPr>
        <w:t xml:space="preserve">Sin detrimento de cualquier otra disposición legal aplicable, para todas las transacciones autorizadas por los clientes por medio del servicio de banca en línea, las entidades supervisadas deben mantener, como mínimo, durante 48 meses, el registro histórico de esas transacciones, así como el registro de los respectivos comprobantes de confirmación.  </w:t>
      </w:r>
    </w:p>
    <w:p w14:paraId="28D3A085" w14:textId="77777777" w:rsidR="00350287" w:rsidRPr="00CA72A2" w:rsidRDefault="00350287" w:rsidP="00350287">
      <w:pPr>
        <w:autoSpaceDE w:val="0"/>
        <w:autoSpaceDN w:val="0"/>
        <w:adjustRightInd w:val="0"/>
        <w:spacing w:line="240" w:lineRule="auto"/>
        <w:ind w:left="33"/>
        <w:rPr>
          <w:rFonts w:asciiTheme="majorHAnsi" w:eastAsia="Arial Unicode MS" w:hAnsiTheme="majorHAnsi" w:cs="Arial Unicode MS"/>
          <w:sz w:val="24"/>
        </w:rPr>
      </w:pPr>
    </w:p>
    <w:p w14:paraId="59C1CDEE"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r w:rsidRPr="00CA72A2">
        <w:rPr>
          <w:rFonts w:asciiTheme="majorHAnsi" w:hAnsiTheme="majorHAnsi" w:cs="Arial"/>
          <w:sz w:val="24"/>
          <w:lang w:val="es-CR" w:eastAsia="es-CR"/>
        </w:rPr>
        <w:t xml:space="preserve">Las entidades supervisadas deben tener a disposición de sus clientes los comprobantes de las transacciones de modo que éstos puedan obtenerlos al momento de concluir la operación y en cualquier momento posterior, dentro de los 48 meses a su realización. Para los efectos, la entidad debe definir el lapso en que podrán ser consultados directamente en la plataforma de banca en línea, superado dicho plazo, debe dar a conocer el trámite que el cliente debe realizar para obtener la respectiva información. </w:t>
      </w:r>
    </w:p>
    <w:p w14:paraId="7B060577"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p>
    <w:p w14:paraId="310C968D" w14:textId="77777777" w:rsidR="00350287" w:rsidRPr="00CA72A2" w:rsidRDefault="00350287" w:rsidP="00350287">
      <w:pPr>
        <w:autoSpaceDE w:val="0"/>
        <w:autoSpaceDN w:val="0"/>
        <w:adjustRightInd w:val="0"/>
        <w:spacing w:line="240" w:lineRule="auto"/>
        <w:ind w:left="33"/>
        <w:rPr>
          <w:rFonts w:asciiTheme="majorHAnsi" w:hAnsiTheme="majorHAnsi" w:cs="Arial"/>
          <w:sz w:val="24"/>
          <w:lang w:val="es-CR" w:eastAsia="es-CR"/>
        </w:rPr>
      </w:pPr>
    </w:p>
    <w:p w14:paraId="4AF85D7D" w14:textId="77777777" w:rsidR="00350287" w:rsidRPr="00CA72A2" w:rsidRDefault="00350287" w:rsidP="00350287">
      <w:pPr>
        <w:widowControl w:val="0"/>
        <w:shd w:val="clear" w:color="auto" w:fill="D9D9D9"/>
        <w:spacing w:line="240" w:lineRule="auto"/>
        <w:ind w:left="33"/>
        <w:rPr>
          <w:rFonts w:asciiTheme="majorHAnsi" w:hAnsiTheme="majorHAnsi"/>
          <w:b/>
          <w:sz w:val="24"/>
        </w:rPr>
      </w:pPr>
      <w:r w:rsidRPr="00CA72A2">
        <w:rPr>
          <w:rFonts w:asciiTheme="majorHAnsi" w:hAnsiTheme="majorHAnsi"/>
          <w:b/>
          <w:sz w:val="24"/>
        </w:rPr>
        <w:lastRenderedPageBreak/>
        <w:t>4.5 Formato de los archivos de los comprobantes firmados digitalmente</w:t>
      </w:r>
    </w:p>
    <w:p w14:paraId="35275C14" w14:textId="77777777" w:rsidR="00350287" w:rsidRPr="00CA72A2" w:rsidRDefault="00350287" w:rsidP="00350287">
      <w:pPr>
        <w:spacing w:line="240" w:lineRule="auto"/>
        <w:ind w:left="33"/>
        <w:rPr>
          <w:rFonts w:asciiTheme="majorHAnsi" w:eastAsia="Arial Unicode MS" w:hAnsiTheme="majorHAnsi" w:cs="Arial Unicode MS"/>
          <w:sz w:val="24"/>
        </w:rPr>
      </w:pPr>
    </w:p>
    <w:p w14:paraId="420432AC" w14:textId="77777777" w:rsidR="00350287" w:rsidRPr="00CA72A2" w:rsidRDefault="00350287" w:rsidP="00350287">
      <w:pPr>
        <w:spacing w:line="240" w:lineRule="auto"/>
        <w:ind w:left="33"/>
        <w:rPr>
          <w:rFonts w:asciiTheme="majorHAnsi" w:hAnsiTheme="majorHAnsi"/>
          <w:sz w:val="24"/>
        </w:rPr>
      </w:pPr>
      <w:r w:rsidRPr="00CA72A2">
        <w:rPr>
          <w:rFonts w:asciiTheme="majorHAnsi" w:eastAsia="Arial Unicode MS" w:hAnsiTheme="majorHAnsi" w:cs="Arial Unicode MS"/>
          <w:sz w:val="24"/>
        </w:rPr>
        <w:t xml:space="preserve">Todos los archivos electrónicos firmados digitalmente por la entidad supervisada o por sus clientes deben </w:t>
      </w:r>
      <w:r w:rsidRPr="00CA72A2">
        <w:rPr>
          <w:rFonts w:asciiTheme="majorHAnsi" w:hAnsiTheme="majorHAnsi"/>
          <w:sz w:val="24"/>
        </w:rPr>
        <w:t>cumplir con los requisitos estipulados en la “Política de formatos oficiales de los documentos electrónicos firmados digitalmente”, emitida por la Dirección de Certificadores de Firma Digital del Ministerio de Ciencia, Tecnología y Telecomunicaciones (MICITT). Adicionalmente, las entidades supervisadas deben ofrecer a sus clientes las herramientas necesarias para que puedan visualizar la información contenida en estos archivos, así como para que puedan verificar la validez de las firmas digitales consignadas en estos.</w:t>
      </w:r>
    </w:p>
    <w:p w14:paraId="3618CE4C" w14:textId="77777777" w:rsidR="00350287" w:rsidRPr="00CA72A2" w:rsidRDefault="00350287" w:rsidP="00350287">
      <w:pPr>
        <w:spacing w:line="240" w:lineRule="auto"/>
        <w:ind w:left="33"/>
        <w:rPr>
          <w:rFonts w:asciiTheme="majorHAnsi" w:hAnsiTheme="majorHAnsi"/>
          <w:sz w:val="24"/>
        </w:rPr>
      </w:pPr>
    </w:p>
    <w:p w14:paraId="70AEFCF8" w14:textId="77777777" w:rsidR="00350287" w:rsidRPr="00CA72A2" w:rsidRDefault="00350287" w:rsidP="00350287">
      <w:pPr>
        <w:spacing w:line="240" w:lineRule="auto"/>
        <w:ind w:left="33"/>
        <w:rPr>
          <w:rFonts w:asciiTheme="majorHAnsi" w:eastAsia="Arial Unicode MS" w:hAnsiTheme="majorHAnsi" w:cs="Arial Unicode MS"/>
          <w:sz w:val="24"/>
        </w:rPr>
      </w:pPr>
    </w:p>
    <w:p w14:paraId="042B9B40" w14:textId="77777777" w:rsidR="00350287" w:rsidRPr="00CA72A2" w:rsidRDefault="00350287" w:rsidP="00350287">
      <w:pPr>
        <w:widowControl w:val="0"/>
        <w:shd w:val="clear" w:color="auto" w:fill="D9D9D9"/>
        <w:spacing w:line="240" w:lineRule="auto"/>
        <w:ind w:left="33"/>
        <w:rPr>
          <w:rFonts w:asciiTheme="majorHAnsi" w:hAnsiTheme="majorHAnsi"/>
          <w:b/>
          <w:sz w:val="24"/>
        </w:rPr>
      </w:pPr>
      <w:r w:rsidRPr="00CA72A2">
        <w:rPr>
          <w:rFonts w:asciiTheme="majorHAnsi" w:hAnsiTheme="majorHAnsi"/>
          <w:b/>
          <w:sz w:val="24"/>
        </w:rPr>
        <w:t>4.6 Desarrollo de nuevos trámites firmados digitalmente</w:t>
      </w:r>
    </w:p>
    <w:p w14:paraId="17EFA21F" w14:textId="77777777" w:rsidR="00350287" w:rsidRPr="00CA72A2" w:rsidRDefault="00350287" w:rsidP="00350287">
      <w:pPr>
        <w:pStyle w:val="Textosinformato"/>
        <w:ind w:left="33"/>
        <w:jc w:val="both"/>
        <w:rPr>
          <w:rFonts w:asciiTheme="majorHAnsi" w:eastAsia="Arial Unicode MS" w:hAnsiTheme="majorHAnsi" w:cs="Arial Unicode MS"/>
          <w:sz w:val="24"/>
          <w:szCs w:val="24"/>
          <w:lang w:val="es-ES" w:eastAsia="es-ES"/>
        </w:rPr>
      </w:pPr>
    </w:p>
    <w:p w14:paraId="5F2B37C2" w14:textId="77777777" w:rsidR="00350287" w:rsidRPr="00CA72A2" w:rsidRDefault="00350287" w:rsidP="00350287">
      <w:pPr>
        <w:pStyle w:val="Textosinformato"/>
        <w:ind w:left="33"/>
        <w:jc w:val="both"/>
        <w:rPr>
          <w:rFonts w:asciiTheme="majorHAnsi" w:eastAsia="Arial Unicode MS" w:hAnsiTheme="majorHAnsi" w:cs="Arial Unicode MS"/>
          <w:sz w:val="24"/>
          <w:szCs w:val="24"/>
          <w:lang w:val="es-ES" w:eastAsia="es-ES"/>
        </w:rPr>
      </w:pPr>
      <w:r w:rsidRPr="00CA72A2">
        <w:rPr>
          <w:rFonts w:asciiTheme="majorHAnsi" w:eastAsia="Arial Unicode MS" w:hAnsiTheme="majorHAnsi" w:cs="Arial Unicode MS"/>
          <w:sz w:val="24"/>
          <w:szCs w:val="24"/>
          <w:lang w:val="es-ES" w:eastAsia="es-ES"/>
        </w:rPr>
        <w:t>Las entidades supervisadas deben incentivar el desarrollo de nuevos servicios que posibiliten que todo trámite o gestión que requiera ser firmado por sus clientes, esté disponible en su plataforma de banca en línea y pueda ser firmado digitalmente por éstos, evitando así, que tengan que trasladarse físicamente a la entidad con este propósito.</w:t>
      </w:r>
    </w:p>
    <w:p w14:paraId="5BA5A2F1" w14:textId="77777777" w:rsidR="00350287" w:rsidRPr="00CA72A2" w:rsidRDefault="00350287" w:rsidP="00350287">
      <w:pPr>
        <w:widowControl w:val="0"/>
        <w:spacing w:line="240" w:lineRule="auto"/>
        <w:ind w:left="33"/>
        <w:rPr>
          <w:rFonts w:asciiTheme="majorHAnsi" w:hAnsiTheme="majorHAnsi"/>
          <w:b/>
          <w:sz w:val="24"/>
        </w:rPr>
      </w:pPr>
    </w:p>
    <w:p w14:paraId="7C68DEE0" w14:textId="77777777" w:rsidR="00350287" w:rsidRPr="00CA72A2" w:rsidRDefault="00350287" w:rsidP="00350287">
      <w:pPr>
        <w:widowControl w:val="0"/>
        <w:spacing w:line="240" w:lineRule="auto"/>
        <w:ind w:left="33"/>
        <w:rPr>
          <w:rFonts w:asciiTheme="majorHAnsi" w:hAnsiTheme="majorHAnsi"/>
          <w:b/>
          <w:sz w:val="24"/>
        </w:rPr>
      </w:pPr>
      <w:r w:rsidRPr="00CA72A2">
        <w:rPr>
          <w:rFonts w:asciiTheme="majorHAnsi" w:hAnsiTheme="majorHAnsi"/>
          <w:b/>
          <w:sz w:val="24"/>
        </w:rPr>
        <w:t xml:space="preserve">Transitorio </w:t>
      </w:r>
      <w:r w:rsidRPr="00C149D9">
        <w:rPr>
          <w:rFonts w:asciiTheme="majorHAnsi" w:hAnsiTheme="majorHAnsi"/>
          <w:b/>
          <w:color w:val="000000" w:themeColor="text2" w:themeShade="BF"/>
          <w:sz w:val="24"/>
        </w:rPr>
        <w:t>I</w:t>
      </w:r>
    </w:p>
    <w:p w14:paraId="5E3B23B8" w14:textId="77777777" w:rsidR="00350287" w:rsidRPr="00CA72A2" w:rsidRDefault="00350287" w:rsidP="00350287">
      <w:pPr>
        <w:widowControl w:val="0"/>
        <w:spacing w:line="240" w:lineRule="auto"/>
        <w:ind w:left="33"/>
        <w:rPr>
          <w:rFonts w:asciiTheme="majorHAnsi" w:eastAsia="Arial Unicode MS" w:hAnsiTheme="majorHAnsi" w:cs="Arial Unicode MS"/>
          <w:sz w:val="24"/>
        </w:rPr>
      </w:pPr>
    </w:p>
    <w:p w14:paraId="1DD63CDC" w14:textId="77777777" w:rsidR="00350287" w:rsidRPr="00CA72A2" w:rsidRDefault="00350287" w:rsidP="00350287">
      <w:pPr>
        <w:widowControl w:val="0"/>
        <w:spacing w:line="240" w:lineRule="auto"/>
        <w:ind w:left="33"/>
        <w:rPr>
          <w:rFonts w:asciiTheme="majorHAnsi" w:eastAsia="Arial Unicode MS" w:hAnsiTheme="majorHAnsi" w:cs="Arial Unicode MS"/>
          <w:sz w:val="24"/>
        </w:rPr>
      </w:pPr>
      <w:r w:rsidRPr="00CA72A2">
        <w:rPr>
          <w:rFonts w:asciiTheme="majorHAnsi" w:eastAsia="Arial Unicode MS" w:hAnsiTheme="majorHAnsi" w:cs="Arial Unicode MS"/>
          <w:sz w:val="24"/>
        </w:rPr>
        <w:t>La entidad cuenta con 24 meses a partir de la entrada en vigencia del Acuerdo SUGEF 18-16, para implementar todas las funcionalidades necesa</w:t>
      </w:r>
      <w:r w:rsidRPr="00CA72A2">
        <w:rPr>
          <w:rFonts w:asciiTheme="majorHAnsi" w:eastAsia="Arial Unicode MS" w:hAnsiTheme="majorHAnsi" w:cs="Arial Unicode MS"/>
          <w:sz w:val="24"/>
        </w:rPr>
        <w:lastRenderedPageBreak/>
        <w:t xml:space="preserve">rias que le permitan atender los requerimientos relacionados con el apartado IV de estos lineamientos. </w:t>
      </w:r>
    </w:p>
    <w:p w14:paraId="224ABF8B" w14:textId="77777777" w:rsidR="00350287" w:rsidRPr="00CA72A2" w:rsidRDefault="00350287" w:rsidP="00350287">
      <w:pPr>
        <w:widowControl w:val="0"/>
        <w:spacing w:line="240" w:lineRule="auto"/>
        <w:ind w:left="33"/>
        <w:rPr>
          <w:rFonts w:asciiTheme="majorHAnsi" w:eastAsia="Arial Unicode MS" w:hAnsiTheme="majorHAnsi" w:cs="Arial Unicode MS"/>
          <w:b/>
          <w:sz w:val="24"/>
        </w:rPr>
      </w:pPr>
      <w:r w:rsidRPr="00CA72A2">
        <w:rPr>
          <w:rFonts w:asciiTheme="majorHAnsi" w:eastAsia="Arial Unicode MS" w:hAnsiTheme="majorHAnsi" w:cs="Arial Unicode MS"/>
          <w:b/>
          <w:sz w:val="24"/>
        </w:rPr>
        <w:t>Transitorio II</w:t>
      </w:r>
    </w:p>
    <w:p w14:paraId="28A2EA26" w14:textId="77777777" w:rsidR="00350287" w:rsidRPr="00CA72A2" w:rsidRDefault="00350287" w:rsidP="00350287">
      <w:pPr>
        <w:widowControl w:val="0"/>
        <w:spacing w:line="240" w:lineRule="auto"/>
        <w:ind w:left="33"/>
        <w:rPr>
          <w:rFonts w:asciiTheme="majorHAnsi" w:eastAsia="Arial Unicode MS" w:hAnsiTheme="majorHAnsi" w:cs="Arial Unicode MS"/>
          <w:sz w:val="24"/>
        </w:rPr>
      </w:pPr>
    </w:p>
    <w:p w14:paraId="0CFD858E" w14:textId="77777777" w:rsidR="00350287" w:rsidRPr="00CA72A2" w:rsidRDefault="00350287" w:rsidP="00350287">
      <w:pPr>
        <w:widowControl w:val="0"/>
        <w:spacing w:line="240" w:lineRule="auto"/>
        <w:ind w:left="33"/>
        <w:rPr>
          <w:rFonts w:asciiTheme="majorHAnsi" w:eastAsia="Arial Unicode MS" w:hAnsiTheme="majorHAnsi" w:cs="Arial Unicode MS"/>
          <w:sz w:val="24"/>
          <w:u w:val="single"/>
        </w:rPr>
      </w:pPr>
      <w:r w:rsidRPr="00CA72A2">
        <w:rPr>
          <w:rFonts w:asciiTheme="majorHAnsi" w:eastAsia="Arial Unicode MS" w:hAnsiTheme="majorHAnsi" w:cs="Arial Unicode MS"/>
          <w:sz w:val="24"/>
          <w:u w:val="single"/>
        </w:rPr>
        <w:t>Firma digital para personas jurídicas:</w:t>
      </w:r>
    </w:p>
    <w:p w14:paraId="74F95294" w14:textId="77777777" w:rsidR="00350287" w:rsidRPr="00CA72A2" w:rsidRDefault="00350287" w:rsidP="00350287">
      <w:pPr>
        <w:widowControl w:val="0"/>
        <w:spacing w:line="240" w:lineRule="auto"/>
        <w:ind w:left="33"/>
        <w:rPr>
          <w:rFonts w:asciiTheme="majorHAnsi" w:eastAsia="Arial Unicode MS" w:hAnsiTheme="majorHAnsi" w:cs="Arial Unicode MS"/>
          <w:sz w:val="24"/>
        </w:rPr>
      </w:pPr>
    </w:p>
    <w:p w14:paraId="1BE1E83C" w14:textId="77777777" w:rsidR="00350287" w:rsidRPr="00CA72A2" w:rsidRDefault="00350287" w:rsidP="00350287">
      <w:pPr>
        <w:widowControl w:val="0"/>
        <w:spacing w:line="240" w:lineRule="auto"/>
        <w:ind w:left="33"/>
        <w:rPr>
          <w:rFonts w:asciiTheme="majorHAnsi" w:eastAsia="Arial Unicode MS" w:hAnsiTheme="majorHAnsi" w:cs="Arial Unicode MS"/>
          <w:sz w:val="24"/>
        </w:rPr>
      </w:pPr>
      <w:r w:rsidRPr="00CA72A2">
        <w:rPr>
          <w:rFonts w:asciiTheme="majorHAnsi" w:eastAsia="Arial Unicode MS" w:hAnsiTheme="majorHAnsi" w:cs="Arial Unicode MS"/>
          <w:sz w:val="24"/>
        </w:rPr>
        <w:t>De acuerdo con lo establecido en el punto “4.3 Emisión de comprobantes de transacciones” de la Sección “IV. REQUERIMIENTOS MÍNIMOS RESPECTO A LA AUTENTICACIÓN DE CLIENTES Y AUTORIZACIÓN DE TRANSACCIONES EN LOS MEDIOS Y DISPOSITIVOS DE LOS CANALES ELECTRÓNICOS UTILIZADOS EN LA PRESTACIÓN DE SERVICIOS FINANCIEROS DE BANCA EN LINEA.”, se requiere que todas las personas jurídicas efectúen sus trámites utilizando el certificado de Persona Jurídica (Sello Electrónico) emitido a través de la infraestructura del Sistema Nacional de Certificación Digital. Sin embargo, a la fecha de emisión de esta norma, el uso de este dispositivo está limitado a personas jurídicas del sector público. Por tanto, el uso del dispositivo será obligatorio a partir de los doce meses siguientes a la implementación del mismo por parte del Sistema Nacional de Certificación Digital.</w:t>
      </w:r>
    </w:p>
    <w:p w14:paraId="44971200" w14:textId="77777777" w:rsidR="00350287" w:rsidRPr="00CA72A2" w:rsidRDefault="00350287" w:rsidP="00350287">
      <w:pPr>
        <w:widowControl w:val="0"/>
        <w:spacing w:line="240" w:lineRule="auto"/>
        <w:ind w:left="33"/>
        <w:rPr>
          <w:rFonts w:asciiTheme="majorHAnsi" w:eastAsia="Arial Unicode MS" w:hAnsiTheme="majorHAnsi" w:cs="Arial Unicode MS"/>
          <w:sz w:val="24"/>
        </w:rPr>
      </w:pPr>
    </w:p>
    <w:p w14:paraId="729A596C" w14:textId="77777777" w:rsidR="00350287" w:rsidRPr="00CA72A2" w:rsidRDefault="00350287" w:rsidP="00350287">
      <w:pPr>
        <w:widowControl w:val="0"/>
        <w:spacing w:line="240" w:lineRule="auto"/>
        <w:ind w:left="33"/>
        <w:rPr>
          <w:rFonts w:asciiTheme="majorHAnsi" w:eastAsia="Arial Unicode MS" w:hAnsiTheme="majorHAnsi" w:cs="Arial Unicode MS"/>
          <w:sz w:val="24"/>
        </w:rPr>
      </w:pPr>
    </w:p>
    <w:p w14:paraId="266572C1" w14:textId="77777777" w:rsidR="00350287" w:rsidRPr="00CA72A2" w:rsidRDefault="00350287" w:rsidP="00350287">
      <w:pPr>
        <w:widowControl w:val="0"/>
        <w:spacing w:line="240" w:lineRule="auto"/>
        <w:ind w:left="33"/>
        <w:rPr>
          <w:rFonts w:asciiTheme="majorHAnsi" w:eastAsia="Arial Unicode MS" w:hAnsiTheme="majorHAnsi" w:cs="Arial Unicode MS"/>
          <w:b/>
          <w:sz w:val="24"/>
        </w:rPr>
      </w:pPr>
      <w:r w:rsidRPr="00CA72A2">
        <w:rPr>
          <w:rFonts w:asciiTheme="majorHAnsi" w:eastAsia="Arial Unicode MS" w:hAnsiTheme="majorHAnsi" w:cs="Arial Unicode MS"/>
          <w:b/>
          <w:sz w:val="24"/>
        </w:rPr>
        <w:t>Transitorio III</w:t>
      </w:r>
    </w:p>
    <w:p w14:paraId="1CF02CF5" w14:textId="77777777" w:rsidR="00350287" w:rsidRPr="00CA72A2" w:rsidRDefault="00350287" w:rsidP="00350287">
      <w:pPr>
        <w:widowControl w:val="0"/>
        <w:spacing w:line="240" w:lineRule="auto"/>
        <w:ind w:left="33"/>
        <w:rPr>
          <w:rFonts w:asciiTheme="majorHAnsi" w:eastAsia="Arial Unicode MS" w:hAnsiTheme="majorHAnsi" w:cs="Arial Unicode MS"/>
          <w:sz w:val="24"/>
        </w:rPr>
      </w:pPr>
    </w:p>
    <w:p w14:paraId="44F97A7C" w14:textId="77777777" w:rsidR="00350287" w:rsidRPr="00CA72A2" w:rsidRDefault="00350287" w:rsidP="00350287">
      <w:pPr>
        <w:widowControl w:val="0"/>
        <w:spacing w:line="240" w:lineRule="auto"/>
        <w:ind w:left="33"/>
        <w:rPr>
          <w:rFonts w:asciiTheme="majorHAnsi" w:eastAsia="Arial Unicode MS" w:hAnsiTheme="majorHAnsi" w:cs="Arial Unicode MS"/>
          <w:sz w:val="24"/>
        </w:rPr>
      </w:pPr>
      <w:r w:rsidRPr="00CA72A2">
        <w:rPr>
          <w:rFonts w:asciiTheme="majorHAnsi" w:eastAsia="Arial Unicode MS" w:hAnsiTheme="majorHAnsi" w:cs="Arial Unicode MS"/>
          <w:sz w:val="24"/>
        </w:rPr>
        <w:t xml:space="preserve">En los puntos “4.2 Autenticación y Autorización de Transacciones” y “4.3 Emisión de comprobantes de transacciones” de la Sección “IV. REQUERIMIENTOS MÍNIMOS RESPECTO A LA AUTENTICACIÓN DE CLIENTES Y AUTORIZACIÓN DE TRANSACCIONES EN LOS MEDIOS Y DISPOSITIVOS DE LOS CANALES </w:t>
      </w:r>
      <w:r w:rsidRPr="00CA72A2">
        <w:rPr>
          <w:rFonts w:asciiTheme="majorHAnsi" w:eastAsia="Arial Unicode MS" w:hAnsiTheme="majorHAnsi" w:cs="Arial Unicode MS"/>
          <w:sz w:val="24"/>
        </w:rPr>
        <w:lastRenderedPageBreak/>
        <w:t>ELECTRÓNICOS UTILIZADOS EN LA PRESTACIÓN DE SERVICIOS FINANCIEROS DE BANCA EN LINEA.”, se hace referencia al sitio web. Sin embargo, en el momento a partir del cual la entidad utilice una plataforma alternativa, ésta deberá informarlo a la SUGEF, aplicándole los mismos requerimientos estipulados en los puntos mencionados.</w:t>
      </w:r>
    </w:p>
    <w:p w14:paraId="31DCCBD4" w14:textId="77777777" w:rsidR="00350287" w:rsidRPr="00CA72A2" w:rsidRDefault="00350287" w:rsidP="00350287">
      <w:pPr>
        <w:spacing w:line="240" w:lineRule="auto"/>
        <w:ind w:left="33"/>
        <w:rPr>
          <w:rFonts w:asciiTheme="majorHAnsi" w:hAnsiTheme="majorHAnsi"/>
          <w:sz w:val="24"/>
        </w:rPr>
      </w:pPr>
    </w:p>
    <w:p w14:paraId="7E844340" w14:textId="77777777" w:rsidR="00350287" w:rsidRDefault="00350287" w:rsidP="00350287">
      <w:pPr>
        <w:spacing w:line="240" w:lineRule="auto"/>
        <w:ind w:left="33"/>
        <w:rPr>
          <w:rFonts w:asciiTheme="majorHAnsi" w:hAnsiTheme="majorHAnsi"/>
          <w:sz w:val="24"/>
        </w:rPr>
      </w:pPr>
      <w:r w:rsidRPr="00CA72A2">
        <w:rPr>
          <w:rFonts w:asciiTheme="majorHAnsi" w:hAnsiTheme="majorHAnsi"/>
          <w:sz w:val="24"/>
        </w:rPr>
        <w:t>Rige a partir de su publicación en el Diario Oficial La Gaceta.</w:t>
      </w:r>
    </w:p>
    <w:p w14:paraId="5D35B1D4" w14:textId="537A16E7" w:rsidR="00CA2739" w:rsidRPr="00CA72A2" w:rsidRDefault="00CA2739" w:rsidP="00350287">
      <w:pPr>
        <w:spacing w:line="240" w:lineRule="auto"/>
        <w:ind w:left="33"/>
        <w:rPr>
          <w:rFonts w:asciiTheme="majorHAnsi" w:hAnsiTheme="majorHAnsi"/>
          <w:sz w:val="24"/>
        </w:rPr>
      </w:pPr>
    </w:p>
    <w:p w14:paraId="3314FA24" w14:textId="5165D475" w:rsidR="0071134B" w:rsidRPr="00CA72A2" w:rsidRDefault="0071134B" w:rsidP="00D26EDE">
      <w:pPr>
        <w:pStyle w:val="Texto0"/>
        <w:spacing w:before="0" w:after="0" w:line="240" w:lineRule="auto"/>
        <w:rPr>
          <w:sz w:val="24"/>
        </w:rPr>
      </w:pPr>
      <w:r w:rsidRPr="00CA72A2">
        <w:rPr>
          <w:sz w:val="24"/>
        </w:rPr>
        <w:t>Atentamente,</w:t>
      </w:r>
    </w:p>
    <w:p w14:paraId="46CD15B6" w14:textId="4A9469D4" w:rsidR="000F34AE" w:rsidRPr="00CA72A2" w:rsidRDefault="00CA2739" w:rsidP="00D26EDE">
      <w:pPr>
        <w:spacing w:line="240" w:lineRule="auto"/>
        <w:rPr>
          <w:sz w:val="24"/>
        </w:rPr>
      </w:pPr>
      <w:r w:rsidRPr="00CA72A2">
        <w:rPr>
          <w:noProof/>
          <w:sz w:val="24"/>
          <w:lang w:val="es-CR" w:eastAsia="es-CR"/>
        </w:rPr>
        <w:drawing>
          <wp:anchor distT="0" distB="0" distL="114300" distR="114300" simplePos="0" relativeHeight="251658240" behindDoc="1" locked="0" layoutInCell="1" allowOverlap="1" wp14:anchorId="511D923C" wp14:editId="4A9F1B4A">
            <wp:simplePos x="0" y="0"/>
            <wp:positionH relativeFrom="column">
              <wp:posOffset>-40479</wp:posOffset>
            </wp:positionH>
            <wp:positionV relativeFrom="paragraph">
              <wp:posOffset>112612</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4C6D0C4" w14:textId="14131BA8" w:rsidR="00041BDD" w:rsidRDefault="00041BDD" w:rsidP="00D26EDE">
      <w:pPr>
        <w:spacing w:line="240" w:lineRule="auto"/>
        <w:rPr>
          <w:sz w:val="24"/>
        </w:rPr>
      </w:pPr>
    </w:p>
    <w:p w14:paraId="3864F4E1" w14:textId="77777777" w:rsidR="00CA2739" w:rsidRPr="00CA72A2" w:rsidRDefault="00CA2739" w:rsidP="00D26EDE">
      <w:pPr>
        <w:spacing w:line="240" w:lineRule="auto"/>
        <w:rPr>
          <w:sz w:val="24"/>
        </w:rPr>
      </w:pPr>
    </w:p>
    <w:p w14:paraId="1A43CD64" w14:textId="6412DC69" w:rsidR="0085692C" w:rsidRPr="00CA72A2" w:rsidRDefault="005B448F" w:rsidP="00D26EDE">
      <w:pPr>
        <w:pStyle w:val="Negrita"/>
        <w:spacing w:line="240" w:lineRule="auto"/>
        <w:rPr>
          <w:sz w:val="24"/>
        </w:rPr>
      </w:pPr>
      <w:r w:rsidRPr="00CA72A2">
        <w:rPr>
          <w:sz w:val="24"/>
        </w:rPr>
        <w:t>Javier Cascante Elizondo</w:t>
      </w:r>
    </w:p>
    <w:p w14:paraId="362B352B" w14:textId="2D8437FB" w:rsidR="00BA112E" w:rsidRPr="00CA72A2" w:rsidRDefault="005B448F" w:rsidP="00D26EDE">
      <w:pPr>
        <w:spacing w:line="240" w:lineRule="auto"/>
        <w:rPr>
          <w:sz w:val="24"/>
        </w:rPr>
      </w:pPr>
      <w:r w:rsidRPr="00CA72A2">
        <w:rPr>
          <w:sz w:val="24"/>
        </w:rPr>
        <w:t>Superintendente</w:t>
      </w:r>
      <w:r w:rsidR="00984A65" w:rsidRPr="00CA72A2">
        <w:rPr>
          <w:sz w:val="24"/>
        </w:rPr>
        <w:tab/>
      </w:r>
    </w:p>
    <w:p w14:paraId="32A3832C" w14:textId="324974C8" w:rsidR="00EB4E27" w:rsidRDefault="00EB4E27" w:rsidP="00EB4E27">
      <w:pPr>
        <w:rPr>
          <w:sz w:val="24"/>
        </w:rPr>
      </w:pPr>
    </w:p>
    <w:p w14:paraId="46728447" w14:textId="06A59775" w:rsidR="00CA2739" w:rsidRPr="00742CF0" w:rsidRDefault="00CA2739" w:rsidP="00EB4E27">
      <w:pPr>
        <w:rPr>
          <w:b/>
          <w:sz w:val="16"/>
          <w:szCs w:val="16"/>
          <w:lang w:val="en-US"/>
        </w:rPr>
      </w:pPr>
      <w:r w:rsidRPr="00742CF0">
        <w:rPr>
          <w:b/>
          <w:sz w:val="16"/>
          <w:szCs w:val="16"/>
          <w:lang w:val="en-US"/>
        </w:rPr>
        <w:t>GSC/GAA/GAM/XMR/gvl*</w:t>
      </w:r>
    </w:p>
    <w:sectPr w:rsidR="00CA2739" w:rsidRPr="00742CF0"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B7C9C" w14:textId="77777777" w:rsidR="00D66AC4" w:rsidRDefault="00D66AC4" w:rsidP="00D43D57">
      <w:r>
        <w:separator/>
      </w:r>
    </w:p>
  </w:endnote>
  <w:endnote w:type="continuationSeparator" w:id="0">
    <w:p w14:paraId="02B97DE8" w14:textId="77777777" w:rsidR="00D66AC4" w:rsidRDefault="00D66AC4"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288"/>
      <w:gridCol w:w="2922"/>
      <w:gridCol w:w="2484"/>
    </w:tblGrid>
    <w:tr w:rsidR="00E25A07" w14:paraId="004988F5" w14:textId="77777777" w:rsidTr="0024063E">
      <w:trPr>
        <w:trHeight w:val="546"/>
      </w:trPr>
      <w:tc>
        <w:tcPr>
          <w:tcW w:w="3189" w:type="dxa"/>
          <w:shd w:val="clear" w:color="auto" w:fill="FFFFFF"/>
          <w:vAlign w:val="center"/>
        </w:tcPr>
        <w:p w14:paraId="28AB057E" w14:textId="77777777" w:rsidR="00E25A07" w:rsidRDefault="00E25A07" w:rsidP="00E25A07">
          <w:pPr>
            <w:pStyle w:val="Piepagina"/>
          </w:pPr>
          <w:r>
            <w:rPr>
              <w:b/>
              <w:bCs/>
            </w:rPr>
            <w:t>Teléfono</w:t>
          </w:r>
          <w:r>
            <w:t xml:space="preserve">   (506) 2243-4848</w:t>
          </w:r>
        </w:p>
        <w:p w14:paraId="43FE8C51" w14:textId="77777777" w:rsidR="00E25A07" w:rsidRDefault="00E25A07" w:rsidP="00E25A07">
          <w:pPr>
            <w:pStyle w:val="Piepagina"/>
          </w:pPr>
          <w:r>
            <w:rPr>
              <w:b/>
              <w:bCs/>
            </w:rPr>
            <w:t>Facsímile</w:t>
          </w:r>
          <w:r>
            <w:t xml:space="preserve">  (506) 2243-4849</w:t>
          </w:r>
        </w:p>
      </w:tc>
      <w:tc>
        <w:tcPr>
          <w:tcW w:w="2835" w:type="dxa"/>
          <w:shd w:val="clear" w:color="auto" w:fill="FFFFFF"/>
          <w:vAlign w:val="center"/>
        </w:tcPr>
        <w:p w14:paraId="1759CC3B" w14:textId="77777777" w:rsidR="00E25A07" w:rsidRDefault="00E25A07" w:rsidP="00E25A07">
          <w:pPr>
            <w:pStyle w:val="Piepagina"/>
          </w:pPr>
          <w:r>
            <w:rPr>
              <w:b/>
              <w:bCs/>
            </w:rPr>
            <w:t>Apartado</w:t>
          </w:r>
          <w:r>
            <w:t xml:space="preserve"> 2762-1000</w:t>
          </w:r>
        </w:p>
        <w:p w14:paraId="6AFCADE0" w14:textId="77777777" w:rsidR="00E25A07" w:rsidRDefault="00E25A07" w:rsidP="00E25A07">
          <w:pPr>
            <w:pStyle w:val="Piepagina"/>
          </w:pPr>
          <w:r>
            <w:t>San José, Costa Rica</w:t>
          </w:r>
        </w:p>
      </w:tc>
      <w:tc>
        <w:tcPr>
          <w:tcW w:w="2410" w:type="dxa"/>
          <w:shd w:val="clear" w:color="auto" w:fill="FFFFFF"/>
          <w:vAlign w:val="center"/>
        </w:tcPr>
        <w:p w14:paraId="7AA75E49" w14:textId="77777777" w:rsidR="00E25A07" w:rsidRDefault="00E25A07" w:rsidP="00E25A07">
          <w:pPr>
            <w:pStyle w:val="Piepagina"/>
          </w:pPr>
          <w:r>
            <w:t>www.sugef.fi.cr</w:t>
          </w:r>
        </w:p>
        <w:p w14:paraId="01D916BA" w14:textId="77777777" w:rsidR="00E25A07" w:rsidRDefault="00E25A07" w:rsidP="00E25A07">
          <w:pPr>
            <w:pStyle w:val="Piepagina"/>
          </w:pPr>
          <w:r>
            <w:t>sugefcr@sugef.fi.cr</w:t>
          </w:r>
        </w:p>
      </w:tc>
    </w:tr>
  </w:tbl>
  <w:p w14:paraId="064F378E" w14:textId="7B6DCA5C" w:rsidR="00E25A07" w:rsidRDefault="00C31E91">
    <w:pPr>
      <w:pStyle w:val="Piedepgina"/>
      <w:jc w:val="right"/>
    </w:pPr>
    <w:sdt>
      <w:sdtPr>
        <w:id w:val="2079404854"/>
        <w:docPartObj>
          <w:docPartGallery w:val="Page Numbers (Bottom of Page)"/>
          <w:docPartUnique/>
        </w:docPartObj>
      </w:sdtPr>
      <w:sdtEndPr/>
      <w:sdtContent>
        <w:r w:rsidR="00E25A07">
          <w:fldChar w:fldCharType="begin"/>
        </w:r>
        <w:r w:rsidR="00E25A07">
          <w:instrText>PAGE   \* MERGEFORMAT</w:instrText>
        </w:r>
        <w:r w:rsidR="00E25A07">
          <w:fldChar w:fldCharType="separate"/>
        </w:r>
        <w:r>
          <w:rPr>
            <w:noProof/>
          </w:rPr>
          <w:t>1</w:t>
        </w:r>
        <w:r w:rsidR="00E25A07">
          <w:fldChar w:fldCharType="end"/>
        </w:r>
      </w:sdtContent>
    </w:sdt>
  </w:p>
  <w:p w14:paraId="1B774D0F"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6887B"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7BACA65C" wp14:editId="29770F4F">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57931527" wp14:editId="409F4FA3">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EEB38" w14:textId="77777777" w:rsidR="001C075B" w:rsidRPr="00FA54DF" w:rsidRDefault="001C075B">
                          <w:pPr>
                            <w:rPr>
                              <w:color w:val="003A68"/>
                              <w:sz w:val="14"/>
                              <w:szCs w:val="14"/>
                            </w:rPr>
                          </w:pPr>
                          <w:r w:rsidRPr="00FA54DF">
                            <w:rPr>
                              <w:color w:val="003A68"/>
                              <w:sz w:val="14"/>
                              <w:szCs w:val="14"/>
                            </w:rPr>
                            <w:t xml:space="preserve">T. (506) 2243-3631   </w:t>
                          </w:r>
                        </w:p>
                        <w:p w14:paraId="4952965D" w14:textId="77777777" w:rsidR="001C075B" w:rsidRPr="00FA54DF" w:rsidRDefault="001C075B">
                          <w:pPr>
                            <w:rPr>
                              <w:color w:val="003A68"/>
                              <w:sz w:val="14"/>
                              <w:szCs w:val="14"/>
                            </w:rPr>
                          </w:pPr>
                          <w:r w:rsidRPr="00FA54DF">
                            <w:rPr>
                              <w:color w:val="003A68"/>
                              <w:sz w:val="14"/>
                              <w:szCs w:val="14"/>
                            </w:rPr>
                            <w:t xml:space="preserve">F. (506) 2243-4579   </w:t>
                          </w:r>
                        </w:p>
                        <w:p w14:paraId="005F5185" w14:textId="77777777" w:rsidR="001C075B" w:rsidRDefault="001C075B">
                          <w:pPr>
                            <w:rPr>
                              <w:color w:val="003A68"/>
                              <w:sz w:val="14"/>
                              <w:szCs w:val="14"/>
                            </w:rPr>
                          </w:pPr>
                          <w:r w:rsidRPr="00FA54DF">
                            <w:rPr>
                              <w:color w:val="003A68"/>
                              <w:sz w:val="14"/>
                              <w:szCs w:val="14"/>
                            </w:rPr>
                            <w:t>Apdo. 10058-1000</w:t>
                          </w:r>
                        </w:p>
                        <w:p w14:paraId="63C705B9" w14:textId="77777777" w:rsidR="001C075B" w:rsidRDefault="001C075B">
                          <w:pPr>
                            <w:rPr>
                              <w:color w:val="003A68"/>
                              <w:sz w:val="14"/>
                              <w:szCs w:val="14"/>
                            </w:rPr>
                          </w:pPr>
                          <w:r w:rsidRPr="00FA54DF">
                            <w:rPr>
                              <w:color w:val="003A68"/>
                              <w:sz w:val="14"/>
                              <w:szCs w:val="14"/>
                            </w:rPr>
                            <w:t>Av. 1 y Central, Calles 2 y 4</w:t>
                          </w:r>
                        </w:p>
                        <w:p w14:paraId="65338311"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31527"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3ABEEB38" w14:textId="77777777" w:rsidR="001C075B" w:rsidRPr="00FA54DF" w:rsidRDefault="001C075B">
                    <w:pPr>
                      <w:rPr>
                        <w:color w:val="003A68"/>
                        <w:sz w:val="14"/>
                        <w:szCs w:val="14"/>
                      </w:rPr>
                    </w:pPr>
                    <w:r w:rsidRPr="00FA54DF">
                      <w:rPr>
                        <w:color w:val="003A68"/>
                        <w:sz w:val="14"/>
                        <w:szCs w:val="14"/>
                      </w:rPr>
                      <w:t xml:space="preserve">T. (506) 2243-3631   </w:t>
                    </w:r>
                  </w:p>
                  <w:p w14:paraId="4952965D" w14:textId="77777777" w:rsidR="001C075B" w:rsidRPr="00FA54DF" w:rsidRDefault="001C075B">
                    <w:pPr>
                      <w:rPr>
                        <w:color w:val="003A68"/>
                        <w:sz w:val="14"/>
                        <w:szCs w:val="14"/>
                      </w:rPr>
                    </w:pPr>
                    <w:r w:rsidRPr="00FA54DF">
                      <w:rPr>
                        <w:color w:val="003A68"/>
                        <w:sz w:val="14"/>
                        <w:szCs w:val="14"/>
                      </w:rPr>
                      <w:t xml:space="preserve">F. (506) 2243-4579   </w:t>
                    </w:r>
                  </w:p>
                  <w:p w14:paraId="005F5185" w14:textId="77777777" w:rsidR="001C075B" w:rsidRDefault="001C075B">
                    <w:pPr>
                      <w:rPr>
                        <w:color w:val="003A68"/>
                        <w:sz w:val="14"/>
                        <w:szCs w:val="14"/>
                      </w:rPr>
                    </w:pPr>
                    <w:r w:rsidRPr="00FA54DF">
                      <w:rPr>
                        <w:color w:val="003A68"/>
                        <w:sz w:val="14"/>
                        <w:szCs w:val="14"/>
                      </w:rPr>
                      <w:t>Apdo. 10058-1000</w:t>
                    </w:r>
                  </w:p>
                  <w:p w14:paraId="63C705B9" w14:textId="77777777" w:rsidR="001C075B" w:rsidRDefault="001C075B">
                    <w:pPr>
                      <w:rPr>
                        <w:color w:val="003A68"/>
                        <w:sz w:val="14"/>
                        <w:szCs w:val="14"/>
                      </w:rPr>
                    </w:pPr>
                    <w:r w:rsidRPr="00FA54DF">
                      <w:rPr>
                        <w:color w:val="003A68"/>
                        <w:sz w:val="14"/>
                        <w:szCs w:val="14"/>
                      </w:rPr>
                      <w:t>Av. 1 y Central, Calles 2 y 4</w:t>
                    </w:r>
                  </w:p>
                  <w:p w14:paraId="65338311" w14:textId="77777777" w:rsidR="001C075B" w:rsidRPr="00FA54DF" w:rsidRDefault="001C075B">
                    <w:pPr>
                      <w:rPr>
                        <w:color w:val="003A68"/>
                        <w:sz w:val="14"/>
                        <w:szCs w:val="14"/>
                      </w:rPr>
                    </w:pPr>
                  </w:p>
                </w:txbxContent>
              </v:textbox>
            </v:shape>
          </w:pict>
        </mc:Fallback>
      </mc:AlternateContent>
    </w:r>
  </w:p>
  <w:p w14:paraId="7F1E9EE9" w14:textId="77777777" w:rsidR="001C075B" w:rsidRPr="00D43D57" w:rsidRDefault="001C075B" w:rsidP="008C0BF0">
    <w:pPr>
      <w:pStyle w:val="Piepagina"/>
      <w:jc w:val="center"/>
    </w:pPr>
  </w:p>
  <w:p w14:paraId="54C354BE"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FBE3" w14:textId="77777777" w:rsidR="00D66AC4" w:rsidRDefault="00D66AC4" w:rsidP="00D43D57">
      <w:r>
        <w:separator/>
      </w:r>
    </w:p>
  </w:footnote>
  <w:footnote w:type="continuationSeparator" w:id="0">
    <w:p w14:paraId="4E14AEFF" w14:textId="77777777" w:rsidR="00D66AC4" w:rsidRDefault="00D66AC4"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F7680" w14:textId="77777777" w:rsidR="001C075B" w:rsidRDefault="001327EB" w:rsidP="001327EB">
    <w:pPr>
      <w:pStyle w:val="Piedepgina"/>
      <w:jc w:val="center"/>
    </w:pPr>
    <w:r>
      <w:rPr>
        <w:noProof/>
        <w:lang w:val="es-CR" w:eastAsia="es-CR"/>
      </w:rPr>
      <w:drawing>
        <wp:inline distT="0" distB="0" distL="0" distR="0" wp14:anchorId="7DC90C45" wp14:editId="24E8AE4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CA9C"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0D719868" wp14:editId="59F08860">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1FE49B50"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97EA7"/>
    <w:multiLevelType w:val="hybridMultilevel"/>
    <w:tmpl w:val="5D12EFB0"/>
    <w:lvl w:ilvl="0" w:tplc="FBD83CD2">
      <w:start w:val="1"/>
      <w:numFmt w:val="upperRoman"/>
      <w:lvlText w:val="%1."/>
      <w:lvlJc w:val="left"/>
      <w:pPr>
        <w:ind w:left="753" w:hanging="720"/>
      </w:pPr>
      <w:rPr>
        <w:rFonts w:hint="default"/>
        <w:b/>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11" w15:restartNumberingAfterBreak="0">
    <w:nsid w:val="0855580E"/>
    <w:multiLevelType w:val="hybridMultilevel"/>
    <w:tmpl w:val="482A0902"/>
    <w:lvl w:ilvl="0" w:tplc="140A0017">
      <w:start w:val="1"/>
      <w:numFmt w:val="lowerLetter"/>
      <w:lvlText w:val="%1)"/>
      <w:lvlJc w:val="left"/>
      <w:pPr>
        <w:ind w:left="393" w:hanging="36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1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3" w15:restartNumberingAfterBreak="0">
    <w:nsid w:val="202F50FF"/>
    <w:multiLevelType w:val="hybridMultilevel"/>
    <w:tmpl w:val="F70E90D6"/>
    <w:lvl w:ilvl="0" w:tplc="140A000F">
      <w:start w:val="1"/>
      <w:numFmt w:val="decimal"/>
      <w:lvlText w:val="%1."/>
      <w:lvlJc w:val="left"/>
      <w:pPr>
        <w:ind w:left="753" w:hanging="360"/>
      </w:pPr>
    </w:lvl>
    <w:lvl w:ilvl="1" w:tplc="140A0019" w:tentative="1">
      <w:start w:val="1"/>
      <w:numFmt w:val="lowerLetter"/>
      <w:lvlText w:val="%2."/>
      <w:lvlJc w:val="left"/>
      <w:pPr>
        <w:ind w:left="1473" w:hanging="360"/>
      </w:pPr>
    </w:lvl>
    <w:lvl w:ilvl="2" w:tplc="140A001B" w:tentative="1">
      <w:start w:val="1"/>
      <w:numFmt w:val="lowerRoman"/>
      <w:lvlText w:val="%3."/>
      <w:lvlJc w:val="right"/>
      <w:pPr>
        <w:ind w:left="2193" w:hanging="180"/>
      </w:pPr>
    </w:lvl>
    <w:lvl w:ilvl="3" w:tplc="140A000F" w:tentative="1">
      <w:start w:val="1"/>
      <w:numFmt w:val="decimal"/>
      <w:lvlText w:val="%4."/>
      <w:lvlJc w:val="left"/>
      <w:pPr>
        <w:ind w:left="2913" w:hanging="360"/>
      </w:pPr>
    </w:lvl>
    <w:lvl w:ilvl="4" w:tplc="140A0019" w:tentative="1">
      <w:start w:val="1"/>
      <w:numFmt w:val="lowerLetter"/>
      <w:lvlText w:val="%5."/>
      <w:lvlJc w:val="left"/>
      <w:pPr>
        <w:ind w:left="3633" w:hanging="360"/>
      </w:pPr>
    </w:lvl>
    <w:lvl w:ilvl="5" w:tplc="140A001B" w:tentative="1">
      <w:start w:val="1"/>
      <w:numFmt w:val="lowerRoman"/>
      <w:lvlText w:val="%6."/>
      <w:lvlJc w:val="right"/>
      <w:pPr>
        <w:ind w:left="4353" w:hanging="180"/>
      </w:pPr>
    </w:lvl>
    <w:lvl w:ilvl="6" w:tplc="140A000F" w:tentative="1">
      <w:start w:val="1"/>
      <w:numFmt w:val="decimal"/>
      <w:lvlText w:val="%7."/>
      <w:lvlJc w:val="left"/>
      <w:pPr>
        <w:ind w:left="5073" w:hanging="360"/>
      </w:pPr>
    </w:lvl>
    <w:lvl w:ilvl="7" w:tplc="140A0019" w:tentative="1">
      <w:start w:val="1"/>
      <w:numFmt w:val="lowerLetter"/>
      <w:lvlText w:val="%8."/>
      <w:lvlJc w:val="left"/>
      <w:pPr>
        <w:ind w:left="5793" w:hanging="360"/>
      </w:pPr>
    </w:lvl>
    <w:lvl w:ilvl="8" w:tplc="140A001B" w:tentative="1">
      <w:start w:val="1"/>
      <w:numFmt w:val="lowerRoman"/>
      <w:lvlText w:val="%9."/>
      <w:lvlJc w:val="right"/>
      <w:pPr>
        <w:ind w:left="6513" w:hanging="180"/>
      </w:pPr>
    </w:lvl>
  </w:abstractNum>
  <w:abstractNum w:abstractNumId="14" w15:restartNumberingAfterBreak="0">
    <w:nsid w:val="2777371B"/>
    <w:multiLevelType w:val="hybridMultilevel"/>
    <w:tmpl w:val="50B0BED0"/>
    <w:lvl w:ilvl="0" w:tplc="94F62FF0">
      <w:start w:val="1"/>
      <w:numFmt w:val="lowerLetter"/>
      <w:lvlText w:val="%1)"/>
      <w:lvlJc w:val="left"/>
      <w:pPr>
        <w:ind w:left="393" w:hanging="36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15" w15:restartNumberingAfterBreak="0">
    <w:nsid w:val="2DF01A2C"/>
    <w:multiLevelType w:val="hybridMultilevel"/>
    <w:tmpl w:val="6BF64076"/>
    <w:lvl w:ilvl="0" w:tplc="140A0019">
      <w:start w:val="1"/>
      <w:numFmt w:val="lowerLetter"/>
      <w:lvlText w:val="%1."/>
      <w:lvlJc w:val="left"/>
      <w:pPr>
        <w:ind w:left="753" w:hanging="360"/>
      </w:pPr>
    </w:lvl>
    <w:lvl w:ilvl="1" w:tplc="140A0019" w:tentative="1">
      <w:start w:val="1"/>
      <w:numFmt w:val="lowerLetter"/>
      <w:lvlText w:val="%2."/>
      <w:lvlJc w:val="left"/>
      <w:pPr>
        <w:ind w:left="1473" w:hanging="360"/>
      </w:pPr>
    </w:lvl>
    <w:lvl w:ilvl="2" w:tplc="140A001B" w:tentative="1">
      <w:start w:val="1"/>
      <w:numFmt w:val="lowerRoman"/>
      <w:lvlText w:val="%3."/>
      <w:lvlJc w:val="right"/>
      <w:pPr>
        <w:ind w:left="2193" w:hanging="180"/>
      </w:pPr>
    </w:lvl>
    <w:lvl w:ilvl="3" w:tplc="140A000F" w:tentative="1">
      <w:start w:val="1"/>
      <w:numFmt w:val="decimal"/>
      <w:lvlText w:val="%4."/>
      <w:lvlJc w:val="left"/>
      <w:pPr>
        <w:ind w:left="2913" w:hanging="360"/>
      </w:pPr>
    </w:lvl>
    <w:lvl w:ilvl="4" w:tplc="140A0019" w:tentative="1">
      <w:start w:val="1"/>
      <w:numFmt w:val="lowerLetter"/>
      <w:lvlText w:val="%5."/>
      <w:lvlJc w:val="left"/>
      <w:pPr>
        <w:ind w:left="3633" w:hanging="360"/>
      </w:pPr>
    </w:lvl>
    <w:lvl w:ilvl="5" w:tplc="140A001B" w:tentative="1">
      <w:start w:val="1"/>
      <w:numFmt w:val="lowerRoman"/>
      <w:lvlText w:val="%6."/>
      <w:lvlJc w:val="right"/>
      <w:pPr>
        <w:ind w:left="4353" w:hanging="180"/>
      </w:pPr>
    </w:lvl>
    <w:lvl w:ilvl="6" w:tplc="140A000F" w:tentative="1">
      <w:start w:val="1"/>
      <w:numFmt w:val="decimal"/>
      <w:lvlText w:val="%7."/>
      <w:lvlJc w:val="left"/>
      <w:pPr>
        <w:ind w:left="5073" w:hanging="360"/>
      </w:pPr>
    </w:lvl>
    <w:lvl w:ilvl="7" w:tplc="140A0019" w:tentative="1">
      <w:start w:val="1"/>
      <w:numFmt w:val="lowerLetter"/>
      <w:lvlText w:val="%8."/>
      <w:lvlJc w:val="left"/>
      <w:pPr>
        <w:ind w:left="5793" w:hanging="360"/>
      </w:pPr>
    </w:lvl>
    <w:lvl w:ilvl="8" w:tplc="140A001B" w:tentative="1">
      <w:start w:val="1"/>
      <w:numFmt w:val="lowerRoman"/>
      <w:lvlText w:val="%9."/>
      <w:lvlJc w:val="right"/>
      <w:pPr>
        <w:ind w:left="6513" w:hanging="180"/>
      </w:pPr>
    </w:lvl>
  </w:abstractNum>
  <w:abstractNum w:abstractNumId="16" w15:restartNumberingAfterBreak="0">
    <w:nsid w:val="3AC964F4"/>
    <w:multiLevelType w:val="hybridMultilevel"/>
    <w:tmpl w:val="880E2648"/>
    <w:lvl w:ilvl="0" w:tplc="140A0001">
      <w:start w:val="1"/>
      <w:numFmt w:val="bullet"/>
      <w:lvlText w:val=""/>
      <w:lvlJc w:val="left"/>
      <w:pPr>
        <w:ind w:left="753" w:hanging="360"/>
      </w:pPr>
      <w:rPr>
        <w:rFonts w:ascii="Symbol" w:hAnsi="Symbol" w:hint="default"/>
      </w:rPr>
    </w:lvl>
    <w:lvl w:ilvl="1" w:tplc="140A0003" w:tentative="1">
      <w:start w:val="1"/>
      <w:numFmt w:val="bullet"/>
      <w:lvlText w:val="o"/>
      <w:lvlJc w:val="left"/>
      <w:pPr>
        <w:ind w:left="1473" w:hanging="360"/>
      </w:pPr>
      <w:rPr>
        <w:rFonts w:ascii="Courier New" w:hAnsi="Courier New" w:cs="Courier New" w:hint="default"/>
      </w:rPr>
    </w:lvl>
    <w:lvl w:ilvl="2" w:tplc="140A0005" w:tentative="1">
      <w:start w:val="1"/>
      <w:numFmt w:val="bullet"/>
      <w:lvlText w:val=""/>
      <w:lvlJc w:val="left"/>
      <w:pPr>
        <w:ind w:left="2193" w:hanging="360"/>
      </w:pPr>
      <w:rPr>
        <w:rFonts w:ascii="Wingdings" w:hAnsi="Wingdings" w:hint="default"/>
      </w:rPr>
    </w:lvl>
    <w:lvl w:ilvl="3" w:tplc="140A0001" w:tentative="1">
      <w:start w:val="1"/>
      <w:numFmt w:val="bullet"/>
      <w:lvlText w:val=""/>
      <w:lvlJc w:val="left"/>
      <w:pPr>
        <w:ind w:left="2913" w:hanging="360"/>
      </w:pPr>
      <w:rPr>
        <w:rFonts w:ascii="Symbol" w:hAnsi="Symbol" w:hint="default"/>
      </w:rPr>
    </w:lvl>
    <w:lvl w:ilvl="4" w:tplc="140A0003" w:tentative="1">
      <w:start w:val="1"/>
      <w:numFmt w:val="bullet"/>
      <w:lvlText w:val="o"/>
      <w:lvlJc w:val="left"/>
      <w:pPr>
        <w:ind w:left="3633" w:hanging="360"/>
      </w:pPr>
      <w:rPr>
        <w:rFonts w:ascii="Courier New" w:hAnsi="Courier New" w:cs="Courier New" w:hint="default"/>
      </w:rPr>
    </w:lvl>
    <w:lvl w:ilvl="5" w:tplc="140A0005" w:tentative="1">
      <w:start w:val="1"/>
      <w:numFmt w:val="bullet"/>
      <w:lvlText w:val=""/>
      <w:lvlJc w:val="left"/>
      <w:pPr>
        <w:ind w:left="4353" w:hanging="360"/>
      </w:pPr>
      <w:rPr>
        <w:rFonts w:ascii="Wingdings" w:hAnsi="Wingdings" w:hint="default"/>
      </w:rPr>
    </w:lvl>
    <w:lvl w:ilvl="6" w:tplc="140A0001" w:tentative="1">
      <w:start w:val="1"/>
      <w:numFmt w:val="bullet"/>
      <w:lvlText w:val=""/>
      <w:lvlJc w:val="left"/>
      <w:pPr>
        <w:ind w:left="5073" w:hanging="360"/>
      </w:pPr>
      <w:rPr>
        <w:rFonts w:ascii="Symbol" w:hAnsi="Symbol" w:hint="default"/>
      </w:rPr>
    </w:lvl>
    <w:lvl w:ilvl="7" w:tplc="140A0003" w:tentative="1">
      <w:start w:val="1"/>
      <w:numFmt w:val="bullet"/>
      <w:lvlText w:val="o"/>
      <w:lvlJc w:val="left"/>
      <w:pPr>
        <w:ind w:left="5793" w:hanging="360"/>
      </w:pPr>
      <w:rPr>
        <w:rFonts w:ascii="Courier New" w:hAnsi="Courier New" w:cs="Courier New" w:hint="default"/>
      </w:rPr>
    </w:lvl>
    <w:lvl w:ilvl="8" w:tplc="140A0005" w:tentative="1">
      <w:start w:val="1"/>
      <w:numFmt w:val="bullet"/>
      <w:lvlText w:val=""/>
      <w:lvlJc w:val="left"/>
      <w:pPr>
        <w:ind w:left="6513" w:hanging="360"/>
      </w:pPr>
      <w:rPr>
        <w:rFonts w:ascii="Wingdings" w:hAnsi="Wingdings" w:hint="default"/>
      </w:rPr>
    </w:lvl>
  </w:abstractNum>
  <w:abstractNum w:abstractNumId="17" w15:restartNumberingAfterBreak="0">
    <w:nsid w:val="40000CC3"/>
    <w:multiLevelType w:val="hybridMultilevel"/>
    <w:tmpl w:val="7626261E"/>
    <w:lvl w:ilvl="0" w:tplc="AA9248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C523A6E"/>
    <w:multiLevelType w:val="hybridMultilevel"/>
    <w:tmpl w:val="7C50AC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0" w15:restartNumberingAfterBreak="0">
    <w:nsid w:val="6F776DAA"/>
    <w:multiLevelType w:val="hybridMultilevel"/>
    <w:tmpl w:val="C03C57AA"/>
    <w:lvl w:ilvl="0" w:tplc="6E92327A">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40A7101"/>
    <w:multiLevelType w:val="hybridMultilevel"/>
    <w:tmpl w:val="E902826C"/>
    <w:lvl w:ilvl="0" w:tplc="CDDCF794">
      <w:start w:val="1"/>
      <w:numFmt w:val="decimal"/>
      <w:lvlText w:val="%1."/>
      <w:lvlJc w:val="left"/>
      <w:pPr>
        <w:ind w:left="720" w:hanging="360"/>
      </w:pPr>
      <w:rPr>
        <w:rFonts w:hint="default"/>
        <w:lang w:val="es-E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7"/>
  </w:num>
  <w:num w:numId="16">
    <w:abstractNumId w:val="14"/>
  </w:num>
  <w:num w:numId="17">
    <w:abstractNumId w:val="20"/>
  </w:num>
  <w:num w:numId="18">
    <w:abstractNumId w:val="10"/>
  </w:num>
  <w:num w:numId="19">
    <w:abstractNumId w:val="15"/>
  </w:num>
  <w:num w:numId="20">
    <w:abstractNumId w:val="11"/>
  </w:num>
  <w:num w:numId="21">
    <w:abstractNumId w:val="16"/>
  </w:num>
  <w:num w:numId="22">
    <w:abstractNumId w:val="13"/>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87"/>
    <w:rsid w:val="000064A4"/>
    <w:rsid w:val="000235B5"/>
    <w:rsid w:val="00026C85"/>
    <w:rsid w:val="00041BDD"/>
    <w:rsid w:val="000439A6"/>
    <w:rsid w:val="00060C03"/>
    <w:rsid w:val="000646DD"/>
    <w:rsid w:val="00081865"/>
    <w:rsid w:val="00082968"/>
    <w:rsid w:val="000C62BB"/>
    <w:rsid w:val="000E0AC6"/>
    <w:rsid w:val="000F34AE"/>
    <w:rsid w:val="00101404"/>
    <w:rsid w:val="00117501"/>
    <w:rsid w:val="001322B4"/>
    <w:rsid w:val="001327EB"/>
    <w:rsid w:val="0016220C"/>
    <w:rsid w:val="001653C6"/>
    <w:rsid w:val="001946F4"/>
    <w:rsid w:val="0019657A"/>
    <w:rsid w:val="001A6574"/>
    <w:rsid w:val="001C075B"/>
    <w:rsid w:val="001C5806"/>
    <w:rsid w:val="001E0448"/>
    <w:rsid w:val="00204EA7"/>
    <w:rsid w:val="00226C4E"/>
    <w:rsid w:val="00230C67"/>
    <w:rsid w:val="0024063E"/>
    <w:rsid w:val="00250BB8"/>
    <w:rsid w:val="002645B7"/>
    <w:rsid w:val="002C56A4"/>
    <w:rsid w:val="002E2B0A"/>
    <w:rsid w:val="002E3589"/>
    <w:rsid w:val="002E56D1"/>
    <w:rsid w:val="002E571B"/>
    <w:rsid w:val="002F08D5"/>
    <w:rsid w:val="003060E2"/>
    <w:rsid w:val="00310570"/>
    <w:rsid w:val="00317BBB"/>
    <w:rsid w:val="00322A87"/>
    <w:rsid w:val="003267FB"/>
    <w:rsid w:val="003312B8"/>
    <w:rsid w:val="00341EF2"/>
    <w:rsid w:val="00350287"/>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47243"/>
    <w:rsid w:val="00550D78"/>
    <w:rsid w:val="00557369"/>
    <w:rsid w:val="005706D1"/>
    <w:rsid w:val="00571E3D"/>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2C34"/>
    <w:rsid w:val="00614D68"/>
    <w:rsid w:val="006168C9"/>
    <w:rsid w:val="00620B23"/>
    <w:rsid w:val="0062633F"/>
    <w:rsid w:val="00630B5C"/>
    <w:rsid w:val="00635AC4"/>
    <w:rsid w:val="00640202"/>
    <w:rsid w:val="006471B8"/>
    <w:rsid w:val="00662901"/>
    <w:rsid w:val="00681F7A"/>
    <w:rsid w:val="00692661"/>
    <w:rsid w:val="006B1C60"/>
    <w:rsid w:val="006C2059"/>
    <w:rsid w:val="006E3610"/>
    <w:rsid w:val="006E6F58"/>
    <w:rsid w:val="0071134B"/>
    <w:rsid w:val="00714DC4"/>
    <w:rsid w:val="00742CF0"/>
    <w:rsid w:val="0074397B"/>
    <w:rsid w:val="007455FF"/>
    <w:rsid w:val="00755896"/>
    <w:rsid w:val="00765619"/>
    <w:rsid w:val="007736D4"/>
    <w:rsid w:val="00783B00"/>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3FC1"/>
    <w:rsid w:val="00895097"/>
    <w:rsid w:val="008A1AA2"/>
    <w:rsid w:val="008A63B7"/>
    <w:rsid w:val="008B3838"/>
    <w:rsid w:val="008C0BF0"/>
    <w:rsid w:val="008D0528"/>
    <w:rsid w:val="008E5850"/>
    <w:rsid w:val="008F1461"/>
    <w:rsid w:val="008F2913"/>
    <w:rsid w:val="008F33F5"/>
    <w:rsid w:val="00904CBE"/>
    <w:rsid w:val="00936085"/>
    <w:rsid w:val="009475B6"/>
    <w:rsid w:val="00962265"/>
    <w:rsid w:val="00966CA3"/>
    <w:rsid w:val="0097235C"/>
    <w:rsid w:val="00977CEE"/>
    <w:rsid w:val="00982147"/>
    <w:rsid w:val="00983CB1"/>
    <w:rsid w:val="00984A65"/>
    <w:rsid w:val="009908DE"/>
    <w:rsid w:val="00997A03"/>
    <w:rsid w:val="009B5E5E"/>
    <w:rsid w:val="009C47FE"/>
    <w:rsid w:val="009D0353"/>
    <w:rsid w:val="009F54CB"/>
    <w:rsid w:val="00A208C2"/>
    <w:rsid w:val="00A26E9E"/>
    <w:rsid w:val="00A34523"/>
    <w:rsid w:val="00A76A2E"/>
    <w:rsid w:val="00A84CDB"/>
    <w:rsid w:val="00A906DD"/>
    <w:rsid w:val="00AC5138"/>
    <w:rsid w:val="00AC5E12"/>
    <w:rsid w:val="00AE3929"/>
    <w:rsid w:val="00AF3E56"/>
    <w:rsid w:val="00AF45B7"/>
    <w:rsid w:val="00B031C6"/>
    <w:rsid w:val="00B079EC"/>
    <w:rsid w:val="00B1318C"/>
    <w:rsid w:val="00B43C40"/>
    <w:rsid w:val="00B464F6"/>
    <w:rsid w:val="00B77CF0"/>
    <w:rsid w:val="00B80284"/>
    <w:rsid w:val="00B80CB8"/>
    <w:rsid w:val="00B84607"/>
    <w:rsid w:val="00B84E87"/>
    <w:rsid w:val="00B90216"/>
    <w:rsid w:val="00B94DE2"/>
    <w:rsid w:val="00BA112E"/>
    <w:rsid w:val="00BA711C"/>
    <w:rsid w:val="00BB0F2F"/>
    <w:rsid w:val="00BB470C"/>
    <w:rsid w:val="00BC03D6"/>
    <w:rsid w:val="00BD2AA0"/>
    <w:rsid w:val="00BE119A"/>
    <w:rsid w:val="00BE6A0B"/>
    <w:rsid w:val="00BE7B10"/>
    <w:rsid w:val="00BF7C63"/>
    <w:rsid w:val="00C039CE"/>
    <w:rsid w:val="00C051E5"/>
    <w:rsid w:val="00C149D9"/>
    <w:rsid w:val="00C1795E"/>
    <w:rsid w:val="00C22C6C"/>
    <w:rsid w:val="00C31E91"/>
    <w:rsid w:val="00C414C9"/>
    <w:rsid w:val="00C42047"/>
    <w:rsid w:val="00C5093E"/>
    <w:rsid w:val="00C60480"/>
    <w:rsid w:val="00C64425"/>
    <w:rsid w:val="00C809BA"/>
    <w:rsid w:val="00C9305E"/>
    <w:rsid w:val="00CA2739"/>
    <w:rsid w:val="00CA3FA8"/>
    <w:rsid w:val="00CA72A2"/>
    <w:rsid w:val="00CB07CA"/>
    <w:rsid w:val="00D03728"/>
    <w:rsid w:val="00D06E99"/>
    <w:rsid w:val="00D102F8"/>
    <w:rsid w:val="00D10AD8"/>
    <w:rsid w:val="00D2424F"/>
    <w:rsid w:val="00D26EDE"/>
    <w:rsid w:val="00D32808"/>
    <w:rsid w:val="00D43D57"/>
    <w:rsid w:val="00D44EF3"/>
    <w:rsid w:val="00D45FC0"/>
    <w:rsid w:val="00D54C08"/>
    <w:rsid w:val="00D55CA3"/>
    <w:rsid w:val="00D66AC4"/>
    <w:rsid w:val="00D96D0A"/>
    <w:rsid w:val="00DB3508"/>
    <w:rsid w:val="00DB3E70"/>
    <w:rsid w:val="00DC2193"/>
    <w:rsid w:val="00DC3B8E"/>
    <w:rsid w:val="00DD1FCE"/>
    <w:rsid w:val="00DE08C6"/>
    <w:rsid w:val="00DE43B7"/>
    <w:rsid w:val="00E11252"/>
    <w:rsid w:val="00E13C47"/>
    <w:rsid w:val="00E237BE"/>
    <w:rsid w:val="00E25A07"/>
    <w:rsid w:val="00E5185D"/>
    <w:rsid w:val="00E75AC8"/>
    <w:rsid w:val="00E82177"/>
    <w:rsid w:val="00EB4E27"/>
    <w:rsid w:val="00EB71D8"/>
    <w:rsid w:val="00EC2E48"/>
    <w:rsid w:val="00EC4A15"/>
    <w:rsid w:val="00ED0FDD"/>
    <w:rsid w:val="00EE00D4"/>
    <w:rsid w:val="00EE3A47"/>
    <w:rsid w:val="00EE5107"/>
    <w:rsid w:val="00EF0243"/>
    <w:rsid w:val="00EF0C8B"/>
    <w:rsid w:val="00F10AFE"/>
    <w:rsid w:val="00F1102D"/>
    <w:rsid w:val="00F1297C"/>
    <w:rsid w:val="00F12A97"/>
    <w:rsid w:val="00F6038D"/>
    <w:rsid w:val="00F654F5"/>
    <w:rsid w:val="00F731A3"/>
    <w:rsid w:val="00F8680D"/>
    <w:rsid w:val="00FA1E58"/>
    <w:rsid w:val="00FA54DF"/>
    <w:rsid w:val="00FA6994"/>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624257"/>
  <w15:docId w15:val="{4E5B673D-3A5F-4DC9-B6E8-84D99C6B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Cambria" w:hAnsi="Cambria"/>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Cambria" w:hAnsi="Cambria"/>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paragraph" w:styleId="NormalWeb">
    <w:name w:val="Normal (Web)"/>
    <w:basedOn w:val="Normal"/>
    <w:uiPriority w:val="99"/>
    <w:locked/>
    <w:rsid w:val="00350287"/>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link w:val="PrrafodelistaCar"/>
    <w:uiPriority w:val="34"/>
    <w:qFormat/>
    <w:locked/>
    <w:rsid w:val="00350287"/>
    <w:pPr>
      <w:spacing w:after="200" w:line="276" w:lineRule="auto"/>
      <w:ind w:left="720"/>
      <w:contextualSpacing/>
      <w:jc w:val="left"/>
    </w:pPr>
    <w:rPr>
      <w:rFonts w:ascii="Calibri" w:eastAsia="Calibri" w:hAnsi="Calibri"/>
      <w:szCs w:val="22"/>
      <w:lang w:val="es-CR"/>
    </w:rPr>
  </w:style>
  <w:style w:type="paragraph" w:styleId="Textosinformato">
    <w:name w:val="Plain Text"/>
    <w:basedOn w:val="Normal"/>
    <w:link w:val="TextosinformatoCar"/>
    <w:uiPriority w:val="99"/>
    <w:locked/>
    <w:rsid w:val="00350287"/>
    <w:pPr>
      <w:autoSpaceDE w:val="0"/>
      <w:autoSpaceDN w:val="0"/>
      <w:spacing w:line="240" w:lineRule="auto"/>
      <w:jc w:val="left"/>
    </w:pPr>
    <w:rPr>
      <w:rFonts w:ascii="Courier New" w:hAnsi="Courier New" w:cs="Courier New"/>
      <w:sz w:val="20"/>
      <w:szCs w:val="20"/>
      <w:lang w:val="en-GB"/>
    </w:rPr>
  </w:style>
  <w:style w:type="character" w:customStyle="1" w:styleId="TextosinformatoCar">
    <w:name w:val="Texto sin formato Car"/>
    <w:basedOn w:val="Fuentedeprrafopredeter"/>
    <w:link w:val="Textosinformato"/>
    <w:uiPriority w:val="99"/>
    <w:rsid w:val="00350287"/>
    <w:rPr>
      <w:rFonts w:ascii="Courier New" w:eastAsia="Times New Roman" w:hAnsi="Courier New" w:cs="Courier New"/>
      <w:lang w:val="en-GB" w:eastAsia="en-US"/>
    </w:rPr>
  </w:style>
  <w:style w:type="character" w:customStyle="1" w:styleId="PrrafodelistaCar">
    <w:name w:val="Párrafo de lista Car"/>
    <w:link w:val="Prrafodelista"/>
    <w:uiPriority w:val="34"/>
    <w:locked/>
    <w:rsid w:val="00350287"/>
    <w:rPr>
      <w:rFonts w:ascii="Calibri" w:hAnsi="Calibri"/>
      <w:sz w:val="22"/>
      <w:szCs w:val="22"/>
      <w:lang w:eastAsia="en-US"/>
    </w:rPr>
  </w:style>
  <w:style w:type="table" w:styleId="Cuadrculadetablaclara">
    <w:name w:val="Grid Table Light"/>
    <w:basedOn w:val="Tablanormal"/>
    <w:uiPriority w:val="40"/>
    <w:rsid w:val="00E237BE"/>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7044">
      <w:bodyDiv w:val="1"/>
      <w:marLeft w:val="0"/>
      <w:marRight w:val="0"/>
      <w:marTop w:val="0"/>
      <w:marBottom w:val="0"/>
      <w:divBdr>
        <w:top w:val="none" w:sz="0" w:space="0" w:color="auto"/>
        <w:left w:val="none" w:sz="0" w:space="0" w:color="auto"/>
        <w:bottom w:val="none" w:sz="0" w:space="0" w:color="auto"/>
        <w:right w:val="none" w:sz="0" w:space="0" w:color="auto"/>
      </w:divBdr>
    </w:div>
    <w:div w:id="555704127">
      <w:bodyDiv w:val="1"/>
      <w:marLeft w:val="0"/>
      <w:marRight w:val="0"/>
      <w:marTop w:val="0"/>
      <w:marBottom w:val="0"/>
      <w:divBdr>
        <w:top w:val="none" w:sz="0" w:space="0" w:color="auto"/>
        <w:left w:val="none" w:sz="0" w:space="0" w:color="auto"/>
        <w:bottom w:val="none" w:sz="0" w:space="0" w:color="auto"/>
        <w:right w:val="none" w:sz="0" w:space="0" w:color="auto"/>
      </w:divBdr>
    </w:div>
    <w:div w:id="1249466317">
      <w:bodyDiv w:val="1"/>
      <w:marLeft w:val="0"/>
      <w:marRight w:val="0"/>
      <w:marTop w:val="0"/>
      <w:marBottom w:val="0"/>
      <w:divBdr>
        <w:top w:val="none" w:sz="0" w:space="0" w:color="auto"/>
        <w:left w:val="none" w:sz="0" w:space="0" w:color="auto"/>
        <w:bottom w:val="none" w:sz="0" w:space="0" w:color="auto"/>
        <w:right w:val="none" w:sz="0" w:space="0" w:color="auto"/>
      </w:divBdr>
    </w:div>
    <w:div w:id="13045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Forms/SUGEF%20trabajo/plantilla-SGF-13.dotm" TargetMode="External"/></Relationship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yKSavnTvWxNjh9e2ZW3g8b1YH6k=</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4lyiFiPbgRtE2/mEuY5t3Uywpjw=</DigestValue>
    </Reference>
  </SignedInfo>
  <SignatureValue>oIRX8yAPuPlbt8MTquD8as+Ykc8NSTnnigqWoJ4Mg3LNsllX1qQdVrnBuWssW/h0dZHT2Limncu5
BjCpPU7PpgiuIZqPpKlhmxjVnK9RSFfgZGgaNXYZGdOxbu99A4j1Nkl/0OHBaBQgnlbSxrPJa5Dz
dTKYf17zB3mg6B8AAwjm/RCoBU3WbeLueZHCOkr3k7lzrGnO2yeEgaOIZbtjUPq9j26rsMMZEmGv
2PZ2lenjyUqDahmfYLlZgxtvDtKe1KZMT+/AY7GzNKFd/l/EMDZDYJ4mF6or8Bo0MXC8srthn7w9
UwBeO+o7T7SqvVD+2Vdg/2eHEc6eyIE2UirhbA==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8yFhtzm0Vzaaj9rSJhq2rvc1Czg=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sSixUOE/WoON2cEUmmFijByIlm4=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/ZT7lzkBKjGpbWyeQ2JFoWG14aQ=</DigestValue>
      </Reference>
      <Reference URI="/word/document.xml?ContentType=application/vnd.openxmlformats-officedocument.wordprocessingml.document.main+xml">
        <DigestMethod Algorithm="http://www.w3.org/2000/09/xmldsig#sha1"/>
        <DigestValue>+E0qgjqzRu0+3z0WtxZ5ake8SfM=</DigestValue>
      </Reference>
      <Reference URI="/word/endnotes.xml?ContentType=application/vnd.openxmlformats-officedocument.wordprocessingml.endnotes+xml">
        <DigestMethod Algorithm="http://www.w3.org/2000/09/xmldsig#sha1"/>
        <DigestValue>2O8Bar1SWmY107SgxQdbg5rqbtE=</DigestValue>
      </Reference>
      <Reference URI="/word/fontTable.xml?ContentType=application/vnd.openxmlformats-officedocument.wordprocessingml.fontTable+xml">
        <DigestMethod Algorithm="http://www.w3.org/2000/09/xmldsig#sha1"/>
        <DigestValue>Fxai0kqsob7/2ofmdwRJGOeu/KE=</DigestValue>
      </Reference>
      <Reference URI="/word/footer1.xml?ContentType=application/vnd.openxmlformats-officedocument.wordprocessingml.footer+xml">
        <DigestMethod Algorithm="http://www.w3.org/2000/09/xmldsig#sha1"/>
        <DigestValue>ZMyyMJQ87bKKvwXkii1UmkSG3/I=</DigestValue>
      </Reference>
      <Reference URI="/word/footer2.xml?ContentType=application/vnd.openxmlformats-officedocument.wordprocessingml.footer+xml">
        <DigestMethod Algorithm="http://www.w3.org/2000/09/xmldsig#sha1"/>
        <DigestValue>USVMOM1J0GwxIKQGZ+TFMaa9H/c=</DigestValue>
      </Reference>
      <Reference URI="/word/footnotes.xml?ContentType=application/vnd.openxmlformats-officedocument.wordprocessingml.footnotes+xml">
        <DigestMethod Algorithm="http://www.w3.org/2000/09/xmldsig#sha1"/>
        <DigestValue>jBA2RKhdqamzP6KnMOzmVp2C5zQ=</DigestValue>
      </Reference>
      <Reference URI="/word/header1.xml?ContentType=application/vnd.openxmlformats-officedocument.wordprocessingml.header+xml">
        <DigestMethod Algorithm="http://www.w3.org/2000/09/xmldsig#sha1"/>
        <DigestValue>CalkVLYQhewSNE8iSKQQ/xdPWIo=</DigestValue>
      </Reference>
      <Reference URI="/word/header2.xml?ContentType=application/vnd.openxmlformats-officedocument.wordprocessingml.header+xml">
        <DigestMethod Algorithm="http://www.w3.org/2000/09/xmldsig#sha1"/>
        <DigestValue>C3Aow43PkXVVV1WputtIyjmoPPc=</DigestValue>
      </Reference>
      <Reference URI="/word/media/image1.emf?ContentType=image/x-emf">
        <DigestMethod Algorithm="http://www.w3.org/2000/09/xmldsig#sha1"/>
        <DigestValue>3AFdhAkI0hVNYsce8149Px0e8mg=</DigestValue>
      </Reference>
      <Reference URI="/word/media/image2.jpg?ContentType=image/jpeg">
        <DigestMethod Algorithm="http://www.w3.org/2000/09/xmldsig#sha1"/>
        <DigestValue>WBE2fsmHVGwcKKBQxbSMrwxyzd0=</DigestValue>
      </Reference>
      <Reference URI="/word/media/image3.png?ContentType=image/png">
        <DigestMethod Algorithm="http://www.w3.org/2000/09/xmldsig#sha1"/>
        <DigestValue>xqOBhFuPeqMghHzp2yf95n6b0Eo=</DigestValue>
      </Reference>
      <Reference URI="/word/media/image4.png?ContentType=image/png">
        <DigestMethod Algorithm="http://www.w3.org/2000/09/xmldsig#sha1"/>
        <DigestValue>ugf502F9OWENCRXzhnDZtkblBVw=</DigestValue>
      </Reference>
      <Reference URI="/word/media/image5.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Dwye19QxhmyEP+OIjxk5mhweWHI=</DigestValue>
      </Reference>
      <Reference URI="/word/settings.xml?ContentType=application/vnd.openxmlformats-officedocument.wordprocessingml.settings+xml">
        <DigestMethod Algorithm="http://www.w3.org/2000/09/xmldsig#sha1"/>
        <DigestValue>zFp3dQgy+o1aCXbw80YICmnxmtQ=</DigestValue>
      </Reference>
      <Reference URI="/word/styles.xml?ContentType=application/vnd.openxmlformats-officedocument.wordprocessingml.styles+xml">
        <DigestMethod Algorithm="http://www.w3.org/2000/09/xmldsig#sha1"/>
        <DigestValue>rPHp3f3gL/Em1ACzPv7Omea3pOU=</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vqeAv4LfcCS7XEoHxnW2heUjDYM=</DigestValue>
      </Reference>
    </Manifest>
    <SignatureProperties>
      <SignatureProperty Id="idSignatureTime" Target="#idPackageSignature">
        <mdssi:SignatureTime xmlns:mdssi="http://schemas.openxmlformats.org/package/2006/digital-signature">
          <mdssi:Format>YYYY-MM-DDThh:mm:ssTZD</mdssi:Format>
          <mdssi:Value>2016-06-07T15:08:41Z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2016-06-07T15:08:41Z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ituación_x0020_actual xmlns="b875e23b-67d9-4b2e-bdec-edacbf90b326">NOTIFICADO 07/06/2016
R-1812-2016
La Resolución de los Lineamientos Generales del Acuerdo SUGEF 18-16 Reglamento sobre gestión del riesgo operativo.
No se deben enviar a las personas inscritas por artículo 15 de la Ley 8204.
Publicar en La Gaceta
Copiar a: Públicos, Privados, Financieras, Genaro Segura, Gilberto Arce, Gabriela Amador, Xinia Martínez, José Manuel Cubero</Situación_x0020_actual>
    <Dependencia xmlns="b875e23b-67d9-4b2e-bdec-edacbf90b326">
      <Value>SUGEF CA</Value>
    </Dependencia>
    <Enviado_x0020_por1 xmlns="b875e23b-67d9-4b2e-bdec-edacbf90b326">Normas</Enviado_x0020_por1>
    <KpiDescription xmlns="http://schemas.microsoft.com/sharepoint/v3">NOTIFICADO 07/06/2016
R-1812-2016
La Resolución de los Lineamientos Generales del Acuerdo SUGEF 18-16 Reglamento sobre gestión del riesgo operativo.
No se deben enviar a las personas inscritas por artículo 15 de la Ley 8204.
Publicar en La Gaceta</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Año xmlns="b875e23b-67d9-4b2e-bdec-edacbf90b326">2016</Año>
    <Entidad_x0020_Financiera xmlns="b875e23b-67d9-4b2e-bdec-edacbf90b326">A todas las entidades supervisadas</Entidad_x0020_Financiera>
    <N_x00b0_Referencia xmlns="b875e23b-67d9-4b2e-bdec-edacbf90b326">No responde a ningún número de referencia</N_x00b0_Referencia>
    <Confidencialidad xmlns="b875e23b-67d9-4b2e-bdec-edacbf90b326">SGF-CONFIDENCIAL</Confidencialidad>
    <Enviado_x0020_por xmlns="b875e23b-67d9-4b2e-bdec-edacbf90b326">i:0#.w|sugef\gsegura</Enviado_x0020_por>
    <Externo_x003f_ xmlns="b875e23b-67d9-4b2e-bdec-edacbf90b326">true</Externo_x003f_>
    <Fecha_x0020_notificación xmlns="b875e23b-67d9-4b2e-bdec-edacbf90b326">2016-06-07T06:00:00+00:00</Fecha_x0020_notificación>
    <N_x00b0_Oficio xmlns="b875e23b-67d9-4b2e-bdec-edacbf90b326">R-1812-2016</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SALIENTE NORMAS</DisplayName>
        <AccountId>360</AccountId>
        <AccountType/>
      </UserInfo>
      <UserInfo>
        <DisplayName>SALIENTE DIRECTORES DE SUPERVISIÓN</DisplayName>
        <AccountId>383</AccountId>
        <AccountType/>
      </UserInfo>
    </Con_x0020_copia>
  </documentManagement>
</p:properti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997E9AB9-3D0B-40F9-BC1B-DDE7D5960D0E}"/>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0B71F209-0354-407D-BAF3-E77EEA647C42}"/>
</file>

<file path=customXml/itemProps5.xml><?xml version="1.0" encoding="utf-8"?>
<ds:datastoreItem xmlns:ds="http://schemas.openxmlformats.org/officeDocument/2006/customXml" ds:itemID="{76799850-BA7F-4DC7-B706-90B76091DF6F}"/>
</file>

<file path=docProps/app.xml><?xml version="1.0" encoding="utf-8"?>
<Properties xmlns="http://schemas.openxmlformats.org/officeDocument/2006/extended-properties" xmlns:vt="http://schemas.openxmlformats.org/officeDocument/2006/docPropsVTypes">
  <Template>plantilla-SGF-13</Template>
  <TotalTime>45</TotalTime>
  <Pages>14</Pages>
  <Words>3930</Words>
  <Characters>21617</Characters>
  <Application>Microsoft Office Word</Application>
  <DocSecurity>0</DocSecurity>
  <Lines>180</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Xinia Martinez Rodríguez</dc:creator>
  <cp:keywords/>
  <dc:description/>
  <cp:lastModifiedBy>Genaro Alonso Segura Calderón</cp:lastModifiedBy>
  <cp:revision>23</cp:revision>
  <cp:lastPrinted>2015-07-30T22:36:00Z</cp:lastPrinted>
  <dcterms:created xsi:type="dcterms:W3CDTF">2016-06-01T15:36:00Z</dcterms:created>
  <dcterms:modified xsi:type="dcterms:W3CDTF">2016-06-06T20:51:00Z</dcterms:modified>
  <cp:category/>
  <cp:contentStatus>Notificado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Copiado a">
    <vt:lpwstr/>
  </property>
  <property fmtid="{D5CDD505-2E9C-101B-9397-08002B2CF9AE}" pid="4" name="Trámite">
    <vt:lpwstr>Correspondencia saliente</vt:lpwstr>
  </property>
  <property fmtid="{D5CDD505-2E9C-101B-9397-08002B2CF9AE}" pid="5" name="%Avance">
    <vt:r8>1</vt:r8>
  </property>
  <property fmtid="{D5CDD505-2E9C-101B-9397-08002B2CF9AE}" pid="6" name="Externo?">
    <vt:bool>true</vt:bool>
  </property>
  <property fmtid="{D5CDD505-2E9C-101B-9397-08002B2CF9AE}" pid="7" name="Con copia">
    <vt:lpwstr/>
  </property>
  <property fmtid="{D5CDD505-2E9C-101B-9397-08002B2CF9AE}" pid="8" name="Días seguimiento">
    <vt:lpwstr/>
  </property>
  <property fmtid="{D5CDD505-2E9C-101B-9397-08002B2CF9AE}" pid="9" name="Tipo de envío">
    <vt:lpwstr/>
  </property>
  <property fmtid="{D5CDD505-2E9C-101B-9397-08002B2CF9AE}" pid="10" name="Fecha Notificado">
    <vt:lpwstr/>
  </property>
  <property fmtid="{D5CDD505-2E9C-101B-9397-08002B2CF9AE}" pid="11" name="N°Oficio">
    <vt:lpwstr>R-XXXX-2016</vt:lpwstr>
  </property>
  <property fmtid="{D5CDD505-2E9C-101B-9397-08002B2CF9AE}" pid="12" name="Firmantes">
    <vt:lpwstr/>
  </property>
  <property fmtid="{D5CDD505-2E9C-101B-9397-08002B2CF9AE}" pid="13" name="Seguimiento?">
    <vt:lpwstr>false</vt:lpwstr>
  </property>
</Properties>
</file>