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5C846" w14:textId="73951D5D" w:rsidR="004E01B7" w:rsidRPr="004E01B7" w:rsidRDefault="00765619" w:rsidP="004E01B7">
      <w:pPr>
        <w:pStyle w:val="NormalWeb"/>
        <w:widowControl w:val="0"/>
        <w:spacing w:before="0" w:beforeAutospacing="0" w:after="0" w:afterAutospacing="0"/>
        <w:jc w:val="both"/>
        <w:rPr>
          <w:rFonts w:asciiTheme="majorHAnsi" w:hAnsiTheme="majorHAnsi"/>
        </w:rPr>
      </w:pPr>
      <w:r w:rsidRPr="004E01B7">
        <w:rPr>
          <w:rFonts w:asciiTheme="majorHAnsi" w:hAnsiTheme="majorHAnsi"/>
          <w:b/>
        </w:rPr>
        <w:t>SGF</w:t>
      </w:r>
      <w:r w:rsidR="00F1102D" w:rsidRPr="004E01B7">
        <w:rPr>
          <w:rFonts w:asciiTheme="majorHAnsi" w:hAnsiTheme="majorHAnsi"/>
          <w:b/>
        </w:rPr>
        <w:t>-</w:t>
      </w:r>
      <w:bookmarkStart w:id="0" w:name="_GoBack"/>
      <w:r w:rsidR="004E01B7" w:rsidRPr="004E01B7">
        <w:rPr>
          <w:rFonts w:asciiTheme="majorHAnsi" w:hAnsiTheme="majorHAnsi"/>
          <w:b/>
        </w:rPr>
        <w:t>R-</w:t>
      </w:r>
      <w:r w:rsidR="00290898">
        <w:rPr>
          <w:rFonts w:asciiTheme="majorHAnsi" w:hAnsiTheme="majorHAnsi"/>
          <w:b/>
        </w:rPr>
        <w:t>1764-2016</w:t>
      </w:r>
      <w:r w:rsidR="00310570" w:rsidRPr="004E01B7">
        <w:rPr>
          <w:rFonts w:asciiTheme="majorHAnsi" w:hAnsiTheme="majorHAnsi"/>
        </w:rPr>
        <w:t xml:space="preserve"> </w:t>
      </w:r>
      <w:bookmarkEnd w:id="0"/>
      <w:r w:rsidR="004E01B7" w:rsidRPr="004E01B7">
        <w:rPr>
          <w:rFonts w:asciiTheme="majorHAnsi" w:hAnsiTheme="majorHAnsi"/>
        </w:rPr>
        <w:t xml:space="preserve">Superintendencia General de Entidades Financieras.  Despacho del Superintendente General de Entidades Financieras, Santa Ana, el </w:t>
      </w:r>
      <w:r w:rsidR="00E0213E">
        <w:rPr>
          <w:rFonts w:asciiTheme="majorHAnsi" w:hAnsiTheme="majorHAnsi"/>
        </w:rPr>
        <w:t>30</w:t>
      </w:r>
      <w:r w:rsidR="004E01B7">
        <w:rPr>
          <w:rFonts w:asciiTheme="majorHAnsi" w:hAnsiTheme="majorHAnsi"/>
        </w:rPr>
        <w:t xml:space="preserve"> de mayo del 2016</w:t>
      </w:r>
      <w:r w:rsidR="004E01B7" w:rsidRPr="004E01B7">
        <w:rPr>
          <w:rFonts w:asciiTheme="majorHAnsi" w:hAnsiTheme="majorHAnsi"/>
        </w:rPr>
        <w:t>.</w:t>
      </w:r>
    </w:p>
    <w:p w14:paraId="1C10E532" w14:textId="77777777" w:rsidR="004E01B7" w:rsidRDefault="004E01B7" w:rsidP="004E01B7">
      <w:pPr>
        <w:pStyle w:val="NormalWeb"/>
        <w:widowControl w:val="0"/>
        <w:spacing w:before="0" w:beforeAutospacing="0" w:after="0" w:afterAutospacing="0"/>
        <w:jc w:val="both"/>
        <w:rPr>
          <w:rFonts w:asciiTheme="majorHAnsi" w:hAnsiTheme="majorHAnsi"/>
        </w:rPr>
      </w:pPr>
    </w:p>
    <w:p w14:paraId="2358A94B" w14:textId="5138AAC2" w:rsidR="00D23A2D" w:rsidRPr="00D647C5" w:rsidRDefault="00D23A2D" w:rsidP="00D23A2D">
      <w:pPr>
        <w:spacing w:line="240" w:lineRule="auto"/>
        <w:ind w:left="33"/>
        <w:rPr>
          <w:rFonts w:asciiTheme="majorHAnsi" w:hAnsiTheme="majorHAnsi"/>
          <w:sz w:val="24"/>
        </w:rPr>
      </w:pPr>
      <w:r w:rsidRPr="00D647C5">
        <w:rPr>
          <w:rFonts w:asciiTheme="majorHAnsi" w:hAnsiTheme="majorHAnsi"/>
          <w:sz w:val="24"/>
        </w:rPr>
        <w:t>El Superintendente General de Entidades Financieras,</w:t>
      </w:r>
    </w:p>
    <w:p w14:paraId="1B6357D3" w14:textId="77777777" w:rsidR="00D23A2D" w:rsidRPr="00D647C5" w:rsidRDefault="00D23A2D" w:rsidP="00D23A2D">
      <w:pPr>
        <w:spacing w:line="240" w:lineRule="auto"/>
        <w:ind w:left="33"/>
        <w:rPr>
          <w:rFonts w:asciiTheme="majorHAnsi" w:hAnsiTheme="majorHAnsi"/>
          <w:b/>
          <w:sz w:val="24"/>
        </w:rPr>
      </w:pPr>
    </w:p>
    <w:p w14:paraId="4D2CE842" w14:textId="77777777" w:rsidR="00D23A2D" w:rsidRPr="00D647C5" w:rsidRDefault="00D23A2D" w:rsidP="00D23A2D">
      <w:pPr>
        <w:spacing w:line="240" w:lineRule="auto"/>
        <w:ind w:left="33"/>
        <w:rPr>
          <w:rFonts w:asciiTheme="majorHAnsi" w:hAnsiTheme="majorHAnsi"/>
          <w:sz w:val="24"/>
        </w:rPr>
      </w:pPr>
      <w:r w:rsidRPr="00D647C5">
        <w:rPr>
          <w:rFonts w:asciiTheme="majorHAnsi" w:hAnsiTheme="majorHAnsi"/>
          <w:b/>
          <w:sz w:val="24"/>
        </w:rPr>
        <w:t>Considerando que</w:t>
      </w:r>
      <w:r w:rsidRPr="00D647C5">
        <w:rPr>
          <w:rFonts w:asciiTheme="majorHAnsi" w:hAnsiTheme="majorHAnsi"/>
          <w:sz w:val="24"/>
        </w:rPr>
        <w:t>:</w:t>
      </w:r>
    </w:p>
    <w:p w14:paraId="4ED70511" w14:textId="77777777" w:rsidR="00D23A2D" w:rsidRPr="00D647C5" w:rsidRDefault="00D23A2D" w:rsidP="00D23A2D">
      <w:pPr>
        <w:spacing w:line="240" w:lineRule="auto"/>
        <w:ind w:left="33"/>
        <w:rPr>
          <w:rFonts w:asciiTheme="majorHAnsi" w:hAnsiTheme="majorHAnsi"/>
          <w:b/>
          <w:sz w:val="24"/>
        </w:rPr>
      </w:pPr>
    </w:p>
    <w:p w14:paraId="29EA35E4" w14:textId="24C9BB5F" w:rsidR="00D23A2D" w:rsidRPr="00D647C5" w:rsidRDefault="00D23A2D" w:rsidP="00D23A2D">
      <w:pPr>
        <w:pStyle w:val="Prrafodelista"/>
        <w:numPr>
          <w:ilvl w:val="0"/>
          <w:numId w:val="14"/>
        </w:numPr>
        <w:spacing w:after="0" w:line="240" w:lineRule="auto"/>
        <w:ind w:left="33" w:firstLine="0"/>
        <w:jc w:val="both"/>
        <w:rPr>
          <w:rFonts w:asciiTheme="majorHAnsi" w:hAnsiTheme="majorHAnsi"/>
          <w:sz w:val="24"/>
          <w:szCs w:val="24"/>
        </w:rPr>
      </w:pPr>
      <w:r w:rsidRPr="00D647C5">
        <w:rPr>
          <w:rFonts w:asciiTheme="majorHAnsi" w:hAnsiTheme="majorHAnsi"/>
          <w:sz w:val="24"/>
          <w:szCs w:val="24"/>
        </w:rPr>
        <w:t xml:space="preserve">Mediante artículo </w:t>
      </w:r>
      <w:r w:rsidR="00941C1F">
        <w:rPr>
          <w:rFonts w:asciiTheme="majorHAnsi" w:hAnsiTheme="majorHAnsi"/>
          <w:sz w:val="24"/>
          <w:szCs w:val="24"/>
        </w:rPr>
        <w:t>12</w:t>
      </w:r>
      <w:r w:rsidRPr="00D647C5">
        <w:rPr>
          <w:rFonts w:asciiTheme="majorHAnsi" w:hAnsiTheme="majorHAnsi"/>
          <w:b/>
          <w:sz w:val="24"/>
          <w:szCs w:val="24"/>
        </w:rPr>
        <w:t xml:space="preserve"> </w:t>
      </w:r>
      <w:r w:rsidRPr="00D647C5">
        <w:rPr>
          <w:rFonts w:asciiTheme="majorHAnsi" w:hAnsiTheme="majorHAnsi"/>
          <w:sz w:val="24"/>
          <w:szCs w:val="24"/>
        </w:rPr>
        <w:t xml:space="preserve">del acta de la sesión </w:t>
      </w:r>
      <w:r w:rsidR="00941C1F">
        <w:rPr>
          <w:rFonts w:asciiTheme="majorHAnsi" w:hAnsiTheme="majorHAnsi"/>
          <w:sz w:val="24"/>
          <w:szCs w:val="24"/>
        </w:rPr>
        <w:t>1251</w:t>
      </w:r>
      <w:r w:rsidRPr="00D647C5">
        <w:rPr>
          <w:rFonts w:asciiTheme="majorHAnsi" w:hAnsiTheme="majorHAnsi"/>
          <w:sz w:val="24"/>
          <w:szCs w:val="24"/>
        </w:rPr>
        <w:t>-2016, del</w:t>
      </w:r>
      <w:r w:rsidRPr="00941C1F">
        <w:rPr>
          <w:rFonts w:asciiTheme="majorHAnsi" w:hAnsiTheme="majorHAnsi"/>
          <w:sz w:val="24"/>
          <w:szCs w:val="24"/>
        </w:rPr>
        <w:t xml:space="preserve"> </w:t>
      </w:r>
      <w:r w:rsidR="00941C1F" w:rsidRPr="00941C1F">
        <w:rPr>
          <w:rFonts w:asciiTheme="majorHAnsi" w:hAnsiTheme="majorHAnsi"/>
          <w:sz w:val="24"/>
          <w:szCs w:val="24"/>
        </w:rPr>
        <w:t>10</w:t>
      </w:r>
      <w:r w:rsidRPr="00D647C5">
        <w:rPr>
          <w:rFonts w:asciiTheme="majorHAnsi" w:hAnsiTheme="majorHAnsi"/>
          <w:sz w:val="24"/>
          <w:szCs w:val="24"/>
        </w:rPr>
        <w:t xml:space="preserve"> de mayo del 2016, el Consejo Nacional de Supervisión del Sistema Financiero aprobó el Acuerdo SUGEF 1</w:t>
      </w:r>
      <w:r w:rsidR="00E0213E">
        <w:rPr>
          <w:rFonts w:asciiTheme="majorHAnsi" w:hAnsiTheme="majorHAnsi"/>
          <w:sz w:val="24"/>
          <w:szCs w:val="24"/>
        </w:rPr>
        <w:t>5</w:t>
      </w:r>
      <w:r w:rsidRPr="00D647C5">
        <w:rPr>
          <w:rFonts w:asciiTheme="majorHAnsi" w:hAnsiTheme="majorHAnsi"/>
          <w:sz w:val="24"/>
          <w:szCs w:val="24"/>
        </w:rPr>
        <w:t>-16 “Reglamento sobre Gestión y Evaluación del Riesgo de Crédito para el Sistema de Banca para el Desarrollo”.</w:t>
      </w:r>
    </w:p>
    <w:p w14:paraId="19224811" w14:textId="77777777" w:rsidR="00D23A2D" w:rsidRPr="00D647C5" w:rsidRDefault="00D23A2D" w:rsidP="00D23A2D">
      <w:pPr>
        <w:pStyle w:val="Prrafodelista"/>
        <w:spacing w:after="0" w:line="240" w:lineRule="auto"/>
        <w:ind w:left="33"/>
        <w:jc w:val="both"/>
        <w:rPr>
          <w:rFonts w:asciiTheme="majorHAnsi" w:hAnsiTheme="majorHAnsi"/>
          <w:sz w:val="24"/>
          <w:szCs w:val="24"/>
        </w:rPr>
      </w:pPr>
    </w:p>
    <w:p w14:paraId="2C55231D" w14:textId="04C2895F" w:rsidR="008D4F86" w:rsidRPr="008D4F86" w:rsidRDefault="007B0458" w:rsidP="007B0458">
      <w:pPr>
        <w:pStyle w:val="Prrafodelista"/>
        <w:numPr>
          <w:ilvl w:val="0"/>
          <w:numId w:val="14"/>
        </w:numPr>
        <w:spacing w:after="0" w:line="240" w:lineRule="auto"/>
        <w:ind w:left="33" w:firstLine="0"/>
        <w:jc w:val="both"/>
        <w:rPr>
          <w:rFonts w:asciiTheme="majorHAnsi" w:hAnsiTheme="majorHAnsi"/>
          <w:sz w:val="24"/>
          <w:szCs w:val="24"/>
        </w:rPr>
      </w:pPr>
      <w:r>
        <w:rPr>
          <w:rFonts w:asciiTheme="majorHAnsi" w:hAnsiTheme="majorHAnsi"/>
          <w:sz w:val="24"/>
          <w:szCs w:val="24"/>
        </w:rPr>
        <w:t xml:space="preserve">Mediante inciso </w:t>
      </w:r>
      <w:r w:rsidRPr="007B0458">
        <w:rPr>
          <w:rFonts w:asciiTheme="majorHAnsi" w:hAnsiTheme="majorHAnsi"/>
          <w:sz w:val="24"/>
          <w:szCs w:val="24"/>
        </w:rPr>
        <w:t>o) del Artículo 14 de la Ley 9274, la SUGEF deberá definir técnicamente el nivel de cobertura (número de veces) del fondo de avales.</w:t>
      </w:r>
    </w:p>
    <w:p w14:paraId="798EBBA2" w14:textId="77777777" w:rsidR="00D23A2D" w:rsidRPr="008D4F86" w:rsidRDefault="00D23A2D" w:rsidP="008D4F86">
      <w:pPr>
        <w:pStyle w:val="Prrafodelista"/>
        <w:spacing w:after="0" w:line="240" w:lineRule="auto"/>
        <w:ind w:left="33"/>
        <w:jc w:val="both"/>
        <w:rPr>
          <w:rFonts w:asciiTheme="majorHAnsi" w:hAnsiTheme="majorHAnsi"/>
          <w:sz w:val="24"/>
        </w:rPr>
      </w:pPr>
    </w:p>
    <w:p w14:paraId="5651E81C" w14:textId="77777777" w:rsidR="00D23A2D" w:rsidRDefault="00D23A2D" w:rsidP="00D23A2D">
      <w:pPr>
        <w:pStyle w:val="Prrafodelista"/>
        <w:numPr>
          <w:ilvl w:val="0"/>
          <w:numId w:val="14"/>
        </w:numPr>
        <w:spacing w:after="0" w:line="240" w:lineRule="auto"/>
        <w:ind w:left="33" w:firstLine="0"/>
        <w:jc w:val="both"/>
        <w:rPr>
          <w:rFonts w:asciiTheme="majorHAnsi" w:hAnsiTheme="majorHAnsi"/>
          <w:sz w:val="24"/>
          <w:szCs w:val="24"/>
        </w:rPr>
      </w:pPr>
      <w:r w:rsidRPr="00D647C5">
        <w:rPr>
          <w:rFonts w:asciiTheme="majorHAnsi" w:hAnsiTheme="majorHAnsi"/>
          <w:sz w:val="24"/>
          <w:szCs w:val="24"/>
        </w:rPr>
        <w:t xml:space="preserve">El Artículo 131, inciso b) de la Ley Orgánica del Banco Central de Costa Rica, Ley número 7558, establece que corresponde </w:t>
      </w:r>
      <w:r w:rsidRPr="00D647C5">
        <w:rPr>
          <w:rFonts w:asciiTheme="majorHAnsi" w:hAnsiTheme="majorHAnsi"/>
          <w:sz w:val="24"/>
          <w:szCs w:val="24"/>
        </w:rPr>
        <w:lastRenderedPageBreak/>
        <w:t xml:space="preserve">al Superintendente tomar las medidas necesarias para ejecutar los acuerdos del Consejo Nacional de Supervisión. </w:t>
      </w:r>
    </w:p>
    <w:p w14:paraId="1D024227" w14:textId="77777777" w:rsidR="00FD111C" w:rsidRDefault="00FD111C" w:rsidP="00FD111C">
      <w:pPr>
        <w:pStyle w:val="Prrafodelista"/>
        <w:spacing w:line="240" w:lineRule="auto"/>
        <w:rPr>
          <w:rFonts w:asciiTheme="majorHAnsi" w:hAnsiTheme="majorHAnsi"/>
          <w:sz w:val="24"/>
        </w:rPr>
      </w:pPr>
    </w:p>
    <w:p w14:paraId="7AB09B98" w14:textId="77777777" w:rsidR="00FD111C" w:rsidRDefault="00FD111C" w:rsidP="00FD111C">
      <w:pPr>
        <w:spacing w:line="240" w:lineRule="auto"/>
        <w:ind w:left="33"/>
        <w:rPr>
          <w:rFonts w:asciiTheme="majorHAnsi" w:hAnsiTheme="majorHAnsi"/>
          <w:b/>
          <w:sz w:val="24"/>
        </w:rPr>
      </w:pPr>
      <w:r w:rsidRPr="00FD111C">
        <w:rPr>
          <w:rFonts w:asciiTheme="majorHAnsi" w:hAnsiTheme="majorHAnsi"/>
          <w:b/>
          <w:sz w:val="24"/>
        </w:rPr>
        <w:t>Dispone:</w:t>
      </w:r>
    </w:p>
    <w:p w14:paraId="6A2603ED" w14:textId="5FD5E729" w:rsidR="00E0213E" w:rsidRDefault="00E0213E" w:rsidP="00FD111C">
      <w:pPr>
        <w:spacing w:line="240" w:lineRule="auto"/>
        <w:ind w:left="33"/>
        <w:rPr>
          <w:rFonts w:asciiTheme="majorHAnsi" w:hAnsiTheme="majorHAnsi"/>
          <w:b/>
          <w:sz w:val="24"/>
        </w:rPr>
      </w:pPr>
    </w:p>
    <w:p w14:paraId="7F9DB280" w14:textId="48292A82" w:rsidR="00E0213E" w:rsidRPr="00E0213E" w:rsidRDefault="00E0213E" w:rsidP="00E0213E">
      <w:pPr>
        <w:pStyle w:val="Prrafodelista"/>
        <w:numPr>
          <w:ilvl w:val="0"/>
          <w:numId w:val="16"/>
        </w:numPr>
        <w:spacing w:line="240" w:lineRule="auto"/>
        <w:ind w:left="360"/>
        <w:rPr>
          <w:rFonts w:asciiTheme="majorHAnsi" w:hAnsiTheme="majorHAnsi"/>
          <w:sz w:val="24"/>
        </w:rPr>
      </w:pPr>
      <w:r w:rsidRPr="00E0213E">
        <w:rPr>
          <w:rFonts w:asciiTheme="majorHAnsi" w:hAnsiTheme="majorHAnsi"/>
          <w:sz w:val="24"/>
        </w:rPr>
        <w:t xml:space="preserve">Dejar sin efecto la Resolución </w:t>
      </w:r>
      <w:r w:rsidRPr="00290898">
        <w:rPr>
          <w:rFonts w:asciiTheme="majorHAnsi" w:hAnsiTheme="majorHAnsi"/>
        </w:rPr>
        <w:t>SGF-R-1732-2016</w:t>
      </w:r>
      <w:r w:rsidRPr="00E0213E">
        <w:rPr>
          <w:rFonts w:asciiTheme="majorHAnsi" w:hAnsiTheme="majorHAnsi"/>
          <w:sz w:val="24"/>
        </w:rPr>
        <w:t>, del 26 de mayo del 2016.</w:t>
      </w:r>
    </w:p>
    <w:p w14:paraId="644E16B8" w14:textId="77777777" w:rsidR="00FD111C" w:rsidRPr="00FD111C" w:rsidRDefault="00FD111C" w:rsidP="00E0213E">
      <w:pPr>
        <w:spacing w:line="240" w:lineRule="auto"/>
        <w:contextualSpacing/>
        <w:rPr>
          <w:rFonts w:asciiTheme="majorHAnsi" w:hAnsiTheme="majorHAnsi"/>
          <w:sz w:val="24"/>
        </w:rPr>
      </w:pPr>
    </w:p>
    <w:p w14:paraId="789A689F" w14:textId="48E5B32F" w:rsidR="00D723A6" w:rsidRPr="00E0213E" w:rsidRDefault="007B0458" w:rsidP="00E0213E">
      <w:pPr>
        <w:pStyle w:val="Prrafodelista"/>
        <w:numPr>
          <w:ilvl w:val="0"/>
          <w:numId w:val="16"/>
        </w:numPr>
        <w:spacing w:line="240" w:lineRule="auto"/>
        <w:ind w:left="360"/>
        <w:rPr>
          <w:rFonts w:asciiTheme="majorHAnsi" w:hAnsiTheme="majorHAnsi"/>
          <w:sz w:val="24"/>
        </w:rPr>
      </w:pPr>
      <w:r w:rsidRPr="00E0213E">
        <w:rPr>
          <w:rFonts w:asciiTheme="majorHAnsi" w:hAnsiTheme="majorHAnsi"/>
          <w:sz w:val="24"/>
        </w:rPr>
        <w:t xml:space="preserve">Establecer </w:t>
      </w:r>
      <w:r w:rsidR="00D723A6" w:rsidRPr="00E0213E">
        <w:rPr>
          <w:rFonts w:asciiTheme="majorHAnsi" w:hAnsiTheme="majorHAnsi"/>
          <w:sz w:val="24"/>
        </w:rPr>
        <w:t xml:space="preserve">el factor de mitigación </w:t>
      </w:r>
      <w:r w:rsidRPr="00E0213E">
        <w:rPr>
          <w:rFonts w:asciiTheme="majorHAnsi" w:hAnsiTheme="majorHAnsi"/>
          <w:sz w:val="24"/>
        </w:rPr>
        <w:t xml:space="preserve">para los avales del </w:t>
      </w:r>
      <w:r w:rsidR="00D723A6" w:rsidRPr="00E0213E">
        <w:rPr>
          <w:rFonts w:asciiTheme="majorHAnsi" w:hAnsiTheme="majorHAnsi"/>
          <w:sz w:val="24"/>
        </w:rPr>
        <w:t>FINADE</w:t>
      </w:r>
      <w:r w:rsidRPr="00E0213E">
        <w:rPr>
          <w:rFonts w:asciiTheme="majorHAnsi" w:hAnsiTheme="majorHAnsi"/>
          <w:sz w:val="24"/>
        </w:rPr>
        <w:t xml:space="preserve"> y </w:t>
      </w:r>
      <w:r w:rsidR="00D723A6" w:rsidRPr="00E0213E">
        <w:rPr>
          <w:rFonts w:asciiTheme="majorHAnsi" w:hAnsiTheme="majorHAnsi"/>
          <w:sz w:val="24"/>
        </w:rPr>
        <w:t>FODEMIPYME</w:t>
      </w:r>
      <w:r w:rsidRPr="00E0213E">
        <w:rPr>
          <w:rFonts w:asciiTheme="majorHAnsi" w:hAnsiTheme="majorHAnsi"/>
          <w:sz w:val="24"/>
        </w:rPr>
        <w:t>, según el nivel de apalancamiento (cobertura) del fondo de avales.</w:t>
      </w:r>
    </w:p>
    <w:p w14:paraId="37B9FAF6" w14:textId="77777777" w:rsidR="00D723A6" w:rsidRDefault="00D723A6" w:rsidP="00FD111C">
      <w:pPr>
        <w:spacing w:line="240" w:lineRule="auto"/>
        <w:rPr>
          <w:rFonts w:asciiTheme="majorHAnsi" w:hAnsiTheme="majorHAnsi"/>
          <w:sz w:val="24"/>
        </w:rPr>
      </w:pPr>
    </w:p>
    <w:p w14:paraId="4F3578BE" w14:textId="77777777" w:rsidR="004E01B7" w:rsidRPr="004E01B7" w:rsidRDefault="004E01B7" w:rsidP="004E01B7">
      <w:pPr>
        <w:pStyle w:val="Ttulo2"/>
        <w:keepNext w:val="0"/>
        <w:keepLines w:val="0"/>
        <w:widowControl w:val="0"/>
        <w:spacing w:before="0"/>
        <w:rPr>
          <w:rFonts w:cs="Times New Roman"/>
          <w:b/>
          <w:color w:val="auto"/>
          <w:sz w:val="24"/>
          <w:szCs w:val="24"/>
        </w:rPr>
      </w:pPr>
      <w:r w:rsidRPr="004E01B7">
        <w:rPr>
          <w:rFonts w:cs="Times New Roman"/>
          <w:b/>
          <w:color w:val="auto"/>
          <w:sz w:val="24"/>
          <w:szCs w:val="24"/>
        </w:rPr>
        <w:t>Nivel de apalancamiento del Fondo de Avales del FINADE y del FODEMIPYME</w:t>
      </w:r>
    </w:p>
    <w:p w14:paraId="5165F919" w14:textId="77777777" w:rsidR="004E01B7" w:rsidRPr="004E01B7" w:rsidRDefault="004E01B7" w:rsidP="004E01B7">
      <w:pPr>
        <w:pStyle w:val="NormalWeb"/>
        <w:widowControl w:val="0"/>
        <w:spacing w:before="0" w:beforeAutospacing="0" w:after="0" w:afterAutospacing="0"/>
        <w:rPr>
          <w:rFonts w:asciiTheme="majorHAnsi" w:hAnsiTheme="majorHAnsi"/>
          <w:b/>
        </w:rPr>
      </w:pPr>
    </w:p>
    <w:p w14:paraId="50121962" w14:textId="77777777" w:rsidR="004E01B7" w:rsidRPr="004E01B7" w:rsidRDefault="004E01B7" w:rsidP="004E01B7">
      <w:pPr>
        <w:pStyle w:val="NormalWeb"/>
        <w:widowControl w:val="0"/>
        <w:spacing w:before="0" w:beforeAutospacing="0" w:after="0" w:afterAutospacing="0"/>
        <w:rPr>
          <w:rFonts w:asciiTheme="majorHAnsi" w:hAnsiTheme="majorHAnsi"/>
          <w:b/>
        </w:rPr>
      </w:pPr>
      <w:r w:rsidRPr="004E01B7">
        <w:rPr>
          <w:rFonts w:asciiTheme="majorHAnsi" w:hAnsiTheme="majorHAnsi"/>
          <w:b/>
        </w:rPr>
        <w:t>Marco general</w:t>
      </w:r>
    </w:p>
    <w:p w14:paraId="6164B49E" w14:textId="77777777" w:rsidR="004E01B7" w:rsidRPr="004E01B7" w:rsidRDefault="004E01B7" w:rsidP="004E01B7">
      <w:pPr>
        <w:pStyle w:val="NormalWeb"/>
        <w:widowControl w:val="0"/>
        <w:spacing w:before="0" w:beforeAutospacing="0" w:after="0" w:afterAutospacing="0"/>
        <w:jc w:val="both"/>
        <w:rPr>
          <w:rFonts w:asciiTheme="majorHAnsi" w:hAnsiTheme="majorHAnsi"/>
        </w:rPr>
      </w:pPr>
      <w:r w:rsidRPr="004E01B7">
        <w:rPr>
          <w:rFonts w:asciiTheme="majorHAnsi" w:hAnsiTheme="majorHAnsi"/>
        </w:rPr>
        <w:t xml:space="preserve">De conformidad con el inciso o) del Artículo 14 de la Ley 9274, </w:t>
      </w:r>
      <w:r w:rsidRPr="004E01B7">
        <w:rPr>
          <w:rFonts w:asciiTheme="majorHAnsi" w:hAnsiTheme="majorHAnsi"/>
          <w:i/>
        </w:rPr>
        <w:t xml:space="preserve">“el Consejo Rector debe enviar anualmente un informe técnico a la </w:t>
      </w:r>
      <w:r w:rsidRPr="004E01B7">
        <w:rPr>
          <w:rFonts w:asciiTheme="majorHAnsi" w:hAnsiTheme="majorHAnsi"/>
          <w:i/>
        </w:rPr>
        <w:lastRenderedPageBreak/>
        <w:t>SUGEF que considere el desempeño del fondo de avales, el nivel de riesgo y su sostenibilidad, para que la SUGEF defina la capacidad de mitigación de dicho fondo. También, con base en la morosidad y acorde a las mejores prácticas internacionales, la SUGEF deberá definir técnicamente el nivel de cobertura (número de veces) del fondo de avales. La SUGEF tendrá acceso a la información sobre el fondo de avales, para efectos de sustentar las decisiones correspondientes. Este informe técnico podrá ser contratado con cargo al FINADE.”</w:t>
      </w:r>
    </w:p>
    <w:p w14:paraId="6F720071" w14:textId="77777777" w:rsidR="004E01B7" w:rsidRPr="004E01B7" w:rsidRDefault="004E01B7" w:rsidP="004E01B7">
      <w:pPr>
        <w:pStyle w:val="NormalWeb"/>
        <w:widowControl w:val="0"/>
        <w:spacing w:before="0" w:beforeAutospacing="0" w:after="0" w:afterAutospacing="0"/>
        <w:rPr>
          <w:rFonts w:asciiTheme="majorHAnsi" w:hAnsiTheme="majorHAnsi"/>
          <w:b/>
        </w:rPr>
      </w:pPr>
    </w:p>
    <w:p w14:paraId="0387D03D" w14:textId="77777777" w:rsidR="004E01B7" w:rsidRPr="004E01B7" w:rsidRDefault="004E01B7" w:rsidP="004E01B7">
      <w:pPr>
        <w:pStyle w:val="NormalWeb"/>
        <w:widowControl w:val="0"/>
        <w:spacing w:before="0" w:beforeAutospacing="0" w:after="0" w:afterAutospacing="0"/>
        <w:rPr>
          <w:rFonts w:asciiTheme="majorHAnsi" w:hAnsiTheme="majorHAnsi"/>
          <w:b/>
        </w:rPr>
      </w:pPr>
      <w:r w:rsidRPr="004E01B7">
        <w:rPr>
          <w:rFonts w:asciiTheme="majorHAnsi" w:hAnsiTheme="majorHAnsi"/>
          <w:b/>
        </w:rPr>
        <w:t>Tasa de ejecución de avales del Fondo de Avales del FINADE</w:t>
      </w:r>
    </w:p>
    <w:p w14:paraId="0C4C57E8" w14:textId="77777777" w:rsidR="004E01B7" w:rsidRPr="004E01B7" w:rsidRDefault="004E01B7" w:rsidP="004E01B7">
      <w:pPr>
        <w:pStyle w:val="Default"/>
        <w:jc w:val="both"/>
        <w:rPr>
          <w:rFonts w:asciiTheme="majorHAnsi" w:eastAsia="Times New Roman" w:hAnsiTheme="majorHAnsi"/>
          <w:color w:val="auto"/>
          <w:lang w:val="es-ES" w:eastAsia="es-ES"/>
        </w:rPr>
      </w:pPr>
      <w:r w:rsidRPr="004E01B7">
        <w:rPr>
          <w:rFonts w:asciiTheme="majorHAnsi" w:eastAsia="Times New Roman" w:hAnsiTheme="majorHAnsi"/>
          <w:color w:val="auto"/>
          <w:lang w:val="es-ES" w:eastAsia="es-ES"/>
        </w:rPr>
        <w:t>Mediante oficio CR-SBD-070-2015 del 7 de abril de 2015, la Dirección Ejecutiva del Consejo Rector del Sistema de Banca para el Desarrollo, envió a la SUGEF su informe más reciente sobre el desempeño del Fono de Avales del FINADE.</w:t>
      </w:r>
    </w:p>
    <w:p w14:paraId="67D5050B" w14:textId="77777777" w:rsidR="004E01B7" w:rsidRPr="004E01B7" w:rsidRDefault="004E01B7" w:rsidP="004E01B7">
      <w:pPr>
        <w:pStyle w:val="Default"/>
        <w:jc w:val="both"/>
        <w:rPr>
          <w:rFonts w:asciiTheme="majorHAnsi" w:eastAsia="Times New Roman" w:hAnsiTheme="majorHAnsi"/>
          <w:color w:val="auto"/>
          <w:lang w:val="es-ES" w:eastAsia="es-ES"/>
        </w:rPr>
      </w:pPr>
    </w:p>
    <w:p w14:paraId="722F65D0" w14:textId="77777777" w:rsidR="004E01B7" w:rsidRPr="004E01B7" w:rsidRDefault="004E01B7" w:rsidP="004E01B7">
      <w:pPr>
        <w:pStyle w:val="Default"/>
        <w:jc w:val="both"/>
        <w:rPr>
          <w:rFonts w:asciiTheme="majorHAnsi" w:eastAsia="Times New Roman" w:hAnsiTheme="majorHAnsi"/>
          <w:color w:val="auto"/>
          <w:lang w:val="es-ES" w:eastAsia="es-ES"/>
        </w:rPr>
      </w:pPr>
      <w:r w:rsidRPr="004E01B7">
        <w:rPr>
          <w:rFonts w:asciiTheme="majorHAnsi" w:eastAsia="Times New Roman" w:hAnsiTheme="majorHAnsi"/>
          <w:color w:val="auto"/>
          <w:lang w:val="es-ES" w:eastAsia="es-ES"/>
        </w:rPr>
        <w:t xml:space="preserve">La información suministrada, muestra el desempeño del Fondo de Avales para un horizonte de diciembre 2008 a febrero 2015. En el Cuadro N.1 se muestra el desempeño anual del Fondo de </w:t>
      </w:r>
      <w:r w:rsidRPr="004E01B7">
        <w:rPr>
          <w:rFonts w:asciiTheme="majorHAnsi" w:eastAsia="Times New Roman" w:hAnsiTheme="majorHAnsi"/>
          <w:color w:val="auto"/>
          <w:lang w:val="es-ES" w:eastAsia="es-ES"/>
        </w:rPr>
        <w:lastRenderedPageBreak/>
        <w:t>Avales del FINADE, en cuanto al monto de avales emitidos, el correspondiente monto de estos avales que fueron ejecutados y la tasa de ejecución anual.</w:t>
      </w:r>
    </w:p>
    <w:p w14:paraId="1F61CF35" w14:textId="77777777" w:rsidR="004E01B7" w:rsidRPr="004E01B7" w:rsidRDefault="004E01B7" w:rsidP="004E01B7">
      <w:pPr>
        <w:pStyle w:val="Default"/>
        <w:jc w:val="both"/>
        <w:rPr>
          <w:rFonts w:asciiTheme="majorHAnsi" w:eastAsia="Times New Roman" w:hAnsiTheme="majorHAnsi"/>
          <w:color w:val="auto"/>
          <w:lang w:val="es-ES" w:eastAsia="es-ES"/>
        </w:rPr>
      </w:pPr>
    </w:p>
    <w:p w14:paraId="0656D470" w14:textId="77777777" w:rsidR="004E01B7" w:rsidRPr="004E01B7" w:rsidRDefault="004E01B7" w:rsidP="004E01B7">
      <w:pPr>
        <w:pStyle w:val="Default"/>
        <w:jc w:val="both"/>
        <w:rPr>
          <w:rFonts w:asciiTheme="majorHAnsi" w:eastAsia="Times New Roman" w:hAnsiTheme="majorHAnsi"/>
          <w:color w:val="auto"/>
          <w:lang w:val="es-ES" w:eastAsia="es-ES"/>
        </w:rPr>
      </w:pPr>
      <w:r w:rsidRPr="004E01B7">
        <w:rPr>
          <w:rFonts w:asciiTheme="majorHAnsi" w:eastAsia="Times New Roman" w:hAnsiTheme="majorHAnsi"/>
          <w:color w:val="auto"/>
          <w:lang w:val="es-ES" w:eastAsia="es-ES"/>
        </w:rPr>
        <w:t xml:space="preserve">Para efectos de esta medición, se excluyen los resultados del año 2008, por estar referidos solamente a diciembre de ese año, y los resultados de 2015, que recogen un periodo parcial de información sobre el desempeño del Fondo. De esta </w:t>
      </w:r>
      <w:r w:rsidRPr="004E01B7">
        <w:rPr>
          <w:rFonts w:asciiTheme="majorHAnsi" w:eastAsia="Times New Roman" w:hAnsiTheme="majorHAnsi"/>
          <w:color w:val="auto"/>
          <w:lang w:val="es-MX" w:eastAsia="es-ES"/>
        </w:rPr>
        <w:t>forma, la estimación se basa solamente en el desempeño de periodos anuales completos, y la información correspondiente al periodo anual 2015 será incorporada en la próxima actualización anual.</w:t>
      </w:r>
    </w:p>
    <w:p w14:paraId="4C20784C" w14:textId="77777777" w:rsidR="004E01B7" w:rsidRPr="004E01B7" w:rsidRDefault="004E01B7" w:rsidP="004E01B7">
      <w:pPr>
        <w:pStyle w:val="Default"/>
        <w:jc w:val="both"/>
        <w:rPr>
          <w:rFonts w:asciiTheme="majorHAnsi" w:eastAsia="Times New Roman" w:hAnsiTheme="majorHAnsi"/>
          <w:color w:val="auto"/>
          <w:lang w:val="es-ES" w:eastAsia="es-ES"/>
        </w:rPr>
      </w:pPr>
    </w:p>
    <w:p w14:paraId="14B3CA83" w14:textId="77777777" w:rsidR="004E01B7" w:rsidRPr="004E01B7" w:rsidRDefault="004E01B7" w:rsidP="004E01B7">
      <w:pPr>
        <w:pStyle w:val="Default"/>
        <w:jc w:val="both"/>
        <w:rPr>
          <w:rFonts w:asciiTheme="majorHAnsi" w:eastAsia="Times New Roman" w:hAnsiTheme="majorHAnsi"/>
          <w:color w:val="auto"/>
          <w:lang w:val="es-ES" w:eastAsia="es-ES"/>
        </w:rPr>
      </w:pPr>
      <w:r w:rsidRPr="004E01B7">
        <w:rPr>
          <w:rFonts w:asciiTheme="majorHAnsi" w:eastAsia="Times New Roman" w:hAnsiTheme="majorHAnsi"/>
          <w:color w:val="auto"/>
          <w:lang w:val="es-ES" w:eastAsia="es-ES"/>
        </w:rPr>
        <w:t>Tal como se deriva de la información del Cuadro N. 1, la tasa de ejecución ha mostrado alta variabilidad en el periodo 2009 – 2014, alcanzando su nivel máximo en 31.9% en el año 2011, y su nivel mínimo en 2.8% en el año 2009.</w:t>
      </w:r>
    </w:p>
    <w:p w14:paraId="506CC155" w14:textId="77777777" w:rsidR="004E01B7" w:rsidRPr="004E01B7" w:rsidRDefault="004E01B7" w:rsidP="004E01B7">
      <w:pPr>
        <w:pStyle w:val="Default"/>
        <w:jc w:val="both"/>
        <w:rPr>
          <w:rFonts w:asciiTheme="majorHAnsi" w:eastAsia="Times New Roman" w:hAnsiTheme="majorHAnsi"/>
          <w:color w:val="auto"/>
          <w:lang w:val="es-ES" w:eastAsia="es-ES"/>
        </w:rPr>
      </w:pPr>
    </w:p>
    <w:p w14:paraId="7741A720" w14:textId="77777777" w:rsidR="004E01B7" w:rsidRPr="004E01B7" w:rsidRDefault="004E01B7" w:rsidP="004E01B7">
      <w:pPr>
        <w:pStyle w:val="Default"/>
        <w:jc w:val="both"/>
        <w:rPr>
          <w:rFonts w:asciiTheme="majorHAnsi" w:eastAsia="Times New Roman" w:hAnsiTheme="majorHAnsi"/>
          <w:color w:val="auto"/>
          <w:lang w:val="es-ES" w:eastAsia="es-ES"/>
        </w:rPr>
      </w:pPr>
      <w:r w:rsidRPr="004E01B7">
        <w:rPr>
          <w:rFonts w:asciiTheme="majorHAnsi" w:eastAsia="Times New Roman" w:hAnsiTheme="majorHAnsi"/>
          <w:color w:val="auto"/>
          <w:lang w:val="es-ES" w:eastAsia="es-ES"/>
        </w:rPr>
        <w:t>La tasa promedio del periodo 2009-2014, ponderada según el monto de avales emitidos cada año, se ubica en 20.5%.</w:t>
      </w:r>
    </w:p>
    <w:p w14:paraId="2CB5813E" w14:textId="77777777" w:rsidR="004E01B7" w:rsidRPr="004E01B7" w:rsidRDefault="004E01B7" w:rsidP="004E01B7">
      <w:pPr>
        <w:pStyle w:val="Default"/>
        <w:jc w:val="both"/>
        <w:rPr>
          <w:rFonts w:asciiTheme="majorHAnsi" w:eastAsia="Times New Roman" w:hAnsiTheme="majorHAnsi"/>
          <w:color w:val="auto"/>
          <w:lang w:val="es-ES" w:eastAsia="es-ES"/>
        </w:rPr>
      </w:pPr>
    </w:p>
    <w:p w14:paraId="4A2C02DC" w14:textId="77777777" w:rsidR="004E01B7" w:rsidRPr="004E01B7" w:rsidRDefault="004E01B7" w:rsidP="004E01B7">
      <w:pPr>
        <w:pStyle w:val="Default"/>
        <w:jc w:val="both"/>
        <w:rPr>
          <w:rFonts w:asciiTheme="majorHAnsi" w:eastAsia="Times New Roman" w:hAnsiTheme="majorHAnsi"/>
          <w:color w:val="auto"/>
          <w:lang w:val="es-ES" w:eastAsia="es-ES"/>
        </w:rPr>
      </w:pPr>
      <w:r w:rsidRPr="004E01B7">
        <w:rPr>
          <w:rFonts w:asciiTheme="majorHAnsi" w:eastAsia="Times New Roman" w:hAnsiTheme="majorHAnsi"/>
          <w:color w:val="auto"/>
          <w:lang w:val="es-ES" w:eastAsia="es-ES"/>
        </w:rPr>
        <w:lastRenderedPageBreak/>
        <w:t>Se estima que dada la volatilidad observada en la tasa de ejecución, un nivel conservador para la tasa estimada de ejecución de avales es 20%, lo que permite apalancarse en 5 veces por cada colón de aval emitido.</w:t>
      </w:r>
    </w:p>
    <w:p w14:paraId="15769BE0" w14:textId="77777777" w:rsidR="004E01B7" w:rsidRPr="004E01B7" w:rsidRDefault="004E01B7" w:rsidP="004E01B7">
      <w:pPr>
        <w:pStyle w:val="Default"/>
        <w:jc w:val="both"/>
        <w:rPr>
          <w:rFonts w:asciiTheme="majorHAnsi" w:eastAsia="Times New Roman" w:hAnsiTheme="majorHAnsi"/>
          <w:color w:val="auto"/>
          <w:lang w:val="es-ES" w:eastAsia="es-ES"/>
        </w:rPr>
      </w:pPr>
    </w:p>
    <w:p w14:paraId="02468DB6" w14:textId="77777777" w:rsidR="004E01B7" w:rsidRPr="004E01B7" w:rsidRDefault="004E01B7" w:rsidP="004E01B7">
      <w:pPr>
        <w:pStyle w:val="Default"/>
        <w:jc w:val="center"/>
        <w:rPr>
          <w:rFonts w:asciiTheme="majorHAnsi" w:eastAsia="Times New Roman" w:hAnsiTheme="majorHAnsi"/>
          <w:b/>
          <w:color w:val="auto"/>
          <w:lang w:val="es-ES" w:eastAsia="es-ES"/>
        </w:rPr>
      </w:pPr>
      <w:r w:rsidRPr="004E01B7">
        <w:rPr>
          <w:rFonts w:asciiTheme="majorHAnsi" w:eastAsia="Times New Roman" w:hAnsiTheme="majorHAnsi"/>
          <w:b/>
          <w:color w:val="auto"/>
          <w:lang w:val="es-ES" w:eastAsia="es-ES"/>
        </w:rPr>
        <w:t>Cuadro N.1</w:t>
      </w:r>
    </w:p>
    <w:p w14:paraId="67B72E78" w14:textId="77777777" w:rsidR="004E01B7" w:rsidRPr="004E01B7" w:rsidRDefault="004E01B7" w:rsidP="004E01B7">
      <w:pPr>
        <w:pStyle w:val="Default"/>
        <w:jc w:val="center"/>
        <w:rPr>
          <w:rFonts w:asciiTheme="majorHAnsi" w:eastAsia="Times New Roman" w:hAnsiTheme="majorHAnsi"/>
          <w:b/>
          <w:color w:val="auto"/>
          <w:lang w:val="es-ES" w:eastAsia="es-ES"/>
        </w:rPr>
      </w:pPr>
      <w:r w:rsidRPr="004E01B7">
        <w:rPr>
          <w:rFonts w:asciiTheme="majorHAnsi" w:eastAsia="Times New Roman" w:hAnsiTheme="majorHAnsi"/>
          <w:b/>
          <w:color w:val="auto"/>
          <w:lang w:val="es-ES" w:eastAsia="es-ES"/>
        </w:rPr>
        <w:t>Desempeño del Fondo de Avales del FINADE</w:t>
      </w:r>
    </w:p>
    <w:p w14:paraId="797EAA01" w14:textId="77777777" w:rsidR="004E01B7" w:rsidRPr="004E01B7" w:rsidRDefault="004E01B7" w:rsidP="004E01B7">
      <w:pPr>
        <w:pStyle w:val="Default"/>
        <w:jc w:val="center"/>
        <w:rPr>
          <w:rFonts w:asciiTheme="majorHAnsi" w:eastAsia="Times New Roman" w:hAnsiTheme="majorHAnsi"/>
          <w:color w:val="auto"/>
          <w:lang w:val="es-ES" w:eastAsia="es-ES"/>
        </w:rPr>
      </w:pPr>
      <w:r w:rsidRPr="004E01B7">
        <w:rPr>
          <w:rFonts w:asciiTheme="majorHAnsi" w:eastAsia="Times New Roman" w:hAnsiTheme="majorHAnsi"/>
          <w:b/>
          <w:color w:val="auto"/>
          <w:lang w:val="es-ES" w:eastAsia="es-ES"/>
        </w:rPr>
        <w:t>-Colones-</w:t>
      </w:r>
    </w:p>
    <w:tbl>
      <w:tblPr>
        <w:tblW w:w="6447" w:type="dxa"/>
        <w:jc w:val="center"/>
        <w:tblLayout w:type="fixed"/>
        <w:tblCellMar>
          <w:left w:w="70" w:type="dxa"/>
          <w:right w:w="70" w:type="dxa"/>
        </w:tblCellMar>
        <w:tblLook w:val="04A0" w:firstRow="1" w:lastRow="0" w:firstColumn="1" w:lastColumn="0" w:noHBand="0" w:noVBand="1"/>
      </w:tblPr>
      <w:tblGrid>
        <w:gridCol w:w="1201"/>
        <w:gridCol w:w="1921"/>
        <w:gridCol w:w="2134"/>
        <w:gridCol w:w="1191"/>
      </w:tblGrid>
      <w:tr w:rsidR="004E01B7" w:rsidRPr="004E01B7" w14:paraId="1383C715" w14:textId="77777777" w:rsidTr="00FA140E">
        <w:trPr>
          <w:trHeight w:val="20"/>
          <w:jc w:val="center"/>
        </w:trPr>
        <w:tc>
          <w:tcPr>
            <w:tcW w:w="12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4CD53D" w14:textId="77777777" w:rsidR="004E01B7" w:rsidRPr="004E01B7" w:rsidRDefault="004E01B7" w:rsidP="00FA140E">
            <w:pPr>
              <w:rPr>
                <w:rFonts w:asciiTheme="majorHAnsi" w:hAnsiTheme="majorHAnsi"/>
                <w:b/>
                <w:bCs/>
                <w:color w:val="000000"/>
                <w:sz w:val="24"/>
                <w:lang w:eastAsia="es-CR"/>
              </w:rPr>
            </w:pPr>
            <w:r w:rsidRPr="004E01B7">
              <w:rPr>
                <w:rFonts w:asciiTheme="majorHAnsi" w:hAnsiTheme="majorHAnsi"/>
                <w:b/>
                <w:bCs/>
                <w:color w:val="000000"/>
                <w:sz w:val="24"/>
                <w:lang w:eastAsia="es-CR"/>
              </w:rPr>
              <w:t>Año</w:t>
            </w:r>
          </w:p>
        </w:tc>
        <w:tc>
          <w:tcPr>
            <w:tcW w:w="1921" w:type="dxa"/>
            <w:tcBorders>
              <w:top w:val="single" w:sz="8" w:space="0" w:color="auto"/>
              <w:left w:val="nil"/>
              <w:bottom w:val="single" w:sz="8" w:space="0" w:color="auto"/>
              <w:right w:val="single" w:sz="4" w:space="0" w:color="auto"/>
            </w:tcBorders>
            <w:shd w:val="clear" w:color="auto" w:fill="auto"/>
            <w:vAlign w:val="center"/>
            <w:hideMark/>
          </w:tcPr>
          <w:p w14:paraId="1D9D35CB" w14:textId="77777777" w:rsidR="004E01B7" w:rsidRPr="004E01B7" w:rsidRDefault="004E01B7" w:rsidP="00FA140E">
            <w:pPr>
              <w:rPr>
                <w:rFonts w:asciiTheme="majorHAnsi" w:hAnsiTheme="majorHAnsi"/>
                <w:b/>
                <w:bCs/>
                <w:color w:val="000000"/>
                <w:sz w:val="24"/>
                <w:lang w:eastAsia="es-CR"/>
              </w:rPr>
            </w:pPr>
            <w:r w:rsidRPr="004E01B7">
              <w:rPr>
                <w:rFonts w:asciiTheme="majorHAnsi" w:hAnsiTheme="majorHAnsi"/>
                <w:b/>
                <w:bCs/>
                <w:color w:val="000000"/>
                <w:sz w:val="24"/>
                <w:lang w:eastAsia="es-CR"/>
              </w:rPr>
              <w:t>Avales Emitidos</w:t>
            </w:r>
          </w:p>
        </w:tc>
        <w:tc>
          <w:tcPr>
            <w:tcW w:w="2134" w:type="dxa"/>
            <w:tcBorders>
              <w:top w:val="single" w:sz="8" w:space="0" w:color="auto"/>
              <w:left w:val="nil"/>
              <w:bottom w:val="single" w:sz="8" w:space="0" w:color="auto"/>
              <w:right w:val="single" w:sz="4" w:space="0" w:color="auto"/>
            </w:tcBorders>
            <w:shd w:val="clear" w:color="auto" w:fill="auto"/>
            <w:vAlign w:val="center"/>
            <w:hideMark/>
          </w:tcPr>
          <w:p w14:paraId="33255BCD" w14:textId="77777777" w:rsidR="004E01B7" w:rsidRPr="004E01B7" w:rsidRDefault="004E01B7" w:rsidP="00FA140E">
            <w:pPr>
              <w:rPr>
                <w:rFonts w:asciiTheme="majorHAnsi" w:hAnsiTheme="majorHAnsi"/>
                <w:b/>
                <w:bCs/>
                <w:color w:val="000000"/>
                <w:sz w:val="24"/>
                <w:lang w:eastAsia="es-CR"/>
              </w:rPr>
            </w:pPr>
            <w:r w:rsidRPr="004E01B7">
              <w:rPr>
                <w:rFonts w:asciiTheme="majorHAnsi" w:hAnsiTheme="majorHAnsi"/>
                <w:b/>
                <w:bCs/>
                <w:color w:val="000000"/>
                <w:sz w:val="24"/>
                <w:lang w:eastAsia="es-CR"/>
              </w:rPr>
              <w:t>Avales Ejecutados</w:t>
            </w:r>
          </w:p>
        </w:tc>
        <w:tc>
          <w:tcPr>
            <w:tcW w:w="1191" w:type="dxa"/>
            <w:tcBorders>
              <w:top w:val="single" w:sz="8" w:space="0" w:color="auto"/>
              <w:left w:val="nil"/>
              <w:bottom w:val="single" w:sz="8" w:space="0" w:color="auto"/>
              <w:right w:val="single" w:sz="8" w:space="0" w:color="auto"/>
            </w:tcBorders>
            <w:shd w:val="clear" w:color="auto" w:fill="auto"/>
            <w:noWrap/>
            <w:vAlign w:val="center"/>
            <w:hideMark/>
          </w:tcPr>
          <w:p w14:paraId="3B3FA402" w14:textId="77777777" w:rsidR="004E01B7" w:rsidRPr="004E01B7" w:rsidRDefault="004E01B7" w:rsidP="00FA140E">
            <w:pPr>
              <w:rPr>
                <w:rFonts w:asciiTheme="majorHAnsi" w:hAnsiTheme="majorHAnsi"/>
                <w:b/>
                <w:bCs/>
                <w:color w:val="000000"/>
                <w:sz w:val="24"/>
                <w:lang w:eastAsia="es-CR"/>
              </w:rPr>
            </w:pPr>
            <w:r w:rsidRPr="004E01B7">
              <w:rPr>
                <w:rFonts w:asciiTheme="majorHAnsi" w:hAnsiTheme="majorHAnsi"/>
                <w:b/>
                <w:bCs/>
                <w:color w:val="000000"/>
                <w:sz w:val="24"/>
                <w:lang w:eastAsia="es-CR"/>
              </w:rPr>
              <w:t>%E</w:t>
            </w:r>
          </w:p>
        </w:tc>
      </w:tr>
      <w:tr w:rsidR="004E01B7" w:rsidRPr="004E01B7" w14:paraId="0595CE9F" w14:textId="77777777" w:rsidTr="00FA140E">
        <w:trPr>
          <w:trHeight w:val="20"/>
          <w:jc w:val="center"/>
        </w:trPr>
        <w:tc>
          <w:tcPr>
            <w:tcW w:w="1201" w:type="dxa"/>
            <w:tcBorders>
              <w:top w:val="nil"/>
              <w:left w:val="single" w:sz="4" w:space="0" w:color="auto"/>
              <w:bottom w:val="nil"/>
              <w:right w:val="single" w:sz="4" w:space="0" w:color="auto"/>
            </w:tcBorders>
            <w:shd w:val="clear" w:color="auto" w:fill="auto"/>
            <w:noWrap/>
            <w:vAlign w:val="bottom"/>
            <w:hideMark/>
          </w:tcPr>
          <w:p w14:paraId="417928C0" w14:textId="77777777" w:rsidR="004E01B7" w:rsidRPr="004E01B7" w:rsidRDefault="004E01B7" w:rsidP="00FA140E">
            <w:pPr>
              <w:rPr>
                <w:rFonts w:asciiTheme="majorHAnsi" w:hAnsiTheme="majorHAnsi"/>
                <w:color w:val="000000"/>
                <w:sz w:val="24"/>
                <w:lang w:eastAsia="es-CR"/>
              </w:rPr>
            </w:pPr>
            <w:r w:rsidRPr="004E01B7">
              <w:rPr>
                <w:rFonts w:asciiTheme="majorHAnsi" w:hAnsiTheme="majorHAnsi"/>
                <w:color w:val="000000"/>
                <w:sz w:val="24"/>
                <w:lang w:eastAsia="es-CR"/>
              </w:rPr>
              <w:t>2008</w:t>
            </w:r>
          </w:p>
        </w:tc>
        <w:tc>
          <w:tcPr>
            <w:tcW w:w="1921" w:type="dxa"/>
            <w:tcBorders>
              <w:top w:val="nil"/>
              <w:left w:val="nil"/>
              <w:bottom w:val="nil"/>
              <w:right w:val="single" w:sz="4" w:space="0" w:color="auto"/>
            </w:tcBorders>
            <w:shd w:val="clear" w:color="auto" w:fill="auto"/>
            <w:noWrap/>
            <w:vAlign w:val="bottom"/>
            <w:hideMark/>
          </w:tcPr>
          <w:p w14:paraId="601D2976" w14:textId="77777777" w:rsidR="004E01B7" w:rsidRPr="004E01B7" w:rsidRDefault="004E01B7" w:rsidP="00FA140E">
            <w:pPr>
              <w:jc w:val="right"/>
              <w:rPr>
                <w:rFonts w:asciiTheme="majorHAnsi" w:hAnsiTheme="majorHAnsi"/>
                <w:color w:val="000000"/>
                <w:sz w:val="24"/>
                <w:lang w:eastAsia="es-CR"/>
              </w:rPr>
            </w:pPr>
            <w:r w:rsidRPr="004E01B7">
              <w:rPr>
                <w:rFonts w:asciiTheme="majorHAnsi" w:hAnsiTheme="majorHAnsi"/>
                <w:color w:val="000000"/>
                <w:sz w:val="24"/>
                <w:lang w:eastAsia="es-CR"/>
              </w:rPr>
              <w:t xml:space="preserve">625.000 </w:t>
            </w:r>
          </w:p>
        </w:tc>
        <w:tc>
          <w:tcPr>
            <w:tcW w:w="2134" w:type="dxa"/>
            <w:tcBorders>
              <w:top w:val="nil"/>
              <w:left w:val="nil"/>
              <w:bottom w:val="nil"/>
              <w:right w:val="single" w:sz="4" w:space="0" w:color="auto"/>
            </w:tcBorders>
            <w:shd w:val="clear" w:color="auto" w:fill="auto"/>
            <w:noWrap/>
            <w:vAlign w:val="bottom"/>
            <w:hideMark/>
          </w:tcPr>
          <w:p w14:paraId="59CC7A4B" w14:textId="77777777" w:rsidR="004E01B7" w:rsidRPr="004E01B7" w:rsidRDefault="004E01B7" w:rsidP="00FA140E">
            <w:pPr>
              <w:jc w:val="right"/>
              <w:rPr>
                <w:rFonts w:asciiTheme="majorHAnsi" w:hAnsiTheme="majorHAnsi"/>
                <w:color w:val="000000"/>
                <w:sz w:val="24"/>
                <w:lang w:eastAsia="es-CR"/>
              </w:rPr>
            </w:pPr>
            <w:r w:rsidRPr="004E01B7">
              <w:rPr>
                <w:rFonts w:asciiTheme="majorHAnsi" w:hAnsiTheme="majorHAnsi"/>
                <w:color w:val="000000"/>
                <w:sz w:val="24"/>
                <w:lang w:eastAsia="es-CR"/>
              </w:rPr>
              <w:t xml:space="preserve">0 </w:t>
            </w:r>
          </w:p>
        </w:tc>
        <w:tc>
          <w:tcPr>
            <w:tcW w:w="1191" w:type="dxa"/>
            <w:tcBorders>
              <w:top w:val="nil"/>
              <w:left w:val="nil"/>
              <w:bottom w:val="nil"/>
              <w:right w:val="single" w:sz="4" w:space="0" w:color="auto"/>
            </w:tcBorders>
            <w:shd w:val="clear" w:color="auto" w:fill="auto"/>
            <w:noWrap/>
            <w:vAlign w:val="bottom"/>
            <w:hideMark/>
          </w:tcPr>
          <w:p w14:paraId="147C74B4" w14:textId="77777777" w:rsidR="004E01B7" w:rsidRPr="004E01B7" w:rsidRDefault="004E01B7" w:rsidP="00FA140E">
            <w:pPr>
              <w:rPr>
                <w:rFonts w:asciiTheme="majorHAnsi" w:hAnsiTheme="majorHAnsi"/>
                <w:color w:val="000000"/>
                <w:sz w:val="24"/>
                <w:lang w:eastAsia="es-CR"/>
              </w:rPr>
            </w:pPr>
            <w:r w:rsidRPr="004E01B7">
              <w:rPr>
                <w:rFonts w:asciiTheme="majorHAnsi" w:hAnsiTheme="majorHAnsi"/>
                <w:color w:val="000000"/>
                <w:sz w:val="24"/>
                <w:lang w:eastAsia="es-CR"/>
              </w:rPr>
              <w:t>0,0%</w:t>
            </w:r>
          </w:p>
        </w:tc>
      </w:tr>
      <w:tr w:rsidR="004E01B7" w:rsidRPr="004E01B7" w14:paraId="67598355" w14:textId="77777777" w:rsidTr="00FA140E">
        <w:trPr>
          <w:trHeight w:val="20"/>
          <w:jc w:val="center"/>
        </w:trPr>
        <w:tc>
          <w:tcPr>
            <w:tcW w:w="120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F246A33" w14:textId="77777777" w:rsidR="004E01B7" w:rsidRPr="004E01B7" w:rsidRDefault="004E01B7" w:rsidP="00FA140E">
            <w:pPr>
              <w:rPr>
                <w:rFonts w:asciiTheme="majorHAnsi" w:hAnsiTheme="majorHAnsi"/>
                <w:color w:val="000000"/>
                <w:sz w:val="24"/>
                <w:lang w:eastAsia="es-CR"/>
              </w:rPr>
            </w:pPr>
            <w:r w:rsidRPr="004E01B7">
              <w:rPr>
                <w:rFonts w:asciiTheme="majorHAnsi" w:hAnsiTheme="majorHAnsi"/>
                <w:color w:val="000000"/>
                <w:sz w:val="24"/>
                <w:lang w:eastAsia="es-CR"/>
              </w:rPr>
              <w:t>2009</w:t>
            </w:r>
          </w:p>
        </w:tc>
        <w:tc>
          <w:tcPr>
            <w:tcW w:w="1921" w:type="dxa"/>
            <w:tcBorders>
              <w:top w:val="single" w:sz="4" w:space="0" w:color="auto"/>
              <w:left w:val="nil"/>
              <w:bottom w:val="single" w:sz="4" w:space="0" w:color="auto"/>
              <w:right w:val="single" w:sz="4" w:space="0" w:color="auto"/>
            </w:tcBorders>
            <w:shd w:val="clear" w:color="000000" w:fill="F2F2F2"/>
            <w:noWrap/>
            <w:vAlign w:val="bottom"/>
            <w:hideMark/>
          </w:tcPr>
          <w:p w14:paraId="130B0876" w14:textId="77777777" w:rsidR="004E01B7" w:rsidRPr="004E01B7" w:rsidRDefault="004E01B7" w:rsidP="00FA140E">
            <w:pPr>
              <w:jc w:val="right"/>
              <w:rPr>
                <w:rFonts w:asciiTheme="majorHAnsi" w:hAnsiTheme="majorHAnsi"/>
                <w:color w:val="000000"/>
                <w:sz w:val="24"/>
                <w:lang w:eastAsia="es-CR"/>
              </w:rPr>
            </w:pPr>
            <w:r w:rsidRPr="004E01B7">
              <w:rPr>
                <w:rFonts w:asciiTheme="majorHAnsi" w:hAnsiTheme="majorHAnsi"/>
                <w:color w:val="000000"/>
                <w:sz w:val="24"/>
                <w:lang w:eastAsia="es-CR"/>
              </w:rPr>
              <w:t xml:space="preserve">804.816.188 </w:t>
            </w:r>
          </w:p>
        </w:tc>
        <w:tc>
          <w:tcPr>
            <w:tcW w:w="2134" w:type="dxa"/>
            <w:tcBorders>
              <w:top w:val="single" w:sz="4" w:space="0" w:color="auto"/>
              <w:left w:val="nil"/>
              <w:bottom w:val="single" w:sz="4" w:space="0" w:color="auto"/>
              <w:right w:val="single" w:sz="4" w:space="0" w:color="auto"/>
            </w:tcBorders>
            <w:shd w:val="clear" w:color="000000" w:fill="F2F2F2"/>
            <w:noWrap/>
            <w:vAlign w:val="bottom"/>
            <w:hideMark/>
          </w:tcPr>
          <w:p w14:paraId="295059DB" w14:textId="77777777" w:rsidR="004E01B7" w:rsidRPr="004E01B7" w:rsidRDefault="004E01B7" w:rsidP="00FA140E">
            <w:pPr>
              <w:jc w:val="right"/>
              <w:rPr>
                <w:rFonts w:asciiTheme="majorHAnsi" w:hAnsiTheme="majorHAnsi"/>
                <w:color w:val="000000"/>
                <w:sz w:val="24"/>
                <w:lang w:eastAsia="es-CR"/>
              </w:rPr>
            </w:pPr>
            <w:r w:rsidRPr="004E01B7">
              <w:rPr>
                <w:rFonts w:asciiTheme="majorHAnsi" w:hAnsiTheme="majorHAnsi"/>
                <w:color w:val="000000"/>
                <w:sz w:val="24"/>
                <w:lang w:eastAsia="es-CR"/>
              </w:rPr>
              <w:t xml:space="preserve">22.500.000 </w:t>
            </w:r>
          </w:p>
        </w:tc>
        <w:tc>
          <w:tcPr>
            <w:tcW w:w="1191" w:type="dxa"/>
            <w:tcBorders>
              <w:top w:val="single" w:sz="4" w:space="0" w:color="auto"/>
              <w:left w:val="nil"/>
              <w:bottom w:val="single" w:sz="4" w:space="0" w:color="auto"/>
              <w:right w:val="single" w:sz="4" w:space="0" w:color="auto"/>
            </w:tcBorders>
            <w:shd w:val="clear" w:color="000000" w:fill="F2F2F2"/>
            <w:noWrap/>
            <w:vAlign w:val="bottom"/>
            <w:hideMark/>
          </w:tcPr>
          <w:p w14:paraId="0A93E8E0" w14:textId="77777777" w:rsidR="004E01B7" w:rsidRPr="004E01B7" w:rsidRDefault="004E01B7" w:rsidP="00FA140E">
            <w:pPr>
              <w:rPr>
                <w:rFonts w:asciiTheme="majorHAnsi" w:hAnsiTheme="majorHAnsi"/>
                <w:color w:val="000000"/>
                <w:sz w:val="24"/>
                <w:lang w:eastAsia="es-CR"/>
              </w:rPr>
            </w:pPr>
            <w:r w:rsidRPr="004E01B7">
              <w:rPr>
                <w:rFonts w:asciiTheme="majorHAnsi" w:hAnsiTheme="majorHAnsi"/>
                <w:color w:val="000000"/>
                <w:sz w:val="24"/>
                <w:lang w:eastAsia="es-CR"/>
              </w:rPr>
              <w:t>2,8%</w:t>
            </w:r>
          </w:p>
        </w:tc>
      </w:tr>
      <w:tr w:rsidR="004E01B7" w:rsidRPr="004E01B7" w14:paraId="56B115A3" w14:textId="77777777" w:rsidTr="00FA140E">
        <w:trPr>
          <w:trHeight w:val="20"/>
          <w:jc w:val="center"/>
        </w:trPr>
        <w:tc>
          <w:tcPr>
            <w:tcW w:w="1201" w:type="dxa"/>
            <w:tcBorders>
              <w:top w:val="nil"/>
              <w:left w:val="single" w:sz="4" w:space="0" w:color="auto"/>
              <w:bottom w:val="single" w:sz="4" w:space="0" w:color="auto"/>
              <w:right w:val="single" w:sz="4" w:space="0" w:color="auto"/>
            </w:tcBorders>
            <w:shd w:val="clear" w:color="000000" w:fill="F2F2F2"/>
            <w:noWrap/>
            <w:vAlign w:val="bottom"/>
            <w:hideMark/>
          </w:tcPr>
          <w:p w14:paraId="7010494A" w14:textId="77777777" w:rsidR="004E01B7" w:rsidRPr="004E01B7" w:rsidRDefault="004E01B7" w:rsidP="00FA140E">
            <w:pPr>
              <w:rPr>
                <w:rFonts w:asciiTheme="majorHAnsi" w:hAnsiTheme="majorHAnsi"/>
                <w:color w:val="000000"/>
                <w:sz w:val="24"/>
                <w:lang w:eastAsia="es-CR"/>
              </w:rPr>
            </w:pPr>
            <w:r w:rsidRPr="004E01B7">
              <w:rPr>
                <w:rFonts w:asciiTheme="majorHAnsi" w:hAnsiTheme="majorHAnsi"/>
                <w:color w:val="000000"/>
                <w:sz w:val="24"/>
                <w:lang w:eastAsia="es-CR"/>
              </w:rPr>
              <w:t>2010</w:t>
            </w:r>
          </w:p>
        </w:tc>
        <w:tc>
          <w:tcPr>
            <w:tcW w:w="1921" w:type="dxa"/>
            <w:tcBorders>
              <w:top w:val="nil"/>
              <w:left w:val="nil"/>
              <w:bottom w:val="single" w:sz="4" w:space="0" w:color="auto"/>
              <w:right w:val="single" w:sz="4" w:space="0" w:color="auto"/>
            </w:tcBorders>
            <w:shd w:val="clear" w:color="000000" w:fill="F2F2F2"/>
            <w:noWrap/>
            <w:vAlign w:val="bottom"/>
            <w:hideMark/>
          </w:tcPr>
          <w:p w14:paraId="3BD88DED" w14:textId="77777777" w:rsidR="004E01B7" w:rsidRPr="004E01B7" w:rsidRDefault="004E01B7" w:rsidP="00FA140E">
            <w:pPr>
              <w:jc w:val="right"/>
              <w:rPr>
                <w:rFonts w:asciiTheme="majorHAnsi" w:hAnsiTheme="majorHAnsi"/>
                <w:color w:val="000000"/>
                <w:sz w:val="24"/>
                <w:lang w:eastAsia="es-CR"/>
              </w:rPr>
            </w:pPr>
            <w:r w:rsidRPr="004E01B7">
              <w:rPr>
                <w:rFonts w:asciiTheme="majorHAnsi" w:hAnsiTheme="majorHAnsi"/>
                <w:color w:val="000000"/>
                <w:sz w:val="24"/>
                <w:lang w:eastAsia="es-CR"/>
              </w:rPr>
              <w:t xml:space="preserve">3.146.807.349 </w:t>
            </w:r>
          </w:p>
        </w:tc>
        <w:tc>
          <w:tcPr>
            <w:tcW w:w="2134" w:type="dxa"/>
            <w:tcBorders>
              <w:top w:val="nil"/>
              <w:left w:val="nil"/>
              <w:bottom w:val="single" w:sz="4" w:space="0" w:color="auto"/>
              <w:right w:val="single" w:sz="4" w:space="0" w:color="auto"/>
            </w:tcBorders>
            <w:shd w:val="clear" w:color="000000" w:fill="F2F2F2"/>
            <w:noWrap/>
            <w:vAlign w:val="bottom"/>
            <w:hideMark/>
          </w:tcPr>
          <w:p w14:paraId="7DC98241" w14:textId="77777777" w:rsidR="004E01B7" w:rsidRPr="004E01B7" w:rsidRDefault="004E01B7" w:rsidP="00FA140E">
            <w:pPr>
              <w:jc w:val="right"/>
              <w:rPr>
                <w:rFonts w:asciiTheme="majorHAnsi" w:hAnsiTheme="majorHAnsi"/>
                <w:color w:val="000000"/>
                <w:sz w:val="24"/>
                <w:lang w:eastAsia="es-CR"/>
              </w:rPr>
            </w:pPr>
            <w:r w:rsidRPr="004E01B7">
              <w:rPr>
                <w:rFonts w:asciiTheme="majorHAnsi" w:hAnsiTheme="majorHAnsi"/>
                <w:color w:val="000000"/>
                <w:sz w:val="24"/>
                <w:lang w:eastAsia="es-CR"/>
              </w:rPr>
              <w:t xml:space="preserve">875.985.805 </w:t>
            </w:r>
          </w:p>
        </w:tc>
        <w:tc>
          <w:tcPr>
            <w:tcW w:w="1191" w:type="dxa"/>
            <w:tcBorders>
              <w:top w:val="nil"/>
              <w:left w:val="nil"/>
              <w:bottom w:val="single" w:sz="4" w:space="0" w:color="auto"/>
              <w:right w:val="single" w:sz="4" w:space="0" w:color="auto"/>
            </w:tcBorders>
            <w:shd w:val="clear" w:color="000000" w:fill="F2F2F2"/>
            <w:noWrap/>
            <w:vAlign w:val="bottom"/>
            <w:hideMark/>
          </w:tcPr>
          <w:p w14:paraId="3696EA8E" w14:textId="77777777" w:rsidR="004E01B7" w:rsidRPr="004E01B7" w:rsidRDefault="004E01B7" w:rsidP="00FA140E">
            <w:pPr>
              <w:rPr>
                <w:rFonts w:asciiTheme="majorHAnsi" w:hAnsiTheme="majorHAnsi"/>
                <w:color w:val="000000"/>
                <w:sz w:val="24"/>
                <w:lang w:eastAsia="es-CR"/>
              </w:rPr>
            </w:pPr>
            <w:r w:rsidRPr="004E01B7">
              <w:rPr>
                <w:rFonts w:asciiTheme="majorHAnsi" w:hAnsiTheme="majorHAnsi"/>
                <w:color w:val="000000"/>
                <w:sz w:val="24"/>
                <w:lang w:eastAsia="es-CR"/>
              </w:rPr>
              <w:t>27,8%</w:t>
            </w:r>
          </w:p>
        </w:tc>
      </w:tr>
      <w:tr w:rsidR="004E01B7" w:rsidRPr="004E01B7" w14:paraId="6CF3B621" w14:textId="77777777" w:rsidTr="00FA140E">
        <w:trPr>
          <w:trHeight w:val="20"/>
          <w:jc w:val="center"/>
        </w:trPr>
        <w:tc>
          <w:tcPr>
            <w:tcW w:w="1201" w:type="dxa"/>
            <w:tcBorders>
              <w:top w:val="nil"/>
              <w:left w:val="single" w:sz="4" w:space="0" w:color="auto"/>
              <w:bottom w:val="single" w:sz="4" w:space="0" w:color="auto"/>
              <w:right w:val="single" w:sz="4" w:space="0" w:color="auto"/>
            </w:tcBorders>
            <w:shd w:val="clear" w:color="000000" w:fill="F2F2F2"/>
            <w:noWrap/>
            <w:vAlign w:val="bottom"/>
            <w:hideMark/>
          </w:tcPr>
          <w:p w14:paraId="6297F610" w14:textId="77777777" w:rsidR="004E01B7" w:rsidRPr="004E01B7" w:rsidRDefault="004E01B7" w:rsidP="00FA140E">
            <w:pPr>
              <w:rPr>
                <w:rFonts w:asciiTheme="majorHAnsi" w:hAnsiTheme="majorHAnsi"/>
                <w:color w:val="000000"/>
                <w:sz w:val="24"/>
                <w:lang w:eastAsia="es-CR"/>
              </w:rPr>
            </w:pPr>
            <w:r w:rsidRPr="004E01B7">
              <w:rPr>
                <w:rFonts w:asciiTheme="majorHAnsi" w:hAnsiTheme="majorHAnsi"/>
                <w:color w:val="000000"/>
                <w:sz w:val="24"/>
                <w:lang w:eastAsia="es-CR"/>
              </w:rPr>
              <w:t>2011</w:t>
            </w:r>
          </w:p>
        </w:tc>
        <w:tc>
          <w:tcPr>
            <w:tcW w:w="1921" w:type="dxa"/>
            <w:tcBorders>
              <w:top w:val="nil"/>
              <w:left w:val="nil"/>
              <w:bottom w:val="single" w:sz="4" w:space="0" w:color="auto"/>
              <w:right w:val="single" w:sz="4" w:space="0" w:color="auto"/>
            </w:tcBorders>
            <w:shd w:val="clear" w:color="000000" w:fill="F2F2F2"/>
            <w:noWrap/>
            <w:vAlign w:val="bottom"/>
            <w:hideMark/>
          </w:tcPr>
          <w:p w14:paraId="7AC7BA92" w14:textId="77777777" w:rsidR="004E01B7" w:rsidRPr="004E01B7" w:rsidRDefault="004E01B7" w:rsidP="00FA140E">
            <w:pPr>
              <w:jc w:val="right"/>
              <w:rPr>
                <w:rFonts w:asciiTheme="majorHAnsi" w:hAnsiTheme="majorHAnsi"/>
                <w:color w:val="000000"/>
                <w:sz w:val="24"/>
                <w:lang w:eastAsia="es-CR"/>
              </w:rPr>
            </w:pPr>
            <w:r w:rsidRPr="004E01B7">
              <w:rPr>
                <w:rFonts w:asciiTheme="majorHAnsi" w:hAnsiTheme="majorHAnsi"/>
                <w:color w:val="000000"/>
                <w:sz w:val="24"/>
                <w:lang w:eastAsia="es-CR"/>
              </w:rPr>
              <w:t xml:space="preserve">2.944.035.032 </w:t>
            </w:r>
          </w:p>
        </w:tc>
        <w:tc>
          <w:tcPr>
            <w:tcW w:w="2134" w:type="dxa"/>
            <w:tcBorders>
              <w:top w:val="nil"/>
              <w:left w:val="nil"/>
              <w:bottom w:val="single" w:sz="4" w:space="0" w:color="auto"/>
              <w:right w:val="single" w:sz="4" w:space="0" w:color="auto"/>
            </w:tcBorders>
            <w:shd w:val="clear" w:color="000000" w:fill="F2F2F2"/>
            <w:noWrap/>
            <w:vAlign w:val="bottom"/>
            <w:hideMark/>
          </w:tcPr>
          <w:p w14:paraId="5B4D6F6B" w14:textId="77777777" w:rsidR="004E01B7" w:rsidRPr="004E01B7" w:rsidRDefault="004E01B7" w:rsidP="00FA140E">
            <w:pPr>
              <w:jc w:val="right"/>
              <w:rPr>
                <w:rFonts w:asciiTheme="majorHAnsi" w:hAnsiTheme="majorHAnsi"/>
                <w:color w:val="000000"/>
                <w:sz w:val="24"/>
                <w:lang w:eastAsia="es-CR"/>
              </w:rPr>
            </w:pPr>
            <w:r w:rsidRPr="004E01B7">
              <w:rPr>
                <w:rFonts w:asciiTheme="majorHAnsi" w:hAnsiTheme="majorHAnsi"/>
                <w:color w:val="000000"/>
                <w:sz w:val="24"/>
                <w:lang w:eastAsia="es-CR"/>
              </w:rPr>
              <w:t xml:space="preserve">937.872.350 </w:t>
            </w:r>
          </w:p>
        </w:tc>
        <w:tc>
          <w:tcPr>
            <w:tcW w:w="1191" w:type="dxa"/>
            <w:tcBorders>
              <w:top w:val="nil"/>
              <w:left w:val="nil"/>
              <w:bottom w:val="single" w:sz="4" w:space="0" w:color="auto"/>
              <w:right w:val="single" w:sz="4" w:space="0" w:color="auto"/>
            </w:tcBorders>
            <w:shd w:val="clear" w:color="000000" w:fill="F2F2F2"/>
            <w:noWrap/>
            <w:vAlign w:val="bottom"/>
            <w:hideMark/>
          </w:tcPr>
          <w:p w14:paraId="44B849CA" w14:textId="77777777" w:rsidR="004E01B7" w:rsidRPr="004E01B7" w:rsidRDefault="004E01B7" w:rsidP="00FA140E">
            <w:pPr>
              <w:rPr>
                <w:rFonts w:asciiTheme="majorHAnsi" w:hAnsiTheme="majorHAnsi"/>
                <w:color w:val="000000"/>
                <w:sz w:val="24"/>
                <w:lang w:eastAsia="es-CR"/>
              </w:rPr>
            </w:pPr>
            <w:r w:rsidRPr="004E01B7">
              <w:rPr>
                <w:rFonts w:asciiTheme="majorHAnsi" w:hAnsiTheme="majorHAnsi"/>
                <w:color w:val="000000"/>
                <w:sz w:val="24"/>
                <w:lang w:eastAsia="es-CR"/>
              </w:rPr>
              <w:t>31,9%</w:t>
            </w:r>
          </w:p>
        </w:tc>
      </w:tr>
      <w:tr w:rsidR="004E01B7" w:rsidRPr="004E01B7" w14:paraId="5A07A09D" w14:textId="77777777" w:rsidTr="00FA140E">
        <w:trPr>
          <w:trHeight w:val="20"/>
          <w:jc w:val="center"/>
        </w:trPr>
        <w:tc>
          <w:tcPr>
            <w:tcW w:w="1201" w:type="dxa"/>
            <w:tcBorders>
              <w:top w:val="nil"/>
              <w:left w:val="single" w:sz="4" w:space="0" w:color="auto"/>
              <w:bottom w:val="single" w:sz="4" w:space="0" w:color="auto"/>
              <w:right w:val="single" w:sz="4" w:space="0" w:color="auto"/>
            </w:tcBorders>
            <w:shd w:val="clear" w:color="000000" w:fill="F2F2F2"/>
            <w:noWrap/>
            <w:vAlign w:val="bottom"/>
            <w:hideMark/>
          </w:tcPr>
          <w:p w14:paraId="5C9EF178" w14:textId="77777777" w:rsidR="004E01B7" w:rsidRPr="004E01B7" w:rsidRDefault="004E01B7" w:rsidP="00FA140E">
            <w:pPr>
              <w:rPr>
                <w:rFonts w:asciiTheme="majorHAnsi" w:hAnsiTheme="majorHAnsi"/>
                <w:color w:val="000000"/>
                <w:sz w:val="24"/>
                <w:lang w:eastAsia="es-CR"/>
              </w:rPr>
            </w:pPr>
            <w:r w:rsidRPr="004E01B7">
              <w:rPr>
                <w:rFonts w:asciiTheme="majorHAnsi" w:hAnsiTheme="majorHAnsi"/>
                <w:color w:val="000000"/>
                <w:sz w:val="24"/>
                <w:lang w:eastAsia="es-CR"/>
              </w:rPr>
              <w:t>2012</w:t>
            </w:r>
          </w:p>
        </w:tc>
        <w:tc>
          <w:tcPr>
            <w:tcW w:w="1921" w:type="dxa"/>
            <w:tcBorders>
              <w:top w:val="nil"/>
              <w:left w:val="nil"/>
              <w:bottom w:val="single" w:sz="4" w:space="0" w:color="auto"/>
              <w:right w:val="single" w:sz="4" w:space="0" w:color="auto"/>
            </w:tcBorders>
            <w:shd w:val="clear" w:color="000000" w:fill="F2F2F2"/>
            <w:noWrap/>
            <w:vAlign w:val="bottom"/>
            <w:hideMark/>
          </w:tcPr>
          <w:p w14:paraId="58A26E92" w14:textId="77777777" w:rsidR="004E01B7" w:rsidRPr="004E01B7" w:rsidRDefault="004E01B7" w:rsidP="00FA140E">
            <w:pPr>
              <w:jc w:val="right"/>
              <w:rPr>
                <w:rFonts w:asciiTheme="majorHAnsi" w:hAnsiTheme="majorHAnsi"/>
                <w:color w:val="000000"/>
                <w:sz w:val="24"/>
                <w:lang w:eastAsia="es-CR"/>
              </w:rPr>
            </w:pPr>
            <w:r w:rsidRPr="004E01B7">
              <w:rPr>
                <w:rFonts w:asciiTheme="majorHAnsi" w:hAnsiTheme="majorHAnsi"/>
                <w:color w:val="000000"/>
                <w:sz w:val="24"/>
                <w:lang w:eastAsia="es-CR"/>
              </w:rPr>
              <w:t xml:space="preserve">3.769.071.097 </w:t>
            </w:r>
          </w:p>
        </w:tc>
        <w:tc>
          <w:tcPr>
            <w:tcW w:w="2134" w:type="dxa"/>
            <w:tcBorders>
              <w:top w:val="nil"/>
              <w:left w:val="nil"/>
              <w:bottom w:val="single" w:sz="4" w:space="0" w:color="auto"/>
              <w:right w:val="single" w:sz="4" w:space="0" w:color="auto"/>
            </w:tcBorders>
            <w:shd w:val="clear" w:color="000000" w:fill="F2F2F2"/>
            <w:noWrap/>
            <w:vAlign w:val="bottom"/>
            <w:hideMark/>
          </w:tcPr>
          <w:p w14:paraId="6A78B90B" w14:textId="77777777" w:rsidR="004E01B7" w:rsidRPr="004E01B7" w:rsidRDefault="004E01B7" w:rsidP="00FA140E">
            <w:pPr>
              <w:jc w:val="right"/>
              <w:rPr>
                <w:rFonts w:asciiTheme="majorHAnsi" w:hAnsiTheme="majorHAnsi"/>
                <w:color w:val="000000"/>
                <w:sz w:val="24"/>
                <w:lang w:eastAsia="es-CR"/>
              </w:rPr>
            </w:pPr>
            <w:r w:rsidRPr="004E01B7">
              <w:rPr>
                <w:rFonts w:asciiTheme="majorHAnsi" w:hAnsiTheme="majorHAnsi"/>
                <w:color w:val="000000"/>
                <w:sz w:val="24"/>
                <w:lang w:eastAsia="es-CR"/>
              </w:rPr>
              <w:t xml:space="preserve">826.876.390 </w:t>
            </w:r>
          </w:p>
        </w:tc>
        <w:tc>
          <w:tcPr>
            <w:tcW w:w="1191" w:type="dxa"/>
            <w:tcBorders>
              <w:top w:val="nil"/>
              <w:left w:val="nil"/>
              <w:bottom w:val="single" w:sz="4" w:space="0" w:color="auto"/>
              <w:right w:val="single" w:sz="4" w:space="0" w:color="auto"/>
            </w:tcBorders>
            <w:shd w:val="clear" w:color="000000" w:fill="F2F2F2"/>
            <w:noWrap/>
            <w:vAlign w:val="bottom"/>
            <w:hideMark/>
          </w:tcPr>
          <w:p w14:paraId="345FCB51" w14:textId="77777777" w:rsidR="004E01B7" w:rsidRPr="004E01B7" w:rsidRDefault="004E01B7" w:rsidP="00FA140E">
            <w:pPr>
              <w:rPr>
                <w:rFonts w:asciiTheme="majorHAnsi" w:hAnsiTheme="majorHAnsi"/>
                <w:color w:val="000000"/>
                <w:sz w:val="24"/>
                <w:lang w:eastAsia="es-CR"/>
              </w:rPr>
            </w:pPr>
            <w:r w:rsidRPr="004E01B7">
              <w:rPr>
                <w:rFonts w:asciiTheme="majorHAnsi" w:hAnsiTheme="majorHAnsi"/>
                <w:color w:val="000000"/>
                <w:sz w:val="24"/>
                <w:lang w:eastAsia="es-CR"/>
              </w:rPr>
              <w:t>21,9%</w:t>
            </w:r>
          </w:p>
        </w:tc>
      </w:tr>
      <w:tr w:rsidR="004E01B7" w:rsidRPr="004E01B7" w14:paraId="4398BF7B" w14:textId="77777777" w:rsidTr="00FA140E">
        <w:trPr>
          <w:trHeight w:val="20"/>
          <w:jc w:val="center"/>
        </w:trPr>
        <w:tc>
          <w:tcPr>
            <w:tcW w:w="1201" w:type="dxa"/>
            <w:tcBorders>
              <w:top w:val="nil"/>
              <w:left w:val="single" w:sz="4" w:space="0" w:color="auto"/>
              <w:bottom w:val="single" w:sz="4" w:space="0" w:color="auto"/>
              <w:right w:val="single" w:sz="4" w:space="0" w:color="auto"/>
            </w:tcBorders>
            <w:shd w:val="clear" w:color="000000" w:fill="F2F2F2"/>
            <w:noWrap/>
            <w:vAlign w:val="bottom"/>
            <w:hideMark/>
          </w:tcPr>
          <w:p w14:paraId="71A99E18" w14:textId="77777777" w:rsidR="004E01B7" w:rsidRPr="004E01B7" w:rsidRDefault="004E01B7" w:rsidP="00FA140E">
            <w:pPr>
              <w:rPr>
                <w:rFonts w:asciiTheme="majorHAnsi" w:hAnsiTheme="majorHAnsi"/>
                <w:color w:val="000000"/>
                <w:sz w:val="24"/>
                <w:lang w:eastAsia="es-CR"/>
              </w:rPr>
            </w:pPr>
            <w:r w:rsidRPr="004E01B7">
              <w:rPr>
                <w:rFonts w:asciiTheme="majorHAnsi" w:hAnsiTheme="majorHAnsi"/>
                <w:color w:val="000000"/>
                <w:sz w:val="24"/>
                <w:lang w:eastAsia="es-CR"/>
              </w:rPr>
              <w:t>2013</w:t>
            </w:r>
          </w:p>
        </w:tc>
        <w:tc>
          <w:tcPr>
            <w:tcW w:w="1921" w:type="dxa"/>
            <w:tcBorders>
              <w:top w:val="nil"/>
              <w:left w:val="nil"/>
              <w:bottom w:val="single" w:sz="4" w:space="0" w:color="auto"/>
              <w:right w:val="single" w:sz="4" w:space="0" w:color="auto"/>
            </w:tcBorders>
            <w:shd w:val="clear" w:color="000000" w:fill="F2F2F2"/>
            <w:noWrap/>
            <w:vAlign w:val="bottom"/>
            <w:hideMark/>
          </w:tcPr>
          <w:p w14:paraId="1322F09D" w14:textId="77777777" w:rsidR="004E01B7" w:rsidRPr="004E01B7" w:rsidRDefault="004E01B7" w:rsidP="00FA140E">
            <w:pPr>
              <w:jc w:val="right"/>
              <w:rPr>
                <w:rFonts w:asciiTheme="majorHAnsi" w:hAnsiTheme="majorHAnsi"/>
                <w:color w:val="000000"/>
                <w:sz w:val="24"/>
                <w:lang w:eastAsia="es-CR"/>
              </w:rPr>
            </w:pPr>
            <w:r w:rsidRPr="004E01B7">
              <w:rPr>
                <w:rFonts w:asciiTheme="majorHAnsi" w:hAnsiTheme="majorHAnsi"/>
                <w:color w:val="000000"/>
                <w:sz w:val="24"/>
                <w:lang w:eastAsia="es-CR"/>
              </w:rPr>
              <w:t xml:space="preserve">3.269.241.881 </w:t>
            </w:r>
          </w:p>
        </w:tc>
        <w:tc>
          <w:tcPr>
            <w:tcW w:w="2134" w:type="dxa"/>
            <w:tcBorders>
              <w:top w:val="nil"/>
              <w:left w:val="nil"/>
              <w:bottom w:val="single" w:sz="4" w:space="0" w:color="auto"/>
              <w:right w:val="single" w:sz="4" w:space="0" w:color="auto"/>
            </w:tcBorders>
            <w:shd w:val="clear" w:color="000000" w:fill="F2F2F2"/>
            <w:noWrap/>
            <w:vAlign w:val="bottom"/>
            <w:hideMark/>
          </w:tcPr>
          <w:p w14:paraId="3E756E1C" w14:textId="77777777" w:rsidR="004E01B7" w:rsidRPr="004E01B7" w:rsidRDefault="004E01B7" w:rsidP="00FA140E">
            <w:pPr>
              <w:jc w:val="right"/>
              <w:rPr>
                <w:rFonts w:asciiTheme="majorHAnsi" w:hAnsiTheme="majorHAnsi"/>
                <w:color w:val="000000"/>
                <w:sz w:val="24"/>
                <w:lang w:eastAsia="es-CR"/>
              </w:rPr>
            </w:pPr>
            <w:r w:rsidRPr="004E01B7">
              <w:rPr>
                <w:rFonts w:asciiTheme="majorHAnsi" w:hAnsiTheme="majorHAnsi"/>
                <w:color w:val="000000"/>
                <w:sz w:val="24"/>
                <w:lang w:eastAsia="es-CR"/>
              </w:rPr>
              <w:t xml:space="preserve">342.588.534 </w:t>
            </w:r>
          </w:p>
        </w:tc>
        <w:tc>
          <w:tcPr>
            <w:tcW w:w="1191" w:type="dxa"/>
            <w:tcBorders>
              <w:top w:val="nil"/>
              <w:left w:val="nil"/>
              <w:bottom w:val="single" w:sz="4" w:space="0" w:color="auto"/>
              <w:right w:val="single" w:sz="4" w:space="0" w:color="auto"/>
            </w:tcBorders>
            <w:shd w:val="clear" w:color="000000" w:fill="F2F2F2"/>
            <w:noWrap/>
            <w:vAlign w:val="bottom"/>
            <w:hideMark/>
          </w:tcPr>
          <w:p w14:paraId="3A0DEF0E" w14:textId="77777777" w:rsidR="004E01B7" w:rsidRPr="004E01B7" w:rsidRDefault="004E01B7" w:rsidP="00FA140E">
            <w:pPr>
              <w:rPr>
                <w:rFonts w:asciiTheme="majorHAnsi" w:hAnsiTheme="majorHAnsi"/>
                <w:color w:val="000000"/>
                <w:sz w:val="24"/>
                <w:lang w:eastAsia="es-CR"/>
              </w:rPr>
            </w:pPr>
            <w:r w:rsidRPr="004E01B7">
              <w:rPr>
                <w:rFonts w:asciiTheme="majorHAnsi" w:hAnsiTheme="majorHAnsi"/>
                <w:color w:val="000000"/>
                <w:sz w:val="24"/>
                <w:lang w:eastAsia="es-CR"/>
              </w:rPr>
              <w:t>10,5%</w:t>
            </w:r>
          </w:p>
        </w:tc>
      </w:tr>
      <w:tr w:rsidR="004E01B7" w:rsidRPr="004E01B7" w14:paraId="04E68335" w14:textId="77777777" w:rsidTr="00FA140E">
        <w:trPr>
          <w:trHeight w:val="20"/>
          <w:jc w:val="center"/>
        </w:trPr>
        <w:tc>
          <w:tcPr>
            <w:tcW w:w="1201" w:type="dxa"/>
            <w:tcBorders>
              <w:top w:val="nil"/>
              <w:left w:val="single" w:sz="4" w:space="0" w:color="auto"/>
              <w:bottom w:val="single" w:sz="4" w:space="0" w:color="auto"/>
              <w:right w:val="single" w:sz="4" w:space="0" w:color="auto"/>
            </w:tcBorders>
            <w:shd w:val="clear" w:color="000000" w:fill="F2F2F2"/>
            <w:noWrap/>
            <w:vAlign w:val="bottom"/>
            <w:hideMark/>
          </w:tcPr>
          <w:p w14:paraId="55F6B1E4" w14:textId="77777777" w:rsidR="004E01B7" w:rsidRPr="004E01B7" w:rsidRDefault="004E01B7" w:rsidP="00FA140E">
            <w:pPr>
              <w:rPr>
                <w:rFonts w:asciiTheme="majorHAnsi" w:hAnsiTheme="majorHAnsi"/>
                <w:color w:val="000000"/>
                <w:sz w:val="24"/>
                <w:lang w:eastAsia="es-CR"/>
              </w:rPr>
            </w:pPr>
            <w:r w:rsidRPr="004E01B7">
              <w:rPr>
                <w:rFonts w:asciiTheme="majorHAnsi" w:hAnsiTheme="majorHAnsi"/>
                <w:color w:val="000000"/>
                <w:sz w:val="24"/>
                <w:lang w:eastAsia="es-CR"/>
              </w:rPr>
              <w:t>2014</w:t>
            </w:r>
          </w:p>
        </w:tc>
        <w:tc>
          <w:tcPr>
            <w:tcW w:w="1921" w:type="dxa"/>
            <w:tcBorders>
              <w:top w:val="nil"/>
              <w:left w:val="nil"/>
              <w:bottom w:val="single" w:sz="4" w:space="0" w:color="auto"/>
              <w:right w:val="single" w:sz="4" w:space="0" w:color="auto"/>
            </w:tcBorders>
            <w:shd w:val="clear" w:color="000000" w:fill="F2F2F2"/>
            <w:noWrap/>
            <w:vAlign w:val="bottom"/>
            <w:hideMark/>
          </w:tcPr>
          <w:p w14:paraId="74135A5B" w14:textId="77777777" w:rsidR="004E01B7" w:rsidRPr="004E01B7" w:rsidRDefault="004E01B7" w:rsidP="00FA140E">
            <w:pPr>
              <w:jc w:val="right"/>
              <w:rPr>
                <w:rFonts w:asciiTheme="majorHAnsi" w:hAnsiTheme="majorHAnsi"/>
                <w:color w:val="000000"/>
                <w:sz w:val="24"/>
                <w:lang w:eastAsia="es-CR"/>
              </w:rPr>
            </w:pPr>
            <w:r w:rsidRPr="004E01B7">
              <w:rPr>
                <w:rFonts w:asciiTheme="majorHAnsi" w:hAnsiTheme="majorHAnsi"/>
                <w:color w:val="000000"/>
                <w:sz w:val="24"/>
                <w:lang w:eastAsia="es-CR"/>
              </w:rPr>
              <w:t xml:space="preserve">3.474.622.356 </w:t>
            </w:r>
          </w:p>
        </w:tc>
        <w:tc>
          <w:tcPr>
            <w:tcW w:w="2134" w:type="dxa"/>
            <w:tcBorders>
              <w:top w:val="nil"/>
              <w:left w:val="nil"/>
              <w:bottom w:val="single" w:sz="4" w:space="0" w:color="auto"/>
              <w:right w:val="single" w:sz="4" w:space="0" w:color="auto"/>
            </w:tcBorders>
            <w:shd w:val="clear" w:color="000000" w:fill="F2F2F2"/>
            <w:noWrap/>
            <w:vAlign w:val="bottom"/>
            <w:hideMark/>
          </w:tcPr>
          <w:p w14:paraId="257E4FCB" w14:textId="77777777" w:rsidR="004E01B7" w:rsidRPr="004E01B7" w:rsidRDefault="004E01B7" w:rsidP="00FA140E">
            <w:pPr>
              <w:jc w:val="right"/>
              <w:rPr>
                <w:rFonts w:asciiTheme="majorHAnsi" w:hAnsiTheme="majorHAnsi"/>
                <w:color w:val="000000"/>
                <w:sz w:val="24"/>
                <w:lang w:eastAsia="es-CR"/>
              </w:rPr>
            </w:pPr>
            <w:r w:rsidRPr="004E01B7">
              <w:rPr>
                <w:rFonts w:asciiTheme="majorHAnsi" w:hAnsiTheme="majorHAnsi"/>
                <w:color w:val="000000"/>
                <w:sz w:val="24"/>
                <w:lang w:eastAsia="es-CR"/>
              </w:rPr>
              <w:t xml:space="preserve">567.338.092 </w:t>
            </w:r>
          </w:p>
        </w:tc>
        <w:tc>
          <w:tcPr>
            <w:tcW w:w="1191" w:type="dxa"/>
            <w:tcBorders>
              <w:top w:val="nil"/>
              <w:left w:val="nil"/>
              <w:bottom w:val="single" w:sz="4" w:space="0" w:color="auto"/>
              <w:right w:val="single" w:sz="4" w:space="0" w:color="auto"/>
            </w:tcBorders>
            <w:shd w:val="clear" w:color="000000" w:fill="F2F2F2"/>
            <w:noWrap/>
            <w:vAlign w:val="bottom"/>
            <w:hideMark/>
          </w:tcPr>
          <w:p w14:paraId="79C7E699" w14:textId="77777777" w:rsidR="004E01B7" w:rsidRPr="004E01B7" w:rsidRDefault="004E01B7" w:rsidP="00FA140E">
            <w:pPr>
              <w:rPr>
                <w:rFonts w:asciiTheme="majorHAnsi" w:hAnsiTheme="majorHAnsi"/>
                <w:color w:val="000000"/>
                <w:sz w:val="24"/>
                <w:lang w:eastAsia="es-CR"/>
              </w:rPr>
            </w:pPr>
            <w:r w:rsidRPr="004E01B7">
              <w:rPr>
                <w:rFonts w:asciiTheme="majorHAnsi" w:hAnsiTheme="majorHAnsi"/>
                <w:color w:val="000000"/>
                <w:sz w:val="24"/>
                <w:lang w:eastAsia="es-CR"/>
              </w:rPr>
              <w:t>16,3%</w:t>
            </w:r>
          </w:p>
        </w:tc>
      </w:tr>
      <w:tr w:rsidR="004E01B7" w:rsidRPr="004E01B7" w14:paraId="620FB88F" w14:textId="77777777" w:rsidTr="00FA140E">
        <w:trPr>
          <w:trHeight w:val="20"/>
          <w:jc w:val="center"/>
        </w:trPr>
        <w:tc>
          <w:tcPr>
            <w:tcW w:w="1201" w:type="dxa"/>
            <w:tcBorders>
              <w:top w:val="nil"/>
              <w:left w:val="single" w:sz="4" w:space="0" w:color="auto"/>
              <w:bottom w:val="nil"/>
              <w:right w:val="single" w:sz="4" w:space="0" w:color="auto"/>
            </w:tcBorders>
            <w:shd w:val="clear" w:color="auto" w:fill="auto"/>
            <w:noWrap/>
            <w:vAlign w:val="bottom"/>
            <w:hideMark/>
          </w:tcPr>
          <w:p w14:paraId="1A44330A" w14:textId="77777777" w:rsidR="004E01B7" w:rsidRPr="004E01B7" w:rsidRDefault="004E01B7" w:rsidP="00FA140E">
            <w:pPr>
              <w:rPr>
                <w:rFonts w:asciiTheme="majorHAnsi" w:hAnsiTheme="majorHAnsi"/>
                <w:color w:val="000000"/>
                <w:sz w:val="24"/>
                <w:lang w:eastAsia="es-CR"/>
              </w:rPr>
            </w:pPr>
            <w:r w:rsidRPr="004E01B7">
              <w:rPr>
                <w:rFonts w:asciiTheme="majorHAnsi" w:hAnsiTheme="majorHAnsi"/>
                <w:color w:val="000000"/>
                <w:sz w:val="24"/>
                <w:lang w:eastAsia="es-CR"/>
              </w:rPr>
              <w:t>2015</w:t>
            </w:r>
          </w:p>
        </w:tc>
        <w:tc>
          <w:tcPr>
            <w:tcW w:w="1921" w:type="dxa"/>
            <w:tcBorders>
              <w:top w:val="nil"/>
              <w:left w:val="nil"/>
              <w:bottom w:val="nil"/>
              <w:right w:val="single" w:sz="4" w:space="0" w:color="auto"/>
            </w:tcBorders>
            <w:shd w:val="clear" w:color="auto" w:fill="auto"/>
            <w:noWrap/>
            <w:vAlign w:val="bottom"/>
            <w:hideMark/>
          </w:tcPr>
          <w:p w14:paraId="4566D59B" w14:textId="77777777" w:rsidR="004E01B7" w:rsidRPr="004E01B7" w:rsidRDefault="004E01B7" w:rsidP="00FA140E">
            <w:pPr>
              <w:jc w:val="right"/>
              <w:rPr>
                <w:rFonts w:asciiTheme="majorHAnsi" w:hAnsiTheme="majorHAnsi"/>
                <w:color w:val="000000"/>
                <w:sz w:val="24"/>
                <w:lang w:eastAsia="es-CR"/>
              </w:rPr>
            </w:pPr>
            <w:r w:rsidRPr="004E01B7">
              <w:rPr>
                <w:rFonts w:asciiTheme="majorHAnsi" w:hAnsiTheme="majorHAnsi"/>
                <w:color w:val="000000"/>
                <w:sz w:val="24"/>
                <w:lang w:eastAsia="es-CR"/>
              </w:rPr>
              <w:t xml:space="preserve">240.362.500 </w:t>
            </w:r>
          </w:p>
        </w:tc>
        <w:tc>
          <w:tcPr>
            <w:tcW w:w="2134" w:type="dxa"/>
            <w:tcBorders>
              <w:top w:val="nil"/>
              <w:left w:val="nil"/>
              <w:bottom w:val="nil"/>
              <w:right w:val="single" w:sz="4" w:space="0" w:color="auto"/>
            </w:tcBorders>
            <w:shd w:val="clear" w:color="auto" w:fill="auto"/>
            <w:noWrap/>
            <w:vAlign w:val="bottom"/>
            <w:hideMark/>
          </w:tcPr>
          <w:p w14:paraId="151D8662" w14:textId="77777777" w:rsidR="004E01B7" w:rsidRPr="004E01B7" w:rsidRDefault="004E01B7" w:rsidP="00FA140E">
            <w:pPr>
              <w:jc w:val="right"/>
              <w:rPr>
                <w:rFonts w:asciiTheme="majorHAnsi" w:hAnsiTheme="majorHAnsi"/>
                <w:color w:val="000000"/>
                <w:sz w:val="24"/>
                <w:lang w:eastAsia="es-CR"/>
              </w:rPr>
            </w:pPr>
            <w:r w:rsidRPr="004E01B7">
              <w:rPr>
                <w:rFonts w:asciiTheme="majorHAnsi" w:hAnsiTheme="majorHAnsi"/>
                <w:color w:val="000000"/>
                <w:sz w:val="24"/>
                <w:lang w:eastAsia="es-CR"/>
              </w:rPr>
              <w:t xml:space="preserve">51.500.000 </w:t>
            </w:r>
          </w:p>
        </w:tc>
        <w:tc>
          <w:tcPr>
            <w:tcW w:w="1191" w:type="dxa"/>
            <w:tcBorders>
              <w:top w:val="nil"/>
              <w:left w:val="nil"/>
              <w:bottom w:val="nil"/>
              <w:right w:val="single" w:sz="4" w:space="0" w:color="auto"/>
            </w:tcBorders>
            <w:shd w:val="clear" w:color="auto" w:fill="auto"/>
            <w:noWrap/>
            <w:vAlign w:val="bottom"/>
            <w:hideMark/>
          </w:tcPr>
          <w:p w14:paraId="28B926BC" w14:textId="77777777" w:rsidR="004E01B7" w:rsidRPr="004E01B7" w:rsidRDefault="004E01B7" w:rsidP="00FA140E">
            <w:pPr>
              <w:rPr>
                <w:rFonts w:asciiTheme="majorHAnsi" w:hAnsiTheme="majorHAnsi"/>
                <w:color w:val="000000"/>
                <w:sz w:val="24"/>
                <w:lang w:eastAsia="es-CR"/>
              </w:rPr>
            </w:pPr>
            <w:r w:rsidRPr="004E01B7">
              <w:rPr>
                <w:rFonts w:asciiTheme="majorHAnsi" w:hAnsiTheme="majorHAnsi"/>
                <w:color w:val="000000"/>
                <w:sz w:val="24"/>
                <w:lang w:eastAsia="es-CR"/>
              </w:rPr>
              <w:t>21,4%</w:t>
            </w:r>
          </w:p>
        </w:tc>
      </w:tr>
      <w:tr w:rsidR="004E01B7" w:rsidRPr="004E01B7" w14:paraId="4596DFD6" w14:textId="77777777" w:rsidTr="00FA140E">
        <w:trPr>
          <w:trHeight w:val="20"/>
          <w:jc w:val="center"/>
        </w:trPr>
        <w:tc>
          <w:tcPr>
            <w:tcW w:w="120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02843FB" w14:textId="77777777" w:rsidR="004E01B7" w:rsidRPr="004E01B7" w:rsidRDefault="004E01B7" w:rsidP="00FA140E">
            <w:pPr>
              <w:rPr>
                <w:rFonts w:asciiTheme="majorHAnsi" w:hAnsiTheme="majorHAnsi"/>
                <w:b/>
                <w:color w:val="000000"/>
                <w:sz w:val="24"/>
                <w:lang w:eastAsia="es-CR"/>
              </w:rPr>
            </w:pPr>
            <w:r w:rsidRPr="004E01B7">
              <w:rPr>
                <w:rFonts w:asciiTheme="majorHAnsi" w:hAnsiTheme="majorHAnsi"/>
                <w:b/>
                <w:color w:val="000000"/>
                <w:sz w:val="24"/>
                <w:lang w:eastAsia="es-CR"/>
              </w:rPr>
              <w:t>Total</w:t>
            </w:r>
          </w:p>
        </w:tc>
        <w:tc>
          <w:tcPr>
            <w:tcW w:w="1921" w:type="dxa"/>
            <w:tcBorders>
              <w:top w:val="single" w:sz="8" w:space="0" w:color="auto"/>
              <w:left w:val="nil"/>
              <w:bottom w:val="single" w:sz="4" w:space="0" w:color="auto"/>
              <w:right w:val="single" w:sz="4" w:space="0" w:color="auto"/>
            </w:tcBorders>
            <w:shd w:val="clear" w:color="auto" w:fill="auto"/>
            <w:noWrap/>
            <w:vAlign w:val="bottom"/>
            <w:hideMark/>
          </w:tcPr>
          <w:p w14:paraId="73C4BB96" w14:textId="77777777" w:rsidR="004E01B7" w:rsidRPr="004E01B7" w:rsidRDefault="004E01B7" w:rsidP="00FA140E">
            <w:pPr>
              <w:rPr>
                <w:rFonts w:asciiTheme="majorHAnsi" w:hAnsiTheme="majorHAnsi"/>
                <w:b/>
                <w:color w:val="000000"/>
                <w:sz w:val="24"/>
                <w:lang w:eastAsia="es-CR"/>
              </w:rPr>
            </w:pPr>
            <w:r w:rsidRPr="004E01B7">
              <w:rPr>
                <w:rFonts w:asciiTheme="majorHAnsi" w:hAnsiTheme="majorHAnsi"/>
                <w:b/>
                <w:color w:val="000000"/>
                <w:sz w:val="24"/>
                <w:lang w:eastAsia="es-CR"/>
              </w:rPr>
              <w:t xml:space="preserve">17.649.581.404 </w:t>
            </w:r>
          </w:p>
        </w:tc>
        <w:tc>
          <w:tcPr>
            <w:tcW w:w="2134" w:type="dxa"/>
            <w:tcBorders>
              <w:top w:val="single" w:sz="8" w:space="0" w:color="auto"/>
              <w:left w:val="nil"/>
              <w:bottom w:val="single" w:sz="4" w:space="0" w:color="auto"/>
              <w:right w:val="single" w:sz="4" w:space="0" w:color="auto"/>
            </w:tcBorders>
            <w:shd w:val="clear" w:color="auto" w:fill="auto"/>
            <w:noWrap/>
            <w:vAlign w:val="bottom"/>
            <w:hideMark/>
          </w:tcPr>
          <w:p w14:paraId="5D5D6DAA" w14:textId="77777777" w:rsidR="004E01B7" w:rsidRPr="004E01B7" w:rsidRDefault="004E01B7" w:rsidP="00FA140E">
            <w:pPr>
              <w:rPr>
                <w:rFonts w:asciiTheme="majorHAnsi" w:hAnsiTheme="majorHAnsi"/>
                <w:b/>
                <w:color w:val="000000"/>
                <w:sz w:val="24"/>
                <w:lang w:eastAsia="es-CR"/>
              </w:rPr>
            </w:pPr>
            <w:r w:rsidRPr="004E01B7">
              <w:rPr>
                <w:rFonts w:asciiTheme="majorHAnsi" w:hAnsiTheme="majorHAnsi"/>
                <w:b/>
                <w:color w:val="000000"/>
                <w:sz w:val="24"/>
                <w:lang w:eastAsia="es-CR"/>
              </w:rPr>
              <w:t xml:space="preserve">3.624.661.170 </w:t>
            </w:r>
          </w:p>
        </w:tc>
        <w:tc>
          <w:tcPr>
            <w:tcW w:w="1191" w:type="dxa"/>
            <w:tcBorders>
              <w:top w:val="single" w:sz="8" w:space="0" w:color="auto"/>
              <w:left w:val="nil"/>
              <w:bottom w:val="single" w:sz="4" w:space="0" w:color="auto"/>
              <w:right w:val="single" w:sz="8" w:space="0" w:color="auto"/>
            </w:tcBorders>
            <w:shd w:val="clear" w:color="auto" w:fill="auto"/>
            <w:noWrap/>
            <w:vAlign w:val="bottom"/>
            <w:hideMark/>
          </w:tcPr>
          <w:p w14:paraId="6444FC7B" w14:textId="77777777" w:rsidR="004E01B7" w:rsidRPr="004E01B7" w:rsidRDefault="004E01B7" w:rsidP="00FA140E">
            <w:pPr>
              <w:rPr>
                <w:rFonts w:asciiTheme="majorHAnsi" w:hAnsiTheme="majorHAnsi"/>
                <w:b/>
                <w:color w:val="000000"/>
                <w:sz w:val="24"/>
                <w:lang w:eastAsia="es-CR"/>
              </w:rPr>
            </w:pPr>
            <w:r w:rsidRPr="004E01B7">
              <w:rPr>
                <w:rFonts w:asciiTheme="majorHAnsi" w:hAnsiTheme="majorHAnsi"/>
                <w:b/>
                <w:color w:val="000000"/>
                <w:sz w:val="24"/>
                <w:lang w:eastAsia="es-CR"/>
              </w:rPr>
              <w:t>20,5%</w:t>
            </w:r>
          </w:p>
        </w:tc>
      </w:tr>
    </w:tbl>
    <w:p w14:paraId="4815F6D3" w14:textId="77777777" w:rsidR="004E01B7" w:rsidRPr="004E01B7" w:rsidRDefault="004E01B7" w:rsidP="004E01B7">
      <w:pPr>
        <w:ind w:left="1134" w:right="1183"/>
        <w:jc w:val="left"/>
        <w:rPr>
          <w:rFonts w:asciiTheme="majorHAnsi" w:hAnsiTheme="majorHAnsi"/>
          <w:sz w:val="24"/>
        </w:rPr>
      </w:pPr>
      <w:r w:rsidRPr="004E01B7">
        <w:rPr>
          <w:rFonts w:asciiTheme="majorHAnsi" w:hAnsiTheme="majorHAnsi"/>
          <w:sz w:val="24"/>
        </w:rPr>
        <w:lastRenderedPageBreak/>
        <w:t>Fuente: Información suministrada por el Consejo Rector del Sistema de Banca de Desarrollo</w:t>
      </w:r>
    </w:p>
    <w:p w14:paraId="0DAACD94" w14:textId="77777777" w:rsidR="004E01B7" w:rsidRPr="004E01B7" w:rsidRDefault="004E01B7" w:rsidP="004E01B7">
      <w:pPr>
        <w:rPr>
          <w:rFonts w:asciiTheme="majorHAnsi" w:hAnsiTheme="majorHAnsi"/>
          <w:sz w:val="24"/>
        </w:rPr>
      </w:pPr>
    </w:p>
    <w:p w14:paraId="6C9D60D5" w14:textId="77777777" w:rsidR="004E01B7" w:rsidRPr="004E01B7" w:rsidRDefault="004E01B7" w:rsidP="004E01B7">
      <w:pPr>
        <w:pStyle w:val="NormalWeb"/>
        <w:widowControl w:val="0"/>
        <w:spacing w:before="0" w:beforeAutospacing="0" w:after="0" w:afterAutospacing="0"/>
        <w:rPr>
          <w:rFonts w:asciiTheme="majorHAnsi" w:hAnsiTheme="majorHAnsi"/>
          <w:b/>
        </w:rPr>
      </w:pPr>
      <w:r w:rsidRPr="004E01B7">
        <w:rPr>
          <w:rFonts w:asciiTheme="majorHAnsi" w:hAnsiTheme="majorHAnsi"/>
          <w:b/>
        </w:rPr>
        <w:t>Nivel de cobertura del Fondo de Avales</w:t>
      </w:r>
    </w:p>
    <w:p w14:paraId="6C98C2D0" w14:textId="77777777" w:rsidR="004E01B7" w:rsidRPr="004E01B7" w:rsidRDefault="004E01B7" w:rsidP="004E01B7">
      <w:pPr>
        <w:pStyle w:val="Default"/>
        <w:jc w:val="both"/>
        <w:rPr>
          <w:rFonts w:asciiTheme="majorHAnsi" w:hAnsiTheme="majorHAnsi"/>
          <w:color w:val="auto"/>
        </w:rPr>
      </w:pPr>
      <w:r w:rsidRPr="004E01B7">
        <w:rPr>
          <w:rFonts w:asciiTheme="majorHAnsi" w:hAnsiTheme="majorHAnsi"/>
          <w:color w:val="auto"/>
        </w:rPr>
        <w:t>De conformidad con lo dispuesto en el “Reglamento sobre la gestión y evaluación del riesgo de crédito para el Sistema de Banca de Desarrollo”, el nivel de apalancamiento del Fondo de Avales del FINADE se determina de la siguiente manera:</w:t>
      </w:r>
    </w:p>
    <w:p w14:paraId="3B769415" w14:textId="77777777" w:rsidR="004E01B7" w:rsidRPr="004E01B7" w:rsidRDefault="004E01B7" w:rsidP="004E01B7">
      <w:pPr>
        <w:pStyle w:val="Default"/>
        <w:jc w:val="both"/>
        <w:rPr>
          <w:rFonts w:asciiTheme="majorHAnsi" w:hAnsiTheme="majorHAnsi"/>
          <w:color w:val="auto"/>
        </w:rPr>
      </w:pPr>
    </w:p>
    <w:p w14:paraId="4F1BC078" w14:textId="77777777" w:rsidR="004E01B7" w:rsidRPr="004E01B7" w:rsidRDefault="004E01B7" w:rsidP="004E01B7">
      <w:pPr>
        <w:autoSpaceDE w:val="0"/>
        <w:autoSpaceDN w:val="0"/>
        <w:adjustRightInd w:val="0"/>
        <w:rPr>
          <w:rFonts w:asciiTheme="majorHAnsi" w:hAnsiTheme="majorHAnsi"/>
          <w:color w:val="000000"/>
          <w:sz w:val="24"/>
          <w:lang w:eastAsia="es-CR"/>
        </w:rPr>
      </w:pPr>
      <w:r w:rsidRPr="004E01B7">
        <w:rPr>
          <w:rFonts w:asciiTheme="majorHAnsi" w:hAnsiTheme="majorHAnsi"/>
          <w:color w:val="000000"/>
          <w:sz w:val="24"/>
          <w:lang w:eastAsia="es-CR"/>
        </w:rPr>
        <w:t>NA</w:t>
      </w:r>
      <w:r w:rsidRPr="004E01B7">
        <w:rPr>
          <w:rFonts w:asciiTheme="majorHAnsi" w:hAnsiTheme="majorHAnsi"/>
          <w:color w:val="000000"/>
          <w:sz w:val="24"/>
          <w:vertAlign w:val="subscript"/>
          <w:lang w:eastAsia="es-CR"/>
        </w:rPr>
        <w:t>FONDO</w:t>
      </w:r>
      <w:r w:rsidRPr="004E01B7">
        <w:rPr>
          <w:rFonts w:asciiTheme="majorHAnsi" w:hAnsiTheme="majorHAnsi"/>
          <w:color w:val="000000"/>
          <w:sz w:val="24"/>
          <w:lang w:eastAsia="es-CR"/>
        </w:rPr>
        <w:t xml:space="preserve"> = (Avales emitidos x %E) / (Efectivo + Instrumentos Financieros)</w:t>
      </w:r>
    </w:p>
    <w:p w14:paraId="76B3A970" w14:textId="77777777" w:rsidR="004E01B7" w:rsidRPr="004E01B7" w:rsidRDefault="004E01B7" w:rsidP="004E01B7">
      <w:pPr>
        <w:autoSpaceDE w:val="0"/>
        <w:autoSpaceDN w:val="0"/>
        <w:adjustRightInd w:val="0"/>
        <w:rPr>
          <w:rFonts w:asciiTheme="majorHAnsi" w:hAnsiTheme="majorHAnsi"/>
          <w:color w:val="000000"/>
          <w:sz w:val="24"/>
          <w:lang w:eastAsia="es-CR"/>
        </w:rPr>
      </w:pPr>
    </w:p>
    <w:p w14:paraId="65781277" w14:textId="77777777" w:rsidR="004E01B7" w:rsidRPr="004E01B7" w:rsidRDefault="004E01B7" w:rsidP="004E01B7">
      <w:pPr>
        <w:autoSpaceDE w:val="0"/>
        <w:autoSpaceDN w:val="0"/>
        <w:adjustRightInd w:val="0"/>
        <w:rPr>
          <w:rFonts w:asciiTheme="majorHAnsi" w:hAnsiTheme="majorHAnsi"/>
          <w:b/>
          <w:color w:val="000000"/>
          <w:sz w:val="24"/>
          <w:lang w:eastAsia="es-CR"/>
        </w:rPr>
      </w:pPr>
      <w:r w:rsidRPr="004E01B7">
        <w:rPr>
          <w:rFonts w:asciiTheme="majorHAnsi" w:hAnsiTheme="majorHAnsi"/>
          <w:b/>
          <w:color w:val="000000"/>
          <w:sz w:val="24"/>
          <w:lang w:eastAsia="es-CR"/>
        </w:rPr>
        <w:t>Donde,</w:t>
      </w:r>
    </w:p>
    <w:p w14:paraId="4A6944E8" w14:textId="77777777" w:rsidR="004E01B7" w:rsidRPr="004E01B7" w:rsidRDefault="004E01B7" w:rsidP="004E01B7">
      <w:pPr>
        <w:autoSpaceDE w:val="0"/>
        <w:autoSpaceDN w:val="0"/>
        <w:adjustRightInd w:val="0"/>
        <w:rPr>
          <w:rFonts w:asciiTheme="majorHAnsi" w:hAnsiTheme="majorHAnsi"/>
          <w:color w:val="000000"/>
          <w:sz w:val="24"/>
          <w:lang w:eastAsia="es-CR"/>
        </w:rPr>
      </w:pPr>
      <w:r w:rsidRPr="004E01B7">
        <w:rPr>
          <w:rFonts w:asciiTheme="majorHAnsi" w:hAnsiTheme="majorHAnsi"/>
          <w:color w:val="000000"/>
          <w:sz w:val="24"/>
          <w:lang w:eastAsia="es-CR"/>
        </w:rPr>
        <w:t>NA</w:t>
      </w:r>
      <w:r w:rsidRPr="004E01B7">
        <w:rPr>
          <w:rFonts w:asciiTheme="majorHAnsi" w:hAnsiTheme="majorHAnsi"/>
          <w:color w:val="000000"/>
          <w:sz w:val="24"/>
          <w:vertAlign w:val="subscript"/>
          <w:lang w:eastAsia="es-CR"/>
        </w:rPr>
        <w:t>FONDO</w:t>
      </w:r>
      <w:r w:rsidRPr="004E01B7">
        <w:rPr>
          <w:rFonts w:asciiTheme="majorHAnsi" w:hAnsiTheme="majorHAnsi"/>
          <w:color w:val="000000"/>
          <w:sz w:val="24"/>
          <w:lang w:eastAsia="es-CR"/>
        </w:rPr>
        <w:t xml:space="preserve"> = Nivel de Apalancamiento del Fondo</w:t>
      </w:r>
    </w:p>
    <w:p w14:paraId="438564C7" w14:textId="77777777" w:rsidR="004E01B7" w:rsidRPr="004E01B7" w:rsidRDefault="004E01B7" w:rsidP="004E01B7">
      <w:pPr>
        <w:autoSpaceDE w:val="0"/>
        <w:autoSpaceDN w:val="0"/>
        <w:adjustRightInd w:val="0"/>
        <w:rPr>
          <w:rFonts w:asciiTheme="majorHAnsi" w:hAnsiTheme="majorHAnsi"/>
          <w:color w:val="000000"/>
          <w:sz w:val="24"/>
          <w:lang w:eastAsia="es-CR"/>
        </w:rPr>
      </w:pPr>
      <w:r w:rsidRPr="004E01B7">
        <w:rPr>
          <w:rFonts w:asciiTheme="majorHAnsi" w:hAnsiTheme="majorHAnsi"/>
          <w:color w:val="000000"/>
          <w:sz w:val="24"/>
          <w:lang w:eastAsia="es-CR"/>
        </w:rPr>
        <w:t>%E: Porcentaje que recoge la tasa estimada de ejecución de avales.</w:t>
      </w:r>
    </w:p>
    <w:p w14:paraId="6F7800BB" w14:textId="77777777" w:rsidR="004E01B7" w:rsidRPr="004E01B7" w:rsidRDefault="004E01B7" w:rsidP="004E01B7">
      <w:pPr>
        <w:pStyle w:val="Default"/>
        <w:jc w:val="both"/>
        <w:rPr>
          <w:rFonts w:asciiTheme="majorHAnsi" w:hAnsiTheme="majorHAnsi"/>
          <w:color w:val="auto"/>
        </w:rPr>
      </w:pPr>
      <w:r w:rsidRPr="004E01B7">
        <w:rPr>
          <w:rFonts w:asciiTheme="majorHAnsi" w:hAnsiTheme="majorHAnsi"/>
          <w:color w:val="auto"/>
        </w:rPr>
        <w:t>De conformidad con el punto anterior de esta resolución, la tasa estimada de ejecución de avales es de 20%.</w:t>
      </w:r>
    </w:p>
    <w:p w14:paraId="69C0E8FD" w14:textId="77777777" w:rsidR="004E01B7" w:rsidRPr="004E01B7" w:rsidRDefault="004E01B7" w:rsidP="004E01B7">
      <w:pPr>
        <w:pStyle w:val="Default"/>
        <w:jc w:val="both"/>
        <w:rPr>
          <w:rFonts w:asciiTheme="majorHAnsi" w:hAnsiTheme="majorHAnsi"/>
          <w:color w:val="auto"/>
        </w:rPr>
      </w:pPr>
    </w:p>
    <w:p w14:paraId="28B710D9" w14:textId="77777777" w:rsidR="004E01B7" w:rsidRDefault="004E01B7" w:rsidP="004E01B7">
      <w:pPr>
        <w:pStyle w:val="Default"/>
        <w:jc w:val="both"/>
        <w:rPr>
          <w:rFonts w:asciiTheme="majorHAnsi" w:hAnsiTheme="majorHAnsi"/>
          <w:color w:val="auto"/>
        </w:rPr>
      </w:pPr>
      <w:r w:rsidRPr="004E01B7">
        <w:rPr>
          <w:rFonts w:asciiTheme="majorHAnsi" w:hAnsiTheme="majorHAnsi"/>
          <w:color w:val="auto"/>
        </w:rPr>
        <w:lastRenderedPageBreak/>
        <w:t>Con base en la información financiera del Fondo de Avales del FINADE al 30 de junio de 2015, se determina la siguiente información utilizada en el cálculo:</w:t>
      </w:r>
    </w:p>
    <w:p w14:paraId="120E0DA1" w14:textId="77777777" w:rsidR="004E01B7" w:rsidRDefault="004E01B7" w:rsidP="004E01B7">
      <w:pPr>
        <w:pStyle w:val="Default"/>
        <w:jc w:val="both"/>
        <w:rPr>
          <w:rFonts w:asciiTheme="majorHAnsi" w:hAnsiTheme="majorHAnsi"/>
          <w:color w:val="auto"/>
        </w:rPr>
      </w:pPr>
    </w:p>
    <w:p w14:paraId="2B823880" w14:textId="77777777" w:rsidR="004E01B7" w:rsidRPr="004E01B7" w:rsidRDefault="004E01B7" w:rsidP="004E01B7">
      <w:pPr>
        <w:pStyle w:val="Default"/>
        <w:jc w:val="both"/>
        <w:rPr>
          <w:rFonts w:asciiTheme="majorHAnsi" w:hAnsiTheme="majorHAnsi"/>
          <w:b/>
          <w:color w:val="auto"/>
        </w:rPr>
      </w:pPr>
    </w:p>
    <w:p w14:paraId="3DBE5301" w14:textId="77777777" w:rsidR="004E01B7" w:rsidRPr="004E01B7" w:rsidRDefault="004E01B7" w:rsidP="004E01B7">
      <w:pPr>
        <w:pStyle w:val="Default"/>
        <w:jc w:val="center"/>
        <w:rPr>
          <w:rFonts w:asciiTheme="majorHAnsi" w:hAnsiTheme="majorHAnsi"/>
          <w:color w:val="auto"/>
        </w:rPr>
      </w:pPr>
      <w:r w:rsidRPr="004E01B7">
        <w:rPr>
          <w:rFonts w:asciiTheme="majorHAnsi" w:hAnsiTheme="majorHAnsi"/>
          <w:b/>
          <w:color w:val="auto"/>
        </w:rPr>
        <w:t>Tabla N. 2</w:t>
      </w:r>
    </w:p>
    <w:p w14:paraId="4983124C" w14:textId="77777777" w:rsidR="004E01B7" w:rsidRPr="004E01B7" w:rsidRDefault="004E01B7" w:rsidP="004E01B7">
      <w:pPr>
        <w:pStyle w:val="Default"/>
        <w:jc w:val="center"/>
        <w:rPr>
          <w:rFonts w:asciiTheme="majorHAnsi" w:hAnsiTheme="majorHAnsi"/>
          <w:b/>
          <w:color w:val="auto"/>
        </w:rPr>
      </w:pPr>
      <w:r w:rsidRPr="004E01B7">
        <w:rPr>
          <w:rFonts w:asciiTheme="majorHAnsi" w:hAnsiTheme="majorHAnsi"/>
          <w:b/>
          <w:color w:val="auto"/>
        </w:rPr>
        <w:t>Información Financiera del Fondo de Avales del FINADE</w:t>
      </w:r>
    </w:p>
    <w:p w14:paraId="4461CBA5" w14:textId="77777777" w:rsidR="004E01B7" w:rsidRPr="004E01B7" w:rsidRDefault="004E01B7" w:rsidP="004E01B7">
      <w:pPr>
        <w:pStyle w:val="Default"/>
        <w:jc w:val="center"/>
        <w:rPr>
          <w:rFonts w:asciiTheme="majorHAnsi" w:hAnsiTheme="majorHAnsi"/>
          <w:color w:val="auto"/>
        </w:rPr>
      </w:pPr>
      <w:r w:rsidRPr="004E01B7">
        <w:rPr>
          <w:rFonts w:asciiTheme="majorHAnsi" w:hAnsiTheme="majorHAnsi"/>
          <w:b/>
          <w:color w:val="auto"/>
        </w:rPr>
        <w:t>Al 30 de junio de 2015</w:t>
      </w:r>
    </w:p>
    <w:tbl>
      <w:tblPr>
        <w:tblStyle w:val="Tablaconcuadrcula"/>
        <w:tblW w:w="5670" w:type="dxa"/>
        <w:jc w:val="center"/>
        <w:tblLayout w:type="fixed"/>
        <w:tblLook w:val="04A0" w:firstRow="1" w:lastRow="0" w:firstColumn="1" w:lastColumn="0" w:noHBand="0" w:noVBand="1"/>
      </w:tblPr>
      <w:tblGrid>
        <w:gridCol w:w="2835"/>
        <w:gridCol w:w="2835"/>
      </w:tblGrid>
      <w:tr w:rsidR="004E01B7" w:rsidRPr="004E01B7" w14:paraId="2E79651F" w14:textId="77777777" w:rsidTr="00FA140E">
        <w:trPr>
          <w:jc w:val="center"/>
        </w:trPr>
        <w:tc>
          <w:tcPr>
            <w:tcW w:w="2835" w:type="dxa"/>
          </w:tcPr>
          <w:p w14:paraId="76CE5134" w14:textId="77777777" w:rsidR="004E01B7" w:rsidRPr="004E01B7" w:rsidRDefault="004E01B7" w:rsidP="00FA140E">
            <w:pPr>
              <w:pStyle w:val="Default"/>
              <w:jc w:val="center"/>
              <w:rPr>
                <w:rFonts w:asciiTheme="majorHAnsi" w:hAnsiTheme="majorHAnsi"/>
                <w:b/>
                <w:color w:val="auto"/>
              </w:rPr>
            </w:pPr>
            <w:r w:rsidRPr="004E01B7">
              <w:rPr>
                <w:rFonts w:asciiTheme="majorHAnsi" w:hAnsiTheme="majorHAnsi"/>
                <w:b/>
                <w:color w:val="auto"/>
              </w:rPr>
              <w:t>Componente</w:t>
            </w:r>
          </w:p>
        </w:tc>
        <w:tc>
          <w:tcPr>
            <w:tcW w:w="2835" w:type="dxa"/>
          </w:tcPr>
          <w:p w14:paraId="640E370B" w14:textId="77777777" w:rsidR="004E01B7" w:rsidRPr="004E01B7" w:rsidRDefault="004E01B7" w:rsidP="00FA140E">
            <w:pPr>
              <w:pStyle w:val="Default"/>
              <w:jc w:val="center"/>
              <w:rPr>
                <w:rFonts w:asciiTheme="majorHAnsi" w:hAnsiTheme="majorHAnsi"/>
                <w:b/>
                <w:color w:val="auto"/>
              </w:rPr>
            </w:pPr>
            <w:r w:rsidRPr="004E01B7">
              <w:rPr>
                <w:rFonts w:asciiTheme="majorHAnsi" w:hAnsiTheme="majorHAnsi"/>
                <w:b/>
                <w:color w:val="auto"/>
              </w:rPr>
              <w:t>Monto</w:t>
            </w:r>
          </w:p>
          <w:p w14:paraId="10628448" w14:textId="77777777" w:rsidR="004E01B7" w:rsidRPr="004E01B7" w:rsidRDefault="004E01B7" w:rsidP="00FA140E">
            <w:pPr>
              <w:pStyle w:val="Default"/>
              <w:jc w:val="center"/>
              <w:rPr>
                <w:rFonts w:asciiTheme="majorHAnsi" w:hAnsiTheme="majorHAnsi"/>
                <w:b/>
                <w:color w:val="auto"/>
              </w:rPr>
            </w:pPr>
            <w:r w:rsidRPr="004E01B7">
              <w:rPr>
                <w:rFonts w:asciiTheme="majorHAnsi" w:hAnsiTheme="majorHAnsi"/>
                <w:b/>
                <w:color w:val="auto"/>
              </w:rPr>
              <w:t>-En colones-</w:t>
            </w:r>
          </w:p>
        </w:tc>
      </w:tr>
      <w:tr w:rsidR="004E01B7" w:rsidRPr="004E01B7" w14:paraId="3910B1E8" w14:textId="77777777" w:rsidTr="00FA140E">
        <w:trPr>
          <w:jc w:val="center"/>
        </w:trPr>
        <w:tc>
          <w:tcPr>
            <w:tcW w:w="2835" w:type="dxa"/>
          </w:tcPr>
          <w:p w14:paraId="02291B20" w14:textId="77777777" w:rsidR="004E01B7" w:rsidRPr="004E01B7" w:rsidRDefault="004E01B7" w:rsidP="00FA140E">
            <w:pPr>
              <w:pStyle w:val="Default"/>
              <w:jc w:val="both"/>
              <w:rPr>
                <w:rFonts w:asciiTheme="majorHAnsi" w:hAnsiTheme="majorHAnsi"/>
                <w:color w:val="auto"/>
              </w:rPr>
            </w:pPr>
            <w:r w:rsidRPr="004E01B7">
              <w:rPr>
                <w:rFonts w:asciiTheme="majorHAnsi" w:hAnsiTheme="majorHAnsi"/>
                <w:color w:val="auto"/>
              </w:rPr>
              <w:t>Efectivo</w:t>
            </w:r>
          </w:p>
        </w:tc>
        <w:tc>
          <w:tcPr>
            <w:tcW w:w="2835" w:type="dxa"/>
          </w:tcPr>
          <w:p w14:paraId="7E024B53" w14:textId="77777777" w:rsidR="004E01B7" w:rsidRPr="004E01B7" w:rsidRDefault="004E01B7" w:rsidP="00FA140E">
            <w:pPr>
              <w:pStyle w:val="Default"/>
              <w:jc w:val="right"/>
              <w:rPr>
                <w:rFonts w:asciiTheme="majorHAnsi" w:hAnsiTheme="majorHAnsi"/>
                <w:color w:val="auto"/>
              </w:rPr>
            </w:pPr>
            <w:r w:rsidRPr="004E01B7">
              <w:rPr>
                <w:rFonts w:asciiTheme="majorHAnsi" w:hAnsiTheme="majorHAnsi"/>
                <w:color w:val="auto"/>
              </w:rPr>
              <w:t>¢202.688.313</w:t>
            </w:r>
          </w:p>
        </w:tc>
      </w:tr>
      <w:tr w:rsidR="004E01B7" w:rsidRPr="004E01B7" w14:paraId="771463B4" w14:textId="77777777" w:rsidTr="00FA140E">
        <w:trPr>
          <w:jc w:val="center"/>
        </w:trPr>
        <w:tc>
          <w:tcPr>
            <w:tcW w:w="2835" w:type="dxa"/>
          </w:tcPr>
          <w:p w14:paraId="5085DA56" w14:textId="77777777" w:rsidR="004E01B7" w:rsidRPr="004E01B7" w:rsidRDefault="004E01B7" w:rsidP="00FA140E">
            <w:pPr>
              <w:pStyle w:val="Default"/>
              <w:jc w:val="both"/>
              <w:rPr>
                <w:rFonts w:asciiTheme="majorHAnsi" w:hAnsiTheme="majorHAnsi"/>
                <w:color w:val="auto"/>
              </w:rPr>
            </w:pPr>
            <w:r w:rsidRPr="004E01B7">
              <w:rPr>
                <w:rFonts w:asciiTheme="majorHAnsi" w:hAnsiTheme="majorHAnsi"/>
                <w:color w:val="auto"/>
              </w:rPr>
              <w:t>Instrumentos Financieros</w:t>
            </w:r>
          </w:p>
        </w:tc>
        <w:tc>
          <w:tcPr>
            <w:tcW w:w="2835" w:type="dxa"/>
          </w:tcPr>
          <w:p w14:paraId="3A15F2E7" w14:textId="77777777" w:rsidR="004E01B7" w:rsidRPr="004E01B7" w:rsidRDefault="004E01B7" w:rsidP="00FA140E">
            <w:pPr>
              <w:pStyle w:val="Default"/>
              <w:jc w:val="right"/>
              <w:rPr>
                <w:rFonts w:asciiTheme="majorHAnsi" w:hAnsiTheme="majorHAnsi"/>
                <w:color w:val="auto"/>
              </w:rPr>
            </w:pPr>
            <w:r w:rsidRPr="004E01B7">
              <w:rPr>
                <w:rFonts w:asciiTheme="majorHAnsi" w:hAnsiTheme="majorHAnsi"/>
                <w:color w:val="auto"/>
              </w:rPr>
              <w:t>¢44.203.367.360</w:t>
            </w:r>
          </w:p>
        </w:tc>
      </w:tr>
      <w:tr w:rsidR="004E01B7" w:rsidRPr="004E01B7" w14:paraId="1698D9AA" w14:textId="77777777" w:rsidTr="00FA140E">
        <w:trPr>
          <w:jc w:val="center"/>
        </w:trPr>
        <w:tc>
          <w:tcPr>
            <w:tcW w:w="2835" w:type="dxa"/>
          </w:tcPr>
          <w:p w14:paraId="6441DDC9" w14:textId="77777777" w:rsidR="004E01B7" w:rsidRPr="004E01B7" w:rsidRDefault="004E01B7" w:rsidP="00FA140E">
            <w:pPr>
              <w:pStyle w:val="Default"/>
              <w:jc w:val="both"/>
              <w:rPr>
                <w:rFonts w:asciiTheme="majorHAnsi" w:hAnsiTheme="majorHAnsi"/>
                <w:color w:val="auto"/>
              </w:rPr>
            </w:pPr>
            <w:r w:rsidRPr="004E01B7">
              <w:rPr>
                <w:rFonts w:asciiTheme="majorHAnsi" w:hAnsiTheme="majorHAnsi"/>
                <w:color w:val="auto"/>
              </w:rPr>
              <w:t>Avales Emitidos</w:t>
            </w:r>
          </w:p>
        </w:tc>
        <w:tc>
          <w:tcPr>
            <w:tcW w:w="2835" w:type="dxa"/>
          </w:tcPr>
          <w:p w14:paraId="4DE6495A" w14:textId="77777777" w:rsidR="004E01B7" w:rsidRPr="004E01B7" w:rsidRDefault="004E01B7" w:rsidP="00FA140E">
            <w:pPr>
              <w:pStyle w:val="Default"/>
              <w:jc w:val="right"/>
              <w:rPr>
                <w:rFonts w:asciiTheme="majorHAnsi" w:hAnsiTheme="majorHAnsi"/>
                <w:color w:val="auto"/>
              </w:rPr>
            </w:pPr>
            <w:r w:rsidRPr="004E01B7">
              <w:rPr>
                <w:rFonts w:asciiTheme="majorHAnsi" w:hAnsiTheme="majorHAnsi"/>
                <w:color w:val="auto"/>
              </w:rPr>
              <w:t>¢17.615.175.612</w:t>
            </w:r>
          </w:p>
        </w:tc>
      </w:tr>
    </w:tbl>
    <w:p w14:paraId="00E30BAE" w14:textId="77777777" w:rsidR="004E01B7" w:rsidRPr="004E01B7" w:rsidRDefault="004E01B7" w:rsidP="004E01B7">
      <w:pPr>
        <w:pStyle w:val="Default"/>
        <w:ind w:left="1560" w:right="1608"/>
        <w:jc w:val="both"/>
        <w:rPr>
          <w:rFonts w:asciiTheme="majorHAnsi" w:hAnsiTheme="majorHAnsi"/>
          <w:b/>
          <w:color w:val="auto"/>
        </w:rPr>
      </w:pPr>
      <w:r w:rsidRPr="004E01B7">
        <w:rPr>
          <w:rFonts w:asciiTheme="majorHAnsi" w:hAnsiTheme="majorHAnsi"/>
          <w:color w:val="auto"/>
        </w:rPr>
        <w:t>Fuente: Estados Financieros Certificados al 30 de junio de 2015, información suministrada por el Consejo Rector del Sistema de Banca de Desarrollo.</w:t>
      </w:r>
    </w:p>
    <w:p w14:paraId="2143B92D" w14:textId="77777777" w:rsidR="004E01B7" w:rsidRPr="004E01B7" w:rsidRDefault="004E01B7" w:rsidP="004E01B7">
      <w:pPr>
        <w:pStyle w:val="Default"/>
        <w:jc w:val="both"/>
        <w:rPr>
          <w:rFonts w:asciiTheme="majorHAnsi" w:hAnsiTheme="majorHAnsi"/>
          <w:color w:val="auto"/>
        </w:rPr>
      </w:pPr>
    </w:p>
    <w:p w14:paraId="3E23B835" w14:textId="77777777" w:rsidR="004E01B7" w:rsidRPr="004E01B7" w:rsidRDefault="004E01B7" w:rsidP="004E01B7">
      <w:pPr>
        <w:pStyle w:val="Default"/>
        <w:jc w:val="both"/>
        <w:rPr>
          <w:rFonts w:asciiTheme="majorHAnsi" w:hAnsiTheme="majorHAnsi"/>
          <w:color w:val="auto"/>
        </w:rPr>
      </w:pPr>
      <w:r w:rsidRPr="004E01B7">
        <w:rPr>
          <w:rFonts w:asciiTheme="majorHAnsi" w:hAnsiTheme="majorHAnsi"/>
          <w:color w:val="auto"/>
        </w:rPr>
        <w:t>El nivel de apalancamiento del Fondo de Avales se estima en 0.08 veces.</w:t>
      </w:r>
      <w:r w:rsidRPr="004E01B7">
        <w:rPr>
          <w:rStyle w:val="Refdenotaalpie"/>
          <w:rFonts w:asciiTheme="majorHAnsi" w:hAnsiTheme="majorHAnsi"/>
          <w:color w:val="auto"/>
        </w:rPr>
        <w:footnoteReference w:id="2"/>
      </w:r>
    </w:p>
    <w:p w14:paraId="7B5EABD2" w14:textId="77777777" w:rsidR="004E01B7" w:rsidRPr="004E01B7" w:rsidRDefault="004E01B7" w:rsidP="004E01B7">
      <w:pPr>
        <w:pStyle w:val="Default"/>
        <w:jc w:val="both"/>
        <w:rPr>
          <w:rFonts w:asciiTheme="majorHAnsi" w:hAnsiTheme="majorHAnsi"/>
          <w:b/>
          <w:color w:val="auto"/>
        </w:rPr>
      </w:pPr>
    </w:p>
    <w:p w14:paraId="79F28249" w14:textId="77777777" w:rsidR="004E01B7" w:rsidRPr="004E01B7" w:rsidRDefault="004E01B7" w:rsidP="004E01B7">
      <w:pPr>
        <w:pStyle w:val="Default"/>
        <w:jc w:val="both"/>
        <w:rPr>
          <w:rFonts w:asciiTheme="majorHAnsi" w:hAnsiTheme="majorHAnsi"/>
          <w:b/>
          <w:color w:val="auto"/>
        </w:rPr>
      </w:pPr>
      <w:r w:rsidRPr="004E01B7">
        <w:rPr>
          <w:rFonts w:asciiTheme="majorHAnsi" w:hAnsiTheme="majorHAnsi"/>
          <w:b/>
          <w:color w:val="auto"/>
        </w:rPr>
        <w:t>Factor de ajuste para la exposición cubierta</w:t>
      </w:r>
    </w:p>
    <w:p w14:paraId="677D130B" w14:textId="77777777" w:rsidR="004E01B7" w:rsidRPr="004E01B7" w:rsidRDefault="004E01B7" w:rsidP="004E01B7">
      <w:pPr>
        <w:pStyle w:val="Default"/>
        <w:jc w:val="both"/>
        <w:rPr>
          <w:rFonts w:asciiTheme="majorHAnsi" w:hAnsiTheme="majorHAnsi"/>
          <w:color w:val="auto"/>
        </w:rPr>
      </w:pPr>
      <w:r w:rsidRPr="004E01B7">
        <w:rPr>
          <w:rFonts w:asciiTheme="majorHAnsi" w:hAnsiTheme="majorHAnsi"/>
          <w:color w:val="auto"/>
        </w:rPr>
        <w:t xml:space="preserve">El porcentaje de estimación que corresponde al nivel de cobertura del Fondo de Avales, se determina según lo dispuesto en el “Reglamento sobre la gestión y evaluación del riesgo de crédito para el Sistema de Banca de Desarrollo”. </w:t>
      </w:r>
    </w:p>
    <w:p w14:paraId="445075D2" w14:textId="77777777" w:rsidR="004E01B7" w:rsidRPr="004E01B7" w:rsidRDefault="004E01B7" w:rsidP="004E01B7">
      <w:pPr>
        <w:pStyle w:val="Default"/>
        <w:jc w:val="both"/>
        <w:rPr>
          <w:rFonts w:asciiTheme="majorHAnsi" w:hAnsiTheme="majorHAnsi"/>
          <w:color w:val="auto"/>
        </w:rPr>
      </w:pPr>
    </w:p>
    <w:p w14:paraId="5DC4D78C" w14:textId="77777777" w:rsidR="004E01B7" w:rsidRPr="004E01B7" w:rsidRDefault="004E01B7" w:rsidP="004E01B7">
      <w:pPr>
        <w:pStyle w:val="Default"/>
        <w:jc w:val="both"/>
        <w:rPr>
          <w:rFonts w:asciiTheme="majorHAnsi" w:hAnsiTheme="majorHAnsi"/>
          <w:color w:val="auto"/>
        </w:rPr>
      </w:pPr>
      <w:r w:rsidRPr="004E01B7">
        <w:rPr>
          <w:rFonts w:asciiTheme="majorHAnsi" w:hAnsiTheme="majorHAnsi"/>
          <w:color w:val="auto"/>
        </w:rPr>
        <w:t>Al respecto, cuando la NA</w:t>
      </w:r>
      <w:r w:rsidRPr="004E01B7">
        <w:rPr>
          <w:rFonts w:asciiTheme="majorHAnsi" w:hAnsiTheme="majorHAnsi"/>
          <w:color w:val="auto"/>
          <w:vertAlign w:val="subscript"/>
        </w:rPr>
        <w:t>FONDO</w:t>
      </w:r>
      <w:r w:rsidRPr="004E01B7">
        <w:rPr>
          <w:rFonts w:asciiTheme="majorHAnsi" w:hAnsiTheme="majorHAnsi"/>
          <w:color w:val="auto"/>
        </w:rPr>
        <w:t xml:space="preserve"> es menor a 1 vez, se utiliza como porcentaje de estimación mínimo de 0.5%, sobre la parte cubierta por el Fondo de Avales.</w:t>
      </w:r>
    </w:p>
    <w:p w14:paraId="638E0307" w14:textId="77777777" w:rsidR="004E01B7" w:rsidRPr="004E01B7" w:rsidRDefault="004E01B7" w:rsidP="004E01B7">
      <w:pPr>
        <w:pStyle w:val="Default"/>
        <w:jc w:val="both"/>
        <w:rPr>
          <w:rFonts w:asciiTheme="majorHAnsi" w:hAnsiTheme="majorHAnsi"/>
          <w:color w:val="auto"/>
        </w:rPr>
      </w:pPr>
    </w:p>
    <w:p w14:paraId="5A171655" w14:textId="77777777" w:rsidR="004E01B7" w:rsidRPr="004E01B7" w:rsidRDefault="004E01B7" w:rsidP="004E01B7">
      <w:pPr>
        <w:pStyle w:val="Default"/>
        <w:jc w:val="both"/>
        <w:rPr>
          <w:rFonts w:asciiTheme="majorHAnsi" w:hAnsiTheme="majorHAnsi"/>
          <w:b/>
          <w:color w:val="auto"/>
        </w:rPr>
      </w:pPr>
      <w:r w:rsidRPr="004E01B7">
        <w:rPr>
          <w:rFonts w:asciiTheme="majorHAnsi" w:hAnsiTheme="majorHAnsi"/>
          <w:b/>
          <w:color w:val="auto"/>
        </w:rPr>
        <w:t>Tratamiento para el Fondo de Avales del FODEMIPYME</w:t>
      </w:r>
    </w:p>
    <w:p w14:paraId="42C09F35" w14:textId="77777777" w:rsidR="004E01B7" w:rsidRDefault="004E01B7" w:rsidP="004E01B7">
      <w:pPr>
        <w:pStyle w:val="Default"/>
        <w:jc w:val="both"/>
        <w:rPr>
          <w:rFonts w:asciiTheme="majorHAnsi" w:hAnsiTheme="majorHAnsi"/>
          <w:color w:val="auto"/>
        </w:rPr>
      </w:pPr>
      <w:r w:rsidRPr="004E01B7">
        <w:rPr>
          <w:rFonts w:asciiTheme="majorHAnsi" w:hAnsiTheme="majorHAnsi"/>
          <w:color w:val="auto"/>
        </w:rPr>
        <w:t>De manera transitoria, se homologa el porcentaje de estimación del Fondo de Avales del FINADE, para que sea aplicado a la ex</w:t>
      </w:r>
      <w:r w:rsidRPr="004E01B7">
        <w:rPr>
          <w:rFonts w:asciiTheme="majorHAnsi" w:hAnsiTheme="majorHAnsi"/>
          <w:color w:val="auto"/>
        </w:rPr>
        <w:lastRenderedPageBreak/>
        <w:t>posición cubierta mediante avales del Fondo de Avales del FODEMIPYME. Conforme la SUGEF obtenga información sobre el desempeño de este Fondo en la ejecución de avales, ajustará el factor según corresponda.</w:t>
      </w:r>
    </w:p>
    <w:p w14:paraId="63120725" w14:textId="703450C4" w:rsidR="00620E15" w:rsidRDefault="00620E15" w:rsidP="004E01B7">
      <w:pPr>
        <w:pStyle w:val="Default"/>
        <w:jc w:val="both"/>
        <w:rPr>
          <w:rFonts w:asciiTheme="majorHAnsi" w:hAnsiTheme="majorHAnsi"/>
          <w:color w:val="auto"/>
        </w:rPr>
      </w:pPr>
    </w:p>
    <w:p w14:paraId="5DE9DF9C" w14:textId="55132CEC" w:rsidR="00620E15" w:rsidRPr="004E01B7" w:rsidRDefault="00620E15" w:rsidP="004E01B7">
      <w:pPr>
        <w:pStyle w:val="Default"/>
        <w:jc w:val="both"/>
        <w:rPr>
          <w:rFonts w:asciiTheme="majorHAnsi" w:hAnsiTheme="majorHAnsi"/>
          <w:color w:val="auto"/>
        </w:rPr>
      </w:pPr>
      <w:r>
        <w:rPr>
          <w:rFonts w:asciiTheme="majorHAnsi" w:hAnsiTheme="majorHAnsi"/>
          <w:color w:val="auto"/>
        </w:rPr>
        <w:t>Rige a partir de su publicación en el Diario Oficial La Gaceta.</w:t>
      </w:r>
    </w:p>
    <w:p w14:paraId="72A89668" w14:textId="77777777" w:rsidR="003554C5" w:rsidRPr="004E01B7" w:rsidRDefault="003554C5" w:rsidP="00D26EDE">
      <w:pPr>
        <w:tabs>
          <w:tab w:val="left" w:pos="2843"/>
        </w:tabs>
        <w:spacing w:line="240" w:lineRule="auto"/>
        <w:rPr>
          <w:rFonts w:asciiTheme="majorHAnsi" w:hAnsiTheme="majorHAnsi"/>
          <w:sz w:val="24"/>
        </w:rPr>
      </w:pPr>
    </w:p>
    <w:p w14:paraId="489F1209" w14:textId="77777777" w:rsidR="0071134B" w:rsidRPr="004E01B7" w:rsidRDefault="004E01B7" w:rsidP="00D26EDE">
      <w:pPr>
        <w:pStyle w:val="Texto0"/>
        <w:spacing w:before="0" w:after="0" w:line="240" w:lineRule="auto"/>
        <w:rPr>
          <w:rFonts w:asciiTheme="majorHAnsi" w:hAnsiTheme="majorHAnsi"/>
          <w:sz w:val="24"/>
        </w:rPr>
      </w:pPr>
      <w:r w:rsidRPr="004E01B7">
        <w:rPr>
          <w:rFonts w:asciiTheme="majorHAnsi" w:hAnsiTheme="majorHAnsi"/>
          <w:noProof/>
          <w:sz w:val="24"/>
          <w:lang w:val="es-CR" w:eastAsia="es-CR"/>
        </w:rPr>
        <w:drawing>
          <wp:anchor distT="0" distB="0" distL="114300" distR="114300" simplePos="0" relativeHeight="251658240" behindDoc="1" locked="0" layoutInCell="1" allowOverlap="1" wp14:anchorId="145AAA11" wp14:editId="753B173A">
            <wp:simplePos x="0" y="0"/>
            <wp:positionH relativeFrom="column">
              <wp:posOffset>-316230</wp:posOffset>
            </wp:positionH>
            <wp:positionV relativeFrom="paragraph">
              <wp:posOffset>154305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0071134B" w:rsidRPr="004E01B7">
        <w:rPr>
          <w:rFonts w:asciiTheme="majorHAnsi" w:hAnsiTheme="majorHAnsi"/>
          <w:sz w:val="24"/>
        </w:rPr>
        <w:t>Atentamente,</w:t>
      </w:r>
    </w:p>
    <w:p w14:paraId="1983BFA9" w14:textId="77777777" w:rsidR="000F34AE" w:rsidRPr="004E01B7" w:rsidRDefault="000F34AE" w:rsidP="00D26EDE">
      <w:pPr>
        <w:spacing w:line="240" w:lineRule="auto"/>
        <w:rPr>
          <w:rFonts w:asciiTheme="majorHAnsi" w:hAnsiTheme="majorHAnsi"/>
          <w:sz w:val="24"/>
        </w:rPr>
      </w:pPr>
    </w:p>
    <w:p w14:paraId="6E5C6872" w14:textId="77777777" w:rsidR="00041BDD" w:rsidRPr="004E01B7" w:rsidRDefault="00041BDD" w:rsidP="00D26EDE">
      <w:pPr>
        <w:spacing w:line="240" w:lineRule="auto"/>
        <w:rPr>
          <w:rFonts w:asciiTheme="majorHAnsi" w:hAnsiTheme="majorHAnsi"/>
          <w:sz w:val="24"/>
        </w:rPr>
      </w:pPr>
    </w:p>
    <w:p w14:paraId="6A1FC423" w14:textId="77777777" w:rsidR="0085692C" w:rsidRPr="004E01B7" w:rsidRDefault="005B448F" w:rsidP="00D26EDE">
      <w:pPr>
        <w:pStyle w:val="Negrita"/>
        <w:spacing w:line="240" w:lineRule="auto"/>
        <w:rPr>
          <w:rFonts w:asciiTheme="majorHAnsi" w:hAnsiTheme="majorHAnsi"/>
          <w:sz w:val="24"/>
        </w:rPr>
      </w:pPr>
      <w:r w:rsidRPr="004E01B7">
        <w:rPr>
          <w:rFonts w:asciiTheme="majorHAnsi" w:hAnsiTheme="majorHAnsi"/>
          <w:sz w:val="24"/>
        </w:rPr>
        <w:t>Javier Cascante Elizondo</w:t>
      </w:r>
    </w:p>
    <w:p w14:paraId="5FB4741D" w14:textId="77777777" w:rsidR="00BA112E" w:rsidRPr="004E01B7" w:rsidRDefault="005B448F" w:rsidP="00D26EDE">
      <w:pPr>
        <w:spacing w:line="240" w:lineRule="auto"/>
        <w:rPr>
          <w:rFonts w:asciiTheme="majorHAnsi" w:hAnsiTheme="majorHAnsi"/>
          <w:sz w:val="24"/>
        </w:rPr>
      </w:pPr>
      <w:r w:rsidRPr="004E01B7">
        <w:rPr>
          <w:rFonts w:asciiTheme="majorHAnsi" w:hAnsiTheme="majorHAnsi"/>
          <w:sz w:val="24"/>
        </w:rPr>
        <w:t>Superintendente</w:t>
      </w:r>
      <w:r w:rsidR="00984A65" w:rsidRPr="004E01B7">
        <w:rPr>
          <w:rFonts w:asciiTheme="majorHAnsi" w:hAnsiTheme="majorHAnsi"/>
          <w:sz w:val="24"/>
        </w:rPr>
        <w:tab/>
      </w:r>
    </w:p>
    <w:p w14:paraId="28D770FA" w14:textId="77777777" w:rsidR="00EB4E27" w:rsidRPr="004E01B7" w:rsidRDefault="00EB4E27" w:rsidP="00EB4E27">
      <w:pPr>
        <w:rPr>
          <w:rFonts w:asciiTheme="majorHAnsi" w:hAnsiTheme="majorHAnsi"/>
          <w:sz w:val="24"/>
        </w:rPr>
      </w:pPr>
    </w:p>
    <w:p w14:paraId="6C15E4A2" w14:textId="77777777" w:rsidR="00577A95" w:rsidRPr="004E01B7" w:rsidRDefault="004E01B7" w:rsidP="0085692C">
      <w:pPr>
        <w:pStyle w:val="Negrita"/>
        <w:rPr>
          <w:rFonts w:asciiTheme="majorHAnsi" w:hAnsiTheme="majorHAnsi"/>
          <w:sz w:val="24"/>
        </w:rPr>
      </w:pPr>
      <w:r>
        <w:rPr>
          <w:rFonts w:asciiTheme="majorHAnsi" w:hAnsiTheme="majorHAnsi"/>
          <w:sz w:val="24"/>
        </w:rPr>
        <w:t>GSC/gvl*</w:t>
      </w:r>
    </w:p>
    <w:sectPr w:rsidR="00577A95" w:rsidRPr="004E01B7" w:rsidSect="005739A8">
      <w:headerReference w:type="default" r:id="rId13"/>
      <w:footerReference w:type="default" r:id="rId14"/>
      <w:headerReference w:type="first" r:id="rId15"/>
      <w:footerReference w:type="first" r:id="rId16"/>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50275" w14:textId="77777777" w:rsidR="00FA140E" w:rsidRDefault="00FA140E" w:rsidP="00D43D57">
      <w:r>
        <w:separator/>
      </w:r>
    </w:p>
  </w:endnote>
  <w:endnote w:type="continuationSeparator" w:id="0">
    <w:p w14:paraId="18E63C21" w14:textId="77777777" w:rsidR="00FA140E" w:rsidRDefault="00FA140E" w:rsidP="00D43D57">
      <w:r>
        <w:continuationSeparator/>
      </w:r>
    </w:p>
  </w:endnote>
  <w:endnote w:type="continuationNotice" w:id="1">
    <w:p w14:paraId="7747C527" w14:textId="77777777" w:rsidR="00253E4F" w:rsidRDefault="00253E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6C45" w14:textId="77777777" w:rsidR="00FA140E" w:rsidRDefault="00FA140E"/>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FA140E" w14:paraId="191D9BD6" w14:textId="77777777" w:rsidTr="008F1461">
      <w:trPr>
        <w:trHeight w:val="546"/>
      </w:trPr>
      <w:tc>
        <w:tcPr>
          <w:tcW w:w="3189" w:type="dxa"/>
          <w:shd w:val="clear" w:color="auto" w:fill="FFFFFF"/>
          <w:vAlign w:val="center"/>
        </w:tcPr>
        <w:p w14:paraId="6A5096B7" w14:textId="77777777" w:rsidR="00FA140E" w:rsidRDefault="00FA140E" w:rsidP="000C62BB">
          <w:pPr>
            <w:pStyle w:val="Piepagina"/>
          </w:pPr>
          <w:r>
            <w:rPr>
              <w:b/>
              <w:bCs/>
            </w:rPr>
            <w:t>Teléfono</w:t>
          </w:r>
          <w:r>
            <w:t xml:space="preserve">   (506) 2243-4848</w:t>
          </w:r>
        </w:p>
        <w:p w14:paraId="30B2C9DE" w14:textId="77777777" w:rsidR="00FA140E" w:rsidRDefault="00FA140E" w:rsidP="000C62BB">
          <w:pPr>
            <w:pStyle w:val="Piepagina"/>
          </w:pPr>
          <w:r>
            <w:rPr>
              <w:b/>
              <w:bCs/>
            </w:rPr>
            <w:t>Facsímile</w:t>
          </w:r>
          <w:r>
            <w:t xml:space="preserve">  (506) 2243-4849</w:t>
          </w:r>
        </w:p>
      </w:tc>
      <w:tc>
        <w:tcPr>
          <w:tcW w:w="2835" w:type="dxa"/>
          <w:shd w:val="clear" w:color="auto" w:fill="FFFFFF"/>
          <w:vAlign w:val="center"/>
        </w:tcPr>
        <w:p w14:paraId="55F705E4" w14:textId="77777777" w:rsidR="00FA140E" w:rsidRDefault="00FA140E" w:rsidP="000C62BB">
          <w:pPr>
            <w:pStyle w:val="Piepagina"/>
          </w:pPr>
          <w:r>
            <w:rPr>
              <w:b/>
              <w:bCs/>
            </w:rPr>
            <w:t>Apartado</w:t>
          </w:r>
          <w:r>
            <w:t xml:space="preserve"> 2762-1000</w:t>
          </w:r>
        </w:p>
        <w:p w14:paraId="00A9D72B" w14:textId="77777777" w:rsidR="00FA140E" w:rsidRDefault="00FA140E" w:rsidP="000C62BB">
          <w:pPr>
            <w:pStyle w:val="Piepagina"/>
          </w:pPr>
          <w:r>
            <w:t>San José, Costa Rica</w:t>
          </w:r>
        </w:p>
      </w:tc>
      <w:tc>
        <w:tcPr>
          <w:tcW w:w="2410" w:type="dxa"/>
          <w:shd w:val="clear" w:color="auto" w:fill="FFFFFF"/>
          <w:vAlign w:val="center"/>
        </w:tcPr>
        <w:p w14:paraId="0EB05036" w14:textId="77777777" w:rsidR="00FA140E" w:rsidRDefault="00FA140E" w:rsidP="000C62BB">
          <w:pPr>
            <w:pStyle w:val="Piepagina"/>
          </w:pPr>
          <w:r>
            <w:t>www.sugef.fi.cr</w:t>
          </w:r>
        </w:p>
        <w:p w14:paraId="1D01D4F4" w14:textId="77777777" w:rsidR="00FA140E" w:rsidRDefault="00FA140E" w:rsidP="000C62BB">
          <w:pPr>
            <w:pStyle w:val="Piepagina"/>
          </w:pPr>
          <w:r>
            <w:t>sugefcr@sugef.fi.cr</w:t>
          </w:r>
        </w:p>
      </w:tc>
      <w:tc>
        <w:tcPr>
          <w:tcW w:w="260" w:type="dxa"/>
          <w:shd w:val="clear" w:color="auto" w:fill="FFFFFF"/>
        </w:tcPr>
        <w:p w14:paraId="6A534F7F" w14:textId="77777777" w:rsidR="00FA140E" w:rsidRDefault="00FA140E" w:rsidP="000C62BB">
          <w:pPr>
            <w:pStyle w:val="Piepagina"/>
          </w:pPr>
          <w:r>
            <w:fldChar w:fldCharType="begin"/>
          </w:r>
          <w:r>
            <w:instrText>PAGE   \* MERGEFORMAT</w:instrText>
          </w:r>
          <w:r>
            <w:fldChar w:fldCharType="separate"/>
          </w:r>
          <w:r w:rsidR="00290898">
            <w:rPr>
              <w:noProof/>
            </w:rPr>
            <w:t>1</w:t>
          </w:r>
          <w:r>
            <w:fldChar w:fldCharType="end"/>
          </w:r>
        </w:p>
      </w:tc>
    </w:tr>
  </w:tbl>
  <w:p w14:paraId="1FF010B3" w14:textId="77777777" w:rsidR="00FA140E" w:rsidRPr="000C62BB" w:rsidRDefault="00FA140E">
    <w:pPr>
      <w:pStyle w:val="Piedepgina"/>
      <w:jc w:val="right"/>
      <w:rPr>
        <w:color w:val="969696"/>
        <w:sz w:val="20"/>
        <w:szCs w:val="20"/>
      </w:rPr>
    </w:pPr>
  </w:p>
  <w:p w14:paraId="57BD6018" w14:textId="77777777" w:rsidR="00FA140E" w:rsidRDefault="00FA140E"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B3A87" w14:textId="77777777" w:rsidR="00FA140E" w:rsidRDefault="00FA140E" w:rsidP="008C0BF0">
    <w:pPr>
      <w:pStyle w:val="Piepagina"/>
      <w:jc w:val="center"/>
    </w:pPr>
    <w:r>
      <w:rPr>
        <w:noProof/>
        <w:lang w:val="es-CR" w:eastAsia="es-CR"/>
      </w:rPr>
      <w:drawing>
        <wp:anchor distT="0" distB="0" distL="114300" distR="114300" simplePos="0" relativeHeight="251658240" behindDoc="1" locked="0" layoutInCell="1" allowOverlap="1" wp14:anchorId="7F73AADF" wp14:editId="136F1AC9">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R" w:eastAsia="es-CR"/>
      </w:rPr>
      <mc:AlternateContent>
        <mc:Choice Requires="wps">
          <w:drawing>
            <wp:anchor distT="0" distB="0" distL="114300" distR="114300" simplePos="0" relativeHeight="251658241" behindDoc="0" locked="0" layoutInCell="1" allowOverlap="1" wp14:anchorId="2863488B" wp14:editId="03E2C6D4">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BC14F" w14:textId="77777777" w:rsidR="00FA140E" w:rsidRPr="00FA54DF" w:rsidRDefault="00FA140E">
                          <w:pPr>
                            <w:rPr>
                              <w:color w:val="003A68"/>
                              <w:sz w:val="14"/>
                              <w:szCs w:val="14"/>
                            </w:rPr>
                          </w:pPr>
                          <w:r w:rsidRPr="00FA54DF">
                            <w:rPr>
                              <w:color w:val="003A68"/>
                              <w:sz w:val="14"/>
                              <w:szCs w:val="14"/>
                            </w:rPr>
                            <w:t xml:space="preserve">T. (506) 2243-3631   </w:t>
                          </w:r>
                        </w:p>
                        <w:p w14:paraId="3A73BF87" w14:textId="77777777" w:rsidR="00FA140E" w:rsidRPr="00FA54DF" w:rsidRDefault="00FA140E">
                          <w:pPr>
                            <w:rPr>
                              <w:color w:val="003A68"/>
                              <w:sz w:val="14"/>
                              <w:szCs w:val="14"/>
                            </w:rPr>
                          </w:pPr>
                          <w:r w:rsidRPr="00FA54DF">
                            <w:rPr>
                              <w:color w:val="003A68"/>
                              <w:sz w:val="14"/>
                              <w:szCs w:val="14"/>
                            </w:rPr>
                            <w:t xml:space="preserve">F. (506) 2243-4579   </w:t>
                          </w:r>
                        </w:p>
                        <w:p w14:paraId="058770FE" w14:textId="77777777" w:rsidR="00FA140E" w:rsidRDefault="00FA140E">
                          <w:pPr>
                            <w:rPr>
                              <w:color w:val="003A68"/>
                              <w:sz w:val="14"/>
                              <w:szCs w:val="14"/>
                            </w:rPr>
                          </w:pPr>
                          <w:r w:rsidRPr="00FA54DF">
                            <w:rPr>
                              <w:color w:val="003A68"/>
                              <w:sz w:val="14"/>
                              <w:szCs w:val="14"/>
                            </w:rPr>
                            <w:t>Apdo. 10058-1000</w:t>
                          </w:r>
                        </w:p>
                        <w:p w14:paraId="380676AC" w14:textId="77777777" w:rsidR="00FA140E" w:rsidRDefault="00FA140E">
                          <w:pPr>
                            <w:rPr>
                              <w:color w:val="003A68"/>
                              <w:sz w:val="14"/>
                              <w:szCs w:val="14"/>
                            </w:rPr>
                          </w:pPr>
                          <w:r w:rsidRPr="00FA54DF">
                            <w:rPr>
                              <w:color w:val="003A68"/>
                              <w:sz w:val="14"/>
                              <w:szCs w:val="14"/>
                            </w:rPr>
                            <w:t>Av. 1 y Central, Calles 2 y 4</w:t>
                          </w:r>
                        </w:p>
                        <w:p w14:paraId="6B037960" w14:textId="77777777" w:rsidR="00FA140E" w:rsidRPr="00FA54DF" w:rsidRDefault="00FA140E">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3488B" id="_x0000_t202" coordsize="21600,21600" o:spt="202" path="m,l,21600r21600,l21600,xe">
              <v:stroke joinstyle="miter"/>
              <v:path gradientshapeok="t" o:connecttype="rect"/>
            </v:shapetype>
            <v:shape id="Text Box 3" o:spid="_x0000_s1026" type="#_x0000_t202" style="position:absolute;left:0;text-align:left;margin-left:344.3pt;margin-top:.45pt;width:139.25pt;height:66.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filled="f" stroked="f">
              <v:textbox>
                <w:txbxContent>
                  <w:p w14:paraId="273BC14F" w14:textId="77777777" w:rsidR="00FA140E" w:rsidRPr="00FA54DF" w:rsidRDefault="00FA140E">
                    <w:pPr>
                      <w:rPr>
                        <w:color w:val="003A68"/>
                        <w:sz w:val="14"/>
                        <w:szCs w:val="14"/>
                      </w:rPr>
                    </w:pPr>
                    <w:r w:rsidRPr="00FA54DF">
                      <w:rPr>
                        <w:color w:val="003A68"/>
                        <w:sz w:val="14"/>
                        <w:szCs w:val="14"/>
                      </w:rPr>
                      <w:t xml:space="preserve">T. (506) 2243-3631   </w:t>
                    </w:r>
                  </w:p>
                  <w:p w14:paraId="3A73BF87" w14:textId="77777777" w:rsidR="00FA140E" w:rsidRPr="00FA54DF" w:rsidRDefault="00FA140E">
                    <w:pPr>
                      <w:rPr>
                        <w:color w:val="003A68"/>
                        <w:sz w:val="14"/>
                        <w:szCs w:val="14"/>
                      </w:rPr>
                    </w:pPr>
                    <w:r w:rsidRPr="00FA54DF">
                      <w:rPr>
                        <w:color w:val="003A68"/>
                        <w:sz w:val="14"/>
                        <w:szCs w:val="14"/>
                      </w:rPr>
                      <w:t xml:space="preserve">F. (506) 2243-4579   </w:t>
                    </w:r>
                  </w:p>
                  <w:p w14:paraId="058770FE" w14:textId="77777777" w:rsidR="00FA140E" w:rsidRDefault="00FA140E">
                    <w:pPr>
                      <w:rPr>
                        <w:color w:val="003A68"/>
                        <w:sz w:val="14"/>
                        <w:szCs w:val="14"/>
                      </w:rPr>
                    </w:pPr>
                    <w:r w:rsidRPr="00FA54DF">
                      <w:rPr>
                        <w:color w:val="003A68"/>
                        <w:sz w:val="14"/>
                        <w:szCs w:val="14"/>
                      </w:rPr>
                      <w:t>Apdo. 10058-1000</w:t>
                    </w:r>
                  </w:p>
                  <w:p w14:paraId="380676AC" w14:textId="77777777" w:rsidR="00FA140E" w:rsidRDefault="00FA140E">
                    <w:pPr>
                      <w:rPr>
                        <w:color w:val="003A68"/>
                        <w:sz w:val="14"/>
                        <w:szCs w:val="14"/>
                      </w:rPr>
                    </w:pPr>
                    <w:r w:rsidRPr="00FA54DF">
                      <w:rPr>
                        <w:color w:val="003A68"/>
                        <w:sz w:val="14"/>
                        <w:szCs w:val="14"/>
                      </w:rPr>
                      <w:t>Av. 1 y Central, Calles 2 y 4</w:t>
                    </w:r>
                  </w:p>
                  <w:p w14:paraId="6B037960" w14:textId="77777777" w:rsidR="00FA140E" w:rsidRPr="00FA54DF" w:rsidRDefault="00FA140E">
                    <w:pPr>
                      <w:rPr>
                        <w:color w:val="003A68"/>
                        <w:sz w:val="14"/>
                        <w:szCs w:val="14"/>
                      </w:rPr>
                    </w:pPr>
                  </w:p>
                </w:txbxContent>
              </v:textbox>
            </v:shape>
          </w:pict>
        </mc:Fallback>
      </mc:AlternateContent>
    </w:r>
  </w:p>
  <w:p w14:paraId="5B013E7C" w14:textId="77777777" w:rsidR="00FA140E" w:rsidRPr="00D43D57" w:rsidRDefault="00FA140E" w:rsidP="008C0BF0">
    <w:pPr>
      <w:pStyle w:val="Piepagina"/>
      <w:jc w:val="center"/>
    </w:pPr>
  </w:p>
  <w:p w14:paraId="59C6F509" w14:textId="77777777" w:rsidR="00FA140E" w:rsidRDefault="00FA14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DC335" w14:textId="77777777" w:rsidR="00FA140E" w:rsidRDefault="00FA140E" w:rsidP="00D43D57">
      <w:r>
        <w:separator/>
      </w:r>
    </w:p>
  </w:footnote>
  <w:footnote w:type="continuationSeparator" w:id="0">
    <w:p w14:paraId="1B37B24A" w14:textId="77777777" w:rsidR="00FA140E" w:rsidRDefault="00FA140E" w:rsidP="00D43D57">
      <w:r>
        <w:continuationSeparator/>
      </w:r>
    </w:p>
  </w:footnote>
  <w:footnote w:type="continuationNotice" w:id="1">
    <w:p w14:paraId="1152EDB2" w14:textId="77777777" w:rsidR="00253E4F" w:rsidRDefault="00253E4F">
      <w:pPr>
        <w:spacing w:line="240" w:lineRule="auto"/>
      </w:pPr>
    </w:p>
  </w:footnote>
  <w:footnote w:id="2">
    <w:p w14:paraId="2DF26DB0" w14:textId="77777777" w:rsidR="00FA140E" w:rsidRPr="002706F4" w:rsidRDefault="00FA140E" w:rsidP="004E01B7">
      <w:pPr>
        <w:pStyle w:val="Default"/>
        <w:jc w:val="both"/>
        <w:rPr>
          <w:color w:val="auto"/>
          <w:sz w:val="20"/>
        </w:rPr>
      </w:pPr>
      <w:r>
        <w:rPr>
          <w:rStyle w:val="Refdenotaalpie"/>
        </w:rPr>
        <w:footnoteRef/>
      </w:r>
      <w:r>
        <w:t xml:space="preserve"> </w:t>
      </w:r>
      <w:r w:rsidRPr="004D35B6">
        <w:rPr>
          <w:color w:val="auto"/>
          <w:sz w:val="20"/>
        </w:rPr>
        <w:t>17.615.175.612 * 20% / (202.688.313 + 44.203.367.360)</w:t>
      </w:r>
      <w:r>
        <w:rPr>
          <w:color w:val="auto"/>
          <w:sz w:val="20"/>
        </w:rPr>
        <w:t xml:space="preserve"> = 0.08 veces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6B10C" w14:textId="77777777" w:rsidR="00FA140E" w:rsidRDefault="00FA140E" w:rsidP="001327EB">
    <w:pPr>
      <w:pStyle w:val="Piedepgina"/>
      <w:jc w:val="center"/>
    </w:pPr>
    <w:r>
      <w:rPr>
        <w:noProof/>
        <w:lang w:val="es-CR" w:eastAsia="es-CR"/>
      </w:rPr>
      <w:drawing>
        <wp:inline distT="0" distB="0" distL="0" distR="0" wp14:anchorId="0812FC71" wp14:editId="5B6B3FC2">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EA72A" w14:textId="77777777" w:rsidR="00FA140E" w:rsidRPr="00D96D0A" w:rsidRDefault="00FA140E" w:rsidP="00D96D0A">
    <w:pPr>
      <w:pStyle w:val="Encabezado"/>
      <w:pBdr>
        <w:bottom w:val="single" w:sz="4" w:space="3" w:color="auto"/>
      </w:pBdr>
      <w:ind w:right="-1"/>
      <w:rPr>
        <w:b/>
        <w:sz w:val="20"/>
        <w:szCs w:val="20"/>
      </w:rPr>
    </w:pPr>
    <w:r>
      <w:rPr>
        <w:noProof/>
        <w:lang w:val="es-CR" w:eastAsia="es-CR"/>
      </w:rPr>
      <w:drawing>
        <wp:inline distT="0" distB="0" distL="0" distR="0" wp14:anchorId="3C79E4F8" wp14:editId="2B51E2B9">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76EFCE12" w14:textId="77777777" w:rsidR="00FA140E" w:rsidRDefault="00FA140E"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0424771E"/>
    <w:multiLevelType w:val="hybridMultilevel"/>
    <w:tmpl w:val="04F8E1D4"/>
    <w:lvl w:ilvl="0" w:tplc="0C0A0001">
      <w:start w:val="1"/>
      <w:numFmt w:val="bullet"/>
      <w:lvlText w:val=""/>
      <w:lvlJc w:val="left"/>
      <w:pPr>
        <w:ind w:left="-2196" w:hanging="360"/>
      </w:pPr>
      <w:rPr>
        <w:rFonts w:ascii="Symbol" w:hAnsi="Symbol" w:hint="default"/>
      </w:rPr>
    </w:lvl>
    <w:lvl w:ilvl="1" w:tplc="140A0003" w:tentative="1">
      <w:start w:val="1"/>
      <w:numFmt w:val="bullet"/>
      <w:lvlText w:val="o"/>
      <w:lvlJc w:val="left"/>
      <w:pPr>
        <w:ind w:left="-1400" w:hanging="360"/>
      </w:pPr>
      <w:rPr>
        <w:rFonts w:ascii="Courier New" w:hAnsi="Courier New" w:cs="Courier New" w:hint="default"/>
      </w:rPr>
    </w:lvl>
    <w:lvl w:ilvl="2" w:tplc="140A0005" w:tentative="1">
      <w:start w:val="1"/>
      <w:numFmt w:val="bullet"/>
      <w:lvlText w:val=""/>
      <w:lvlJc w:val="left"/>
      <w:pPr>
        <w:ind w:left="-680" w:hanging="360"/>
      </w:pPr>
      <w:rPr>
        <w:rFonts w:ascii="Wingdings" w:hAnsi="Wingdings" w:hint="default"/>
      </w:rPr>
    </w:lvl>
    <w:lvl w:ilvl="3" w:tplc="140A0001" w:tentative="1">
      <w:start w:val="1"/>
      <w:numFmt w:val="bullet"/>
      <w:lvlText w:val=""/>
      <w:lvlJc w:val="left"/>
      <w:pPr>
        <w:ind w:left="40" w:hanging="360"/>
      </w:pPr>
      <w:rPr>
        <w:rFonts w:ascii="Symbol" w:hAnsi="Symbol" w:hint="default"/>
      </w:rPr>
    </w:lvl>
    <w:lvl w:ilvl="4" w:tplc="140A0003" w:tentative="1">
      <w:start w:val="1"/>
      <w:numFmt w:val="bullet"/>
      <w:lvlText w:val="o"/>
      <w:lvlJc w:val="left"/>
      <w:pPr>
        <w:ind w:left="760" w:hanging="360"/>
      </w:pPr>
      <w:rPr>
        <w:rFonts w:ascii="Courier New" w:hAnsi="Courier New" w:cs="Courier New" w:hint="default"/>
      </w:rPr>
    </w:lvl>
    <w:lvl w:ilvl="5" w:tplc="140A0005" w:tentative="1">
      <w:start w:val="1"/>
      <w:numFmt w:val="bullet"/>
      <w:lvlText w:val=""/>
      <w:lvlJc w:val="left"/>
      <w:pPr>
        <w:ind w:left="1480" w:hanging="360"/>
      </w:pPr>
      <w:rPr>
        <w:rFonts w:ascii="Wingdings" w:hAnsi="Wingdings" w:hint="default"/>
      </w:rPr>
    </w:lvl>
    <w:lvl w:ilvl="6" w:tplc="140A0001" w:tentative="1">
      <w:start w:val="1"/>
      <w:numFmt w:val="bullet"/>
      <w:lvlText w:val=""/>
      <w:lvlJc w:val="left"/>
      <w:pPr>
        <w:ind w:left="2200" w:hanging="360"/>
      </w:pPr>
      <w:rPr>
        <w:rFonts w:ascii="Symbol" w:hAnsi="Symbol" w:hint="default"/>
      </w:rPr>
    </w:lvl>
    <w:lvl w:ilvl="7" w:tplc="140A0003" w:tentative="1">
      <w:start w:val="1"/>
      <w:numFmt w:val="bullet"/>
      <w:lvlText w:val="o"/>
      <w:lvlJc w:val="left"/>
      <w:pPr>
        <w:ind w:left="2920" w:hanging="360"/>
      </w:pPr>
      <w:rPr>
        <w:rFonts w:ascii="Courier New" w:hAnsi="Courier New" w:cs="Courier New" w:hint="default"/>
      </w:rPr>
    </w:lvl>
    <w:lvl w:ilvl="8" w:tplc="140A0005" w:tentative="1">
      <w:start w:val="1"/>
      <w:numFmt w:val="bullet"/>
      <w:lvlText w:val=""/>
      <w:lvlJc w:val="left"/>
      <w:pPr>
        <w:ind w:left="3640" w:hanging="360"/>
      </w:pPr>
      <w:rPr>
        <w:rFonts w:ascii="Wingdings" w:hAnsi="Wingdings" w:hint="default"/>
      </w:rPr>
    </w:lvl>
  </w:abstractNum>
  <w:abstractNum w:abstractNumId="11">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nsid w:val="259A349F"/>
    <w:multiLevelType w:val="hybridMultilevel"/>
    <w:tmpl w:val="C8C257D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40000CC3"/>
    <w:multiLevelType w:val="hybridMultilevel"/>
    <w:tmpl w:val="7626261E"/>
    <w:lvl w:ilvl="0" w:tplc="AA92489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5">
    <w:nsid w:val="6E4F243B"/>
    <w:multiLevelType w:val="hybridMultilevel"/>
    <w:tmpl w:val="5954562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1B7"/>
    <w:rsid w:val="000064A4"/>
    <w:rsid w:val="000235B5"/>
    <w:rsid w:val="00026C85"/>
    <w:rsid w:val="00041BDD"/>
    <w:rsid w:val="000439A6"/>
    <w:rsid w:val="00060C03"/>
    <w:rsid w:val="000646DD"/>
    <w:rsid w:val="00081865"/>
    <w:rsid w:val="00082968"/>
    <w:rsid w:val="00094B0A"/>
    <w:rsid w:val="000C62BB"/>
    <w:rsid w:val="000E0AC6"/>
    <w:rsid w:val="000F34AE"/>
    <w:rsid w:val="00117501"/>
    <w:rsid w:val="001322B4"/>
    <w:rsid w:val="001327EB"/>
    <w:rsid w:val="0016220C"/>
    <w:rsid w:val="001653C6"/>
    <w:rsid w:val="001946F4"/>
    <w:rsid w:val="001A6574"/>
    <w:rsid w:val="001C075B"/>
    <w:rsid w:val="001C5806"/>
    <w:rsid w:val="001E0448"/>
    <w:rsid w:val="00230C67"/>
    <w:rsid w:val="00250BB8"/>
    <w:rsid w:val="00253E4F"/>
    <w:rsid w:val="002645B7"/>
    <w:rsid w:val="00290898"/>
    <w:rsid w:val="002C56A4"/>
    <w:rsid w:val="002E2B0A"/>
    <w:rsid w:val="002E3589"/>
    <w:rsid w:val="002E56D1"/>
    <w:rsid w:val="002E571B"/>
    <w:rsid w:val="002F08D5"/>
    <w:rsid w:val="003060E2"/>
    <w:rsid w:val="00310570"/>
    <w:rsid w:val="00317BBB"/>
    <w:rsid w:val="00322A87"/>
    <w:rsid w:val="003267FB"/>
    <w:rsid w:val="003312B8"/>
    <w:rsid w:val="0033168F"/>
    <w:rsid w:val="003503A2"/>
    <w:rsid w:val="003554C5"/>
    <w:rsid w:val="00365794"/>
    <w:rsid w:val="00373B22"/>
    <w:rsid w:val="00385CC2"/>
    <w:rsid w:val="003C4C71"/>
    <w:rsid w:val="003E4EDB"/>
    <w:rsid w:val="00410551"/>
    <w:rsid w:val="00414B77"/>
    <w:rsid w:val="004204E7"/>
    <w:rsid w:val="00427002"/>
    <w:rsid w:val="00447A41"/>
    <w:rsid w:val="004822E6"/>
    <w:rsid w:val="00492FE3"/>
    <w:rsid w:val="004D7F44"/>
    <w:rsid w:val="004E01B7"/>
    <w:rsid w:val="004F74E7"/>
    <w:rsid w:val="005105C4"/>
    <w:rsid w:val="0053623F"/>
    <w:rsid w:val="00550D78"/>
    <w:rsid w:val="00557369"/>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0E15"/>
    <w:rsid w:val="0062633F"/>
    <w:rsid w:val="00630B5C"/>
    <w:rsid w:val="00635AC4"/>
    <w:rsid w:val="00640202"/>
    <w:rsid w:val="00662901"/>
    <w:rsid w:val="00681F7A"/>
    <w:rsid w:val="00692661"/>
    <w:rsid w:val="006C2059"/>
    <w:rsid w:val="006E3610"/>
    <w:rsid w:val="006E6F58"/>
    <w:rsid w:val="0071134B"/>
    <w:rsid w:val="00714DC4"/>
    <w:rsid w:val="0074397B"/>
    <w:rsid w:val="007455FF"/>
    <w:rsid w:val="00755896"/>
    <w:rsid w:val="00765619"/>
    <w:rsid w:val="007736D4"/>
    <w:rsid w:val="0079518D"/>
    <w:rsid w:val="007B0458"/>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D4F86"/>
    <w:rsid w:val="008E5850"/>
    <w:rsid w:val="008F1461"/>
    <w:rsid w:val="008F33F5"/>
    <w:rsid w:val="00904CBE"/>
    <w:rsid w:val="00936085"/>
    <w:rsid w:val="00941C1F"/>
    <w:rsid w:val="009475B6"/>
    <w:rsid w:val="00962265"/>
    <w:rsid w:val="0097235C"/>
    <w:rsid w:val="00977CEE"/>
    <w:rsid w:val="00982147"/>
    <w:rsid w:val="00983CB1"/>
    <w:rsid w:val="00984A65"/>
    <w:rsid w:val="009908DE"/>
    <w:rsid w:val="009A035E"/>
    <w:rsid w:val="009B5E5E"/>
    <w:rsid w:val="009C47FE"/>
    <w:rsid w:val="009F54CB"/>
    <w:rsid w:val="00A26E9E"/>
    <w:rsid w:val="00A34523"/>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059E"/>
    <w:rsid w:val="00BE119A"/>
    <w:rsid w:val="00BE6A0B"/>
    <w:rsid w:val="00BE7B10"/>
    <w:rsid w:val="00C039CE"/>
    <w:rsid w:val="00C1795E"/>
    <w:rsid w:val="00C22C6C"/>
    <w:rsid w:val="00C414C9"/>
    <w:rsid w:val="00C42047"/>
    <w:rsid w:val="00C5093E"/>
    <w:rsid w:val="00C52228"/>
    <w:rsid w:val="00C60480"/>
    <w:rsid w:val="00C64425"/>
    <w:rsid w:val="00C809BA"/>
    <w:rsid w:val="00C9305E"/>
    <w:rsid w:val="00CA3FA8"/>
    <w:rsid w:val="00CB07CA"/>
    <w:rsid w:val="00D03728"/>
    <w:rsid w:val="00D06E99"/>
    <w:rsid w:val="00D102F8"/>
    <w:rsid w:val="00D10AD8"/>
    <w:rsid w:val="00D23A2D"/>
    <w:rsid w:val="00D2424F"/>
    <w:rsid w:val="00D26EDE"/>
    <w:rsid w:val="00D32808"/>
    <w:rsid w:val="00D43D57"/>
    <w:rsid w:val="00D44EF3"/>
    <w:rsid w:val="00D45FC0"/>
    <w:rsid w:val="00D54C08"/>
    <w:rsid w:val="00D55CA3"/>
    <w:rsid w:val="00D723A6"/>
    <w:rsid w:val="00D96D0A"/>
    <w:rsid w:val="00DB3508"/>
    <w:rsid w:val="00DB3E70"/>
    <w:rsid w:val="00DC2193"/>
    <w:rsid w:val="00DC3B8E"/>
    <w:rsid w:val="00DE08C6"/>
    <w:rsid w:val="00E0213E"/>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23BC3"/>
    <w:rsid w:val="00F55C45"/>
    <w:rsid w:val="00F6038D"/>
    <w:rsid w:val="00F654F5"/>
    <w:rsid w:val="00F731A3"/>
    <w:rsid w:val="00F8680D"/>
    <w:rsid w:val="00FA140E"/>
    <w:rsid w:val="00FA18B2"/>
    <w:rsid w:val="00FA1E58"/>
    <w:rsid w:val="00FA54DF"/>
    <w:rsid w:val="00FB79EB"/>
    <w:rsid w:val="00FD111C"/>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40D83C5"/>
  <w15:docId w15:val="{D63CB85C-F958-43FB-9CBB-9418A32D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2">
    <w:name w:val="heading 2"/>
    <w:basedOn w:val="Normal"/>
    <w:next w:val="Normal"/>
    <w:link w:val="Ttulo2Car"/>
    <w:uiPriority w:val="9"/>
    <w:semiHidden/>
    <w:unhideWhenUsed/>
    <w:qFormat/>
    <w:locked/>
    <w:rsid w:val="004E01B7"/>
    <w:pPr>
      <w:keepNext/>
      <w:keepLines/>
      <w:spacing w:before="40" w:line="240" w:lineRule="auto"/>
      <w:jc w:val="center"/>
      <w:outlineLvl w:val="1"/>
    </w:pPr>
    <w:rPr>
      <w:rFonts w:asciiTheme="majorHAnsi" w:eastAsiaTheme="majorEastAsia" w:hAnsiTheme="majorHAnsi" w:cstheme="majorBidi"/>
      <w:color w:val="2A6094" w:themeColor="accent1" w:themeShade="BF"/>
      <w:sz w:val="26"/>
      <w:szCs w:val="26"/>
      <w:lang w:val="es-CR" w:eastAsia="es-E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3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customStyle="1" w:styleId="Ttulo2Car">
    <w:name w:val="Título 2 Car"/>
    <w:basedOn w:val="Fuentedeprrafopredeter"/>
    <w:link w:val="Ttulo2"/>
    <w:uiPriority w:val="9"/>
    <w:semiHidden/>
    <w:rsid w:val="004E01B7"/>
    <w:rPr>
      <w:rFonts w:asciiTheme="majorHAnsi" w:eastAsiaTheme="majorEastAsia" w:hAnsiTheme="majorHAnsi" w:cstheme="majorBidi"/>
      <w:color w:val="2A6094" w:themeColor="accent1" w:themeShade="BF"/>
      <w:sz w:val="26"/>
      <w:szCs w:val="26"/>
      <w:lang w:eastAsia="es-ES"/>
    </w:rPr>
  </w:style>
  <w:style w:type="paragraph" w:customStyle="1" w:styleId="Default">
    <w:name w:val="Default"/>
    <w:rsid w:val="004E01B7"/>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nhideWhenUsed/>
    <w:locked/>
    <w:rsid w:val="004E01B7"/>
    <w:pPr>
      <w:spacing w:before="100" w:beforeAutospacing="1" w:after="100" w:afterAutospacing="1" w:line="240" w:lineRule="auto"/>
      <w:jc w:val="left"/>
    </w:pPr>
    <w:rPr>
      <w:rFonts w:ascii="Times New Roman" w:hAnsi="Times New Roman"/>
      <w:sz w:val="24"/>
      <w:lang w:val="es-CR" w:eastAsia="es-CR"/>
    </w:rPr>
  </w:style>
  <w:style w:type="character" w:styleId="Refdenotaalpie">
    <w:name w:val="footnote reference"/>
    <w:basedOn w:val="Fuentedeprrafopredeter"/>
    <w:uiPriority w:val="99"/>
    <w:semiHidden/>
    <w:unhideWhenUsed/>
    <w:locked/>
    <w:rsid w:val="004E01B7"/>
    <w:rPr>
      <w:vertAlign w:val="superscript"/>
    </w:rPr>
  </w:style>
  <w:style w:type="paragraph" w:styleId="Prrafodelista">
    <w:name w:val="List Paragraph"/>
    <w:basedOn w:val="Normal"/>
    <w:link w:val="PrrafodelistaCar"/>
    <w:uiPriority w:val="34"/>
    <w:qFormat/>
    <w:locked/>
    <w:rsid w:val="00D23A2D"/>
    <w:pPr>
      <w:spacing w:after="200" w:line="276" w:lineRule="auto"/>
      <w:ind w:left="720"/>
      <w:contextualSpacing/>
      <w:jc w:val="left"/>
    </w:pPr>
    <w:rPr>
      <w:rFonts w:ascii="Calibri" w:eastAsia="Calibri" w:hAnsi="Calibri"/>
      <w:szCs w:val="22"/>
      <w:lang w:val="es-CR"/>
    </w:rPr>
  </w:style>
  <w:style w:type="character" w:customStyle="1" w:styleId="PrrafodelistaCar">
    <w:name w:val="Párrafo de lista Car"/>
    <w:link w:val="Prrafodelista"/>
    <w:uiPriority w:val="34"/>
    <w:locked/>
    <w:rsid w:val="00D23A2D"/>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Forms/SUGEF%20trabajo/plantilla-SGF-13.dotm" TargetMode="External"/></Relationship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2szd6YlqenhAD2FIdRAXPH0/paU=</DigestValue>
    </Reference>
    <Reference Type="http://www.w3.org/2000/09/xmldsig#Object" URI="#idOfficeObject">
      <DigestMethod Algorithm="http://www.w3.org/2000/09/xmldsig#sha1"/>
      <DigestValue>qhjtdAEGm2gDLejAabJoF86DgFM=</DigestValue>
    </Reference>
    <Reference Type="http://uri.etsi.org/01903#SignedProperties" URI="#idSignedProperties">
      <Transforms>
        <Transform Algorithm="http://www.w3.org/TR/2001/REC-xml-c14n-20010315"/>
      </Transforms>
      <DigestMethod Algorithm="http://www.w3.org/2000/09/xmldsig#sha1"/>
      <DigestValue>c0gyZGgJaDEbW7Wdd71RmbaNyCg=</DigestValue>
    </Reference>
  </SignedInfo>
  <SignatureValue>tT3Gpxp1JByQRfLgYebYZ3kZnCsj2I4H6h/amzUM1ezK4q+HGasioQpLHeNymGBV+cwbO14kFffa
CCrKoKr9ZQjCqGy7gurJPf39xipASLFT3rrZZngIktpmAy9xiEHFuizkXrx0Dxyohw4mLkr/ErN9
KSogzNv9x34ESbFPPjiV6O0CiXbMY1uk6kxdnppHH7g4Fn64X91RaUXpFu/uhVgs1KTEMtngimXF
ap6IK0kXyyyqrYUS12h77QdOZe6LZBNM8Uv4IuGNEH4aCFKctYJpcRU2/rXCaIQ5vwvZYce5DLFY
QaJdFEID8aIr0UJQix+lD9UrJeiWd/tZHA8gZw==</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0/09/xmldsig#sha1"/>
        <DigestValue>kxKteJE+Lr3e66CqNwUHxmQEMsU=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I2lIyeeZ9uoYIWnj0fkwJ+JUOu4=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+DWasIt46J9kWGyxoP3pos6rwyo=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/ZT7lzkBKjGpbWyeQ2JFoWG14aQ=</DigestValue>
      </Reference>
      <Reference URI="/word/document.xml?ContentType=application/vnd.openxmlformats-officedocument.wordprocessingml.document.main+xml">
        <DigestMethod Algorithm="http://www.w3.org/2000/09/xmldsig#sha1"/>
        <DigestValue>ArlXvFMegl4e/3oT2+GhskcVus8=</DigestValue>
      </Reference>
      <Reference URI="/word/endnotes.xml?ContentType=application/vnd.openxmlformats-officedocument.wordprocessingml.endnotes+xml">
        <DigestMethod Algorithm="http://www.w3.org/2000/09/xmldsig#sha1"/>
        <DigestValue>iZkG/jYYFgHQFJ+UWwnsWnTdGoQ=</DigestValue>
      </Reference>
      <Reference URI="/word/fontTable.xml?ContentType=application/vnd.openxmlformats-officedocument.wordprocessingml.fontTable+xml">
        <DigestMethod Algorithm="http://www.w3.org/2000/09/xmldsig#sha1"/>
        <DigestValue>0t5v2oliT/LjF7MLGOXnkVqXPTc=</DigestValue>
      </Reference>
      <Reference URI="/word/footer1.xml?ContentType=application/vnd.openxmlformats-officedocument.wordprocessingml.footer+xml">
        <DigestMethod Algorithm="http://www.w3.org/2000/09/xmldsig#sha1"/>
        <DigestValue>zVwijOJe6POiqGvLFoQNPjnxlUs=</DigestValue>
      </Reference>
      <Reference URI="/word/footer2.xml?ContentType=application/vnd.openxmlformats-officedocument.wordprocessingml.footer+xml">
        <DigestMethod Algorithm="http://www.w3.org/2000/09/xmldsig#sha1"/>
        <DigestValue>GYTM1AYG0P6XD8H06P/E52JG6no=</DigestValue>
      </Reference>
      <Reference URI="/word/footnotes.xml?ContentType=application/vnd.openxmlformats-officedocument.wordprocessingml.footnotes+xml">
        <DigestMethod Algorithm="http://www.w3.org/2000/09/xmldsig#sha1"/>
        <DigestValue>PQaJDlelSmkIxv7Pv/XrrLKb2Ow=</DigestValue>
      </Reference>
      <Reference URI="/word/header1.xml?ContentType=application/vnd.openxmlformats-officedocument.wordprocessingml.header+xml">
        <DigestMethod Algorithm="http://www.w3.org/2000/09/xmldsig#sha1"/>
        <DigestValue>p7drJqxGKKVNvOlzdtC8G+YhmCo=</DigestValue>
      </Reference>
      <Reference URI="/word/header2.xml?ContentType=application/vnd.openxmlformats-officedocument.wordprocessingml.header+xml">
        <DigestMethod Algorithm="http://www.w3.org/2000/09/xmldsig#sha1"/>
        <DigestValue>MteRY+R6TdhfM9K6RKpvBnSvBt0=</DigestValue>
      </Reference>
      <Reference URI="/word/media/image1.jpg?ContentType=image/jpeg">
        <DigestMethod Algorithm="http://www.w3.org/2000/09/xmldsig#sha1"/>
        <DigestValue>WBE2fsmHVGwcKKBQxbSMrwxyzd0=</DigestValue>
      </Reference>
      <Reference URI="/word/media/image2.png?ContentType=image/png">
        <DigestMethod Algorithm="http://www.w3.org/2000/09/xmldsig#sha1"/>
        <DigestValue>xqOBhFuPeqMghHzp2yf95n6b0Eo=</DigestValue>
      </Reference>
      <Reference URI="/word/media/image3.png?ContentType=image/png">
        <DigestMethod Algorithm="http://www.w3.org/2000/09/xmldsig#sha1"/>
        <DigestValue>ugf502F9OWENCRXzhnDZtkblBVw=</DigestValue>
      </Reference>
      <Reference URI="/word/media/image4.emf?ContentType=image/x-emf">
        <DigestMethod Algorithm="http://www.w3.org/2000/09/xmldsig#sha1"/>
        <DigestValue>GoPcGkLSV4myQ+cl82LPPkibvG0=</DigestValue>
      </Reference>
      <Reference URI="/word/numbering.xml?ContentType=application/vnd.openxmlformats-officedocument.wordprocessingml.numbering+xml">
        <DigestMethod Algorithm="http://www.w3.org/2000/09/xmldsig#sha1"/>
        <DigestValue>XR4IcK5+Yx7bFuhvVePiOnfCl2Y=</DigestValue>
      </Reference>
      <Reference URI="/word/settings.xml?ContentType=application/vnd.openxmlformats-officedocument.wordprocessingml.settings+xml">
        <DigestMethod Algorithm="http://www.w3.org/2000/09/xmldsig#sha1"/>
        <DigestValue>7Vmcxp9ZsNG4eZp8fPxhwFdQeWQ=</DigestValue>
      </Reference>
      <Reference URI="/word/styles.xml?ContentType=application/vnd.openxmlformats-officedocument.wordprocessingml.styles+xml">
        <DigestMethod Algorithm="http://www.w3.org/2000/09/xmldsig#sha1"/>
        <DigestValue>bm5u3KmSuDsX9ld4zI8skJ0biw4=</DigestValue>
      </Reference>
      <Reference URI="/word/theme/theme1.xml?ContentType=application/vnd.openxmlformats-officedocument.theme+xml">
        <DigestMethod Algorithm="http://www.w3.org/2000/09/xmldsig#sha1"/>
        <DigestValue>afn6CthWEUwqtPMX5ImY3jwVifM=</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xmlns:mdssi="http://schemas.openxmlformats.org/package/2006/digital-signature">
          <mdssi:Format>YYYY-MM-DDThh:mm:ssTZD</mdssi:Format>
          <mdssi:Value>2016-05-31T15:44:34Z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2016-05-31T15:44:34Z</xd:SigningTime>
          <xd:SigningCertificate>
            <xd:Cert>
              <xd:CertDigest>
                <DigestMethod Algorithm="http://www.w3.org/2000/09/xmldsig#sha1"/>
                <DigestValue>FogAmwWTxV84Mxlb1H+boYFlWeY=</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ituación_x0020_actual xmlns="b875e23b-67d9-4b2e-bdec-edacbf90b326">NOTIFICADO 3105/2016
R-1764-2016 
Deja sin efecto la SGF-R-1732-2016
Resolución sobre factor de mitigación de FINADE/FODEMIPYME
Copiar a Genaro Segura, Gilberto Arce, Gabriela Amador, José Manuel Cubero, Directores de Supervisión
Publicar en La Gaceta</Situación_x0020_actual>
    <Dependencia xmlns="b875e23b-67d9-4b2e-bdec-edacbf90b326">
      <Value>SUGEF CA</Value>
    </Dependencia>
    <Enviado_x0020_por1 xmlns="b875e23b-67d9-4b2e-bdec-edacbf90b326">Normas</Enviado_x0020_por1>
    <KpiDescription xmlns="http://schemas.microsoft.com/sharepoint/v3">NOTIFICADO 3105/2016
R-1764-2016 
Deja sin efecto la SGF-R-1732-2016
Resolución sobre factor de mitigación de FINADE/FODEMIPYME
Copiar a Genaro Segura, Gilberto Arce, Gabriela Amador, José Manuel Cubero, Directores de Supervisión
Publicar en La Gaceta
</KpiDescription>
    <_Status xmlns="http://schemas.microsoft.com/sharepoint/v3/fields">Para tramitar</_Status>
    <Entrante_x0020_relacionado xmlns="b875e23b-67d9-4b2e-bdec-edacbf90b326">
      <Url xsi:nil="true"/>
      <Description xsi:nil="true"/>
    </Entrante_x0020_relacionado>
    <Secretaria xmlns="b875e23b-67d9-4b2e-bdec-edacbf90b326">
      <UserInfo>
        <DisplayName>Gabriela Vargas Leal</DisplayName>
        <AccountId>120</AccountId>
        <AccountType/>
      </UserInfo>
    </Secretaria>
    <Año xmlns="b875e23b-67d9-4b2e-bdec-edacbf90b326">2016</Año>
    <Entidad_x0020_Financiera xmlns="b875e23b-67d9-4b2e-bdec-edacbf90b326">A todas las entidades supervisadas</Entidad_x0020_Financiera>
    <N_x00b0_Referencia xmlns="b875e23b-67d9-4b2e-bdec-edacbf90b326">No responde a ningún número de referencia</N_x00b0_Referencia>
    <Confidencialidad xmlns="b875e23b-67d9-4b2e-bdec-edacbf90b326">SGF-PUBLICO</Confidencialidad>
    <Enviado_x0020_por xmlns="b875e23b-67d9-4b2e-bdec-edacbf90b326">i:0#.w|sugef\gvargasl</Enviado_x0020_por>
    <Externo_x003f_ xmlns="b875e23b-67d9-4b2e-bdec-edacbf90b326">true</Externo_x003f_>
    <Fecha_x0020_notificación xmlns="b875e23b-67d9-4b2e-bdec-edacbf90b326">2016-05-31T06:00:00+00:00</Fecha_x0020_notificación>
    <N_x00b0_Oficio xmlns="b875e23b-67d9-4b2e-bdec-edacbf90b326">R-1764-2016 </N_x00b0_Oficio>
    <Firmantes xmlns="b875e23b-67d9-4b2e-bdec-edacbf90b326">
      <UserInfo>
        <DisplayName>i:0#.w|sugef\jcascante</DisplayName>
        <AccountId>22</AccountId>
        <AccountType/>
      </UserInfo>
    </Firmantes>
    <Firma_x0020_digital_x003f_ xmlns="b875e23b-67d9-4b2e-bdec-edacbf90b326">true</Firma_x0020_digital_x003f_>
    <Firma_x0020_despacho_x003f_ xmlns="b875e23b-67d9-4b2e-bdec-edacbf90b326">true</Firma_x0020_despacho_x003f_>
    <Con_x0020_copia xmlns="b875e23b-67d9-4b2e-bdec-edacbf90b326">
      <UserInfo>
        <DisplayName>SALIENTE NORMAS</DisplayName>
        <AccountId>360</AccountId>
        <AccountType/>
      </UserInfo>
      <UserInfo>
        <DisplayName>SALIENTE DIRECTORES DE SUPERVISIÓN</DisplayName>
        <AccountId>383</AccountId>
        <AccountType/>
      </UserInfo>
    </Con_x0020_copia>
  </documentManagement>
</p:properties>
</file>

<file path=customXml/item4.xml><?xml version="1.0" encoding="utf-8"?>
<ct:contentTypeSchema xmlns:ct="http://schemas.microsoft.com/office/2006/metadata/contentType" xmlns:ma="http://schemas.microsoft.com/office/2006/metadata/properties/metaAttributes" ct:_="" ma:_="" ma:contentTypeName="SUGEF oficios" ma:contentTypeID="0x010100693E853EF8C1A34581F50C7740010A8B00665458B34368EA438EB6C6D1830E5626" ma:contentTypeVersion="175" ma:contentTypeDescription="" ma:contentTypeScope="" ma:versionID="04c9cefe9b633a7a0e34643461f94d3b">
  <xsd:schema xmlns:xsd="http://www.w3.org/2001/XMLSchema" xmlns:xs="http://www.w3.org/2001/XMLSchema" xmlns:p="http://schemas.microsoft.com/office/2006/metadata/properties" xmlns:ns1="http://schemas.microsoft.com/sharepoint/v3" xmlns:ns2="b875e23b-67d9-4b2e-bdec-edacbf90b326" xmlns:ns3="http://schemas.microsoft.com/sharepoint/v3/fields" targetNamespace="http://schemas.microsoft.com/office/2006/metadata/properties" ma:root="true" ma:fieldsID="799280a7234a1071fbd7e4692912878e" ns1:_="" ns2:_="" ns3:_="">
    <xsd:import namespace="http://schemas.microsoft.com/sharepoint/v3"/>
    <xsd:import namespace="b875e23b-67d9-4b2e-bdec-edacbf90b326"/>
    <xsd:import namespace="http://schemas.microsoft.com/sharepoint/v3/fields"/>
    <xsd:element name="properties">
      <xsd:complexType>
        <xsd:sequence>
          <xsd:element name="documentManagement">
            <xsd:complexType>
              <xsd:all>
                <xsd:element ref="ns2:N_x00b0_Oficio"/>
                <xsd:element ref="ns2:Entidad_x0020_Financiera" minOccurs="0"/>
                <xsd:element ref="ns2:Situación_x0020_actual" minOccurs="0"/>
                <xsd:element ref="ns1:KpiDescription" minOccurs="0"/>
                <xsd:element ref="ns2:Externo_x003f_" minOccurs="0"/>
                <xsd:element ref="ns3:_Status" minOccurs="0"/>
                <xsd:element ref="ns2:Firma_x0020_digital_x003f_" minOccurs="0"/>
                <xsd:element ref="ns2:Firma_x0020_despacho_x003f_" minOccurs="0"/>
                <xsd:element ref="ns2:Enviado_x0020_por1" minOccurs="0"/>
                <xsd:element ref="ns2:Firmantes" minOccurs="0"/>
                <xsd:element ref="ns2:Secretaria" minOccurs="0"/>
                <xsd:element ref="ns2:Con_x0020_copia" minOccurs="0"/>
                <xsd:element ref="ns2:Enviado_x0020_por" minOccurs="0"/>
                <xsd:element ref="ns2:Dependencia" minOccurs="0"/>
                <xsd:element ref="ns2:Entrante_x0020_relacionado" minOccurs="0"/>
                <xsd:element ref="ns2:Año" minOccurs="0"/>
                <xsd:element ref="ns2:Fecha_x0020_notificación" minOccurs="0"/>
                <xsd:element ref="ns2:N_x00b0_Referencia" minOccurs="0"/>
                <xsd:element ref="ns2:Confidencial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4" nillable="true" ma:displayName="Descripción" ma:description="La descripción proporciona información sobre el objetivo."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N_x00b0_Oficio" ma:index="1" ma:displayName="N°Oficio" ma:default="SUGEF-" ma:internalName="N_x00B0_Oficio" ma:readOnly="false">
      <xsd:simpleType>
        <xsd:restriction base="dms:Text">
          <xsd:maxLength value="50"/>
        </xsd:restriction>
      </xsd:simpleType>
    </xsd:element>
    <xsd:element name="Entidad_x0020_Financiera" ma:index="2" nillable="true" ma:displayName="Entidad Financiera" ma:format="Dropdown" ma:internalName="Entidad_x0020_Financiera">
      <xsd:simpleType>
        <xsd:union memberTypes="dms:Text">
          <xsd:simpleType>
            <xsd:restriction base="dms:Choice">
              <xsd:enumeration value="Seleccione una opción"/>
              <xsd:enumeration value="AI-CONASSIF"/>
              <xsd:enumeration value="ASAMBLEA LEGISLATIVA"/>
              <xsd:enumeration value="ASBA"/>
              <xsd:enumeration value="BACSANJOSE"/>
              <xsd:enumeration value="BANCA PARA EL DESARROLLO"/>
              <xsd:enumeration value="BANCO CMB"/>
              <xsd:enumeration value="BANCREDITO"/>
              <xsd:enumeration value="BANGENCR"/>
              <xsd:enumeration value="BANHVI"/>
              <xsd:enumeration value="BCCR"/>
              <xsd:enumeration value="BCR"/>
              <xsd:enumeration value="BCT"/>
              <xsd:enumeration value="BID"/>
              <xsd:enumeration value="BNCR"/>
              <xsd:enumeration value="CAC-ALIANZA"/>
              <xsd:enumeration value="CAC-AMISTAD"/>
              <xsd:enumeration value="CAC-ANDE1"/>
              <xsd:enumeration value="CAC-AYA"/>
              <xsd:enumeration value="CAC-CAJA"/>
              <xsd:enumeration value="CAC-COOCIQUE"/>
              <xsd:enumeration value="CAC-COOPAVEGRA"/>
              <xsd:enumeration value="CAC-COOPECAR"/>
              <xsd:enumeration value="CAC-COOPECO"/>
              <xsd:enumeration value="CAC-COOPEFYL"/>
              <xsd:enumeration value="CAC-COOPELECHEROS"/>
              <xsd:enumeration value="CAC-COOPENAE"/>
              <xsd:enumeration value="CAC-CREDE"/>
              <xsd:enumeration value="CAC-ESPARTA"/>
              <xsd:enumeration value="CAC-GRECIA"/>
              <xsd:enumeration value="CAC-JUDICIAL"/>
              <xsd:enumeration value="CAC-MAPRO"/>
              <xsd:enumeration value="CAC-MEDICOS"/>
              <xsd:enumeration value="CAC-MEP"/>
              <xsd:enumeration value="CAC-POPULAR"/>
              <xsd:enumeration value="CAC-SANMARCOS"/>
              <xsd:enumeration value="CAC-SANRAMON"/>
              <xsd:enumeration value="CAC-SERVICOOP"/>
              <xsd:enumeration value="CAC-SERVIDORES"/>
              <xsd:enumeration value="CAC-UNA"/>
              <xsd:enumeration value="CATHAY"/>
              <xsd:enumeration value="CC-GLOBALEX"/>
              <xsd:enumeration value="CCSBSO"/>
              <xsd:enumeration value="CC-TELEDOLAR"/>
              <xsd:enumeration value="CGR"/>
              <xsd:enumeration value="CITIBANK"/>
              <xsd:enumeration value="CONASSIF"/>
              <xsd:enumeration value="CORPORACIÓN BCT"/>
              <xsd:enumeration value="CORPORACIÓN  CAFSA"/>
              <xsd:enumeration value="CORPORACIÓN DAVIVIENDA (COSTA RICA)"/>
              <xsd:enumeration value="CORPORACIÓN LAFISE CONTROLADORA"/>
              <xsd:enumeration value="CORPORACIÓN TENEDORA BAC CREDOMATIC"/>
              <xsd:enumeration value="DAVIVIENDA"/>
              <xsd:enumeration value="DEFENSORÍA DE LOS HABITANTES"/>
              <xsd:enumeration value="F-CAFSA"/>
              <xsd:enumeration value="F-COMECA"/>
              <xsd:enumeration value="F-DESYFIN"/>
              <xsd:enumeration value="F-GYT CONTINENTAL"/>
              <xsd:enumeration value="GRUPO BNS DE COSTA RICA"/>
              <xsd:enumeration value="GRUPO DE FINANZAS CATHAY"/>
              <xsd:enumeration value="GRUPO FINANCIERO CITIBANK DE COSTA RICA"/>
              <xsd:enumeration value="GRUPO FINANCIERO IMPROSA"/>
              <xsd:enumeration value="ICD"/>
              <xsd:enumeration value="IMPROSA"/>
              <xsd:enumeration value="INS"/>
              <xsd:enumeration value="LAFISE"/>
              <xsd:enumeration value="LATINEX"/>
              <xsd:enumeration value="M-ALAJUELA"/>
              <xsd:enumeration value="M-CARTAGO"/>
              <xsd:enumeration value="MEIC"/>
              <xsd:enumeration value="MINISTERIO DE HACIENDA"/>
              <xsd:enumeration value="MINISTERIO PÚBLICO"/>
              <xsd:enumeration value="PIPCA"/>
              <xsd:enumeration value="PODER JUDICIAL"/>
              <xsd:enumeration value="POPULAR"/>
              <xsd:enumeration value="PRIVAL BANK"/>
              <xsd:enumeration value="PROMERICA"/>
              <xsd:enumeration value="REGISTRO NACIONAL"/>
              <xsd:enumeration value="SCOTIABANK"/>
              <xsd:enumeration value="SE-CAJANDE"/>
              <xsd:enumeration value="SUGESE"/>
              <xsd:enumeration value="SUGEVAL"/>
              <xsd:enumeration value="SUPEN"/>
              <xsd:enumeration value="THE BANK OF NOVA SCOTIA (COSTA RICA)"/>
            </xsd:restriction>
          </xsd:simpleType>
        </xsd:union>
      </xsd:simpleType>
    </xsd:element>
    <xsd:element name="Situación_x0020_actual" ma:index="3" nillable="true" ma:displayName="Observaciones" ma:description="" ma:internalName="Situaci_x00f3_n_x0020_actual">
      <xsd:simpleType>
        <xsd:restriction base="dms:Note"/>
      </xsd:simpleType>
    </xsd:element>
    <xsd:element name="Externo_x003f_" ma:index="5" nillable="true" ma:displayName="Externo?" ma:default="1" ma:description="Externo/Interno" ma:internalName="Externo_x003F_">
      <xsd:simpleType>
        <xsd:restriction base="dms:Boolean"/>
      </xsd:simpleType>
    </xsd:element>
    <xsd:element name="Firma_x0020_digital_x003f_" ma:index="7" nillable="true" ma:displayName="Firma digital?" ma:default="0" ma:internalName="Firma_x0020_digital_x003F_">
      <xsd:simpleType>
        <xsd:restriction base="dms:Boolean"/>
      </xsd:simpleType>
    </xsd:element>
    <xsd:element name="Firma_x0020_despacho_x003f_" ma:index="8" nillable="true" ma:displayName="Firma despacho?" ma:default="0" ma:internalName="Firma_x0020_despacho_x003F_">
      <xsd:simpleType>
        <xsd:restriction base="dms:Boolean"/>
      </xsd:simpleType>
    </xsd:element>
    <xsd:element name="Enviado_x0020_por1" ma:index="9" nillable="true" ma:displayName="Remisor" ma:default="Seleccione una opción" ma:format="Dropdown" ma:internalName="Enviado_x0020_por1">
      <xsd:simpleType>
        <xsd:restriction base="dms:Choice">
          <xsd:enumeration value="Aseguramiento de la Calidad"/>
          <xsd:enumeration value="Asesoría Jurídica"/>
          <xsd:enumeration value="Bancos Públicos"/>
          <xsd:enumeration value="Bancos Privados"/>
          <xsd:enumeration value="Capacitación y Organismos Internacionales"/>
          <xsd:enumeration value="Coordinación Administrativa"/>
          <xsd:enumeration value="Despacho"/>
          <xsd:enumeration value="Empresas Financieras"/>
          <xsd:enumeration value="Informática"/>
          <xsd:enumeration value="Ley 8204"/>
          <xsd:enumeration value="Normas"/>
          <xsd:enumeration value="Riesgo Global"/>
          <xsd:enumeration value="Servicios Técnicos"/>
          <xsd:enumeration value="Seleccione una opción"/>
        </xsd:restriction>
      </xsd:simpleType>
    </xsd:element>
    <xsd:element name="Firmantes" ma:index="10" nillable="true" ma:displayName="Firmantes" ma:description="CAMPO REQUERIDO" ma:list="UserInfo" ma:SharePointGroup="0" ma:internalName="Firmant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retaria" ma:index="11" nillable="true" ma:displayName="Secretaria" ma:list="UserInfo" ma:SharePointGroup="0" ma:internalName="Secretari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_x0020_copia" ma:index="12" nillable="true" ma:displayName="Con copia" ma:list="UserInfo" ma:SearchPeopleOnly="false" ma:SharePointGroup="0" ma:internalName="Con_x0020_copi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viado_x0020_por" ma:index="13" nillable="true" ma:displayName="EnviadoPor" ma:internalName="Enviado_x0020_por">
      <xsd:simpleType>
        <xsd:restriction base="dms:Text">
          <xsd:maxLength value="255"/>
        </xsd:restriction>
      </xsd:simpleType>
    </xsd:element>
    <xsd:element name="Dependencia" ma:index="14" nillable="true" ma:displayName="Dependencia" ma:internalName="Dependencia" ma:readOnly="false">
      <xsd:complexType>
        <xsd:complexContent>
          <xsd:extension base="dms:MultiChoice">
            <xsd:sequence>
              <xsd:element name="Value" maxOccurs="unbounded" minOccurs="0" nillable="true">
                <xsd:simpleType>
                  <xsd:restriction base="dms:Choice">
                    <xsd:enumeration value="SUGEF AC"/>
                    <xsd:enumeration value="SUGEF ACL8204"/>
                    <xsd:enumeration value="SUGEF CA"/>
                    <xsd:enumeration value="SUGEF CyOI"/>
                    <xsd:enumeration value="SUGEF RG"/>
                    <xsd:enumeration value="SUGEF DBPGF"/>
                    <xsd:enumeration value="SUGEF DBPM"/>
                    <xsd:enumeration value="SUGEF DAJ"/>
                    <xsd:enumeration value="SUGEF Despacho"/>
                    <xsd:enumeration value="SUGEF Borradores Despacho"/>
                    <xsd:enumeration value="SUGEF DI"/>
                    <xsd:enumeration value="SUGEF DEFC"/>
                    <xsd:enumeration value="SUGEF DST"/>
                    <xsd:enumeration value="SUGEF Normas"/>
                    <xsd:enumeration value="Presidencia"/>
                    <xsd:enumeration value="Gerencia"/>
                    <xsd:enumeration value="Subgerencia"/>
                    <xsd:enumeration value="DAD Buzon"/>
                    <xsd:enumeration value="DFC Buzón"/>
                    <xsd:enumeration value="DSF Buzon"/>
                    <xsd:enumeration value="DEC Buzon"/>
                    <xsd:enumeration value="DAP Buzon"/>
                    <xsd:enumeration value="DGD Buzon"/>
                    <xsd:enumeration value="DST Buzon"/>
                    <xsd:enumeration value="DSG Despacho"/>
                    <xsd:enumeration value="DAJ Despacho"/>
                    <xsd:enumeration value="AUDITORIA INTERNA"/>
                    <xsd:enumeration value="AUDITORIA INTERNA CONASSIF"/>
                    <xsd:enumeration value="CONASSIF"/>
                    <xsd:enumeration value="APROBACEN"/>
                    <xsd:enumeration value="ASOBACEN"/>
                    <xsd:enumeration value="COOPEBACEN"/>
                    <xsd:enumeration value="Sindicato"/>
                  </xsd:restriction>
                </xsd:simpleType>
              </xsd:element>
            </xsd:sequence>
          </xsd:extension>
        </xsd:complexContent>
      </xsd:complexType>
    </xsd:element>
    <xsd:element name="Entrante_x0020_relacionado" ma:index="1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Año" ma:index="16" nillable="true" ma:displayName="Año" ma:default="2016"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Fecha_x0020_notificación" ma:index="24" nillable="true" ma:displayName="Fecha de Notificación" ma:description="Fecha de notificación del oficio" ma:format="DateOnly" ma:internalName="Fecha_x0020_notificaci_x00f3_n">
      <xsd:simpleType>
        <xsd:restriction base="dms:DateTime"/>
      </xsd:simpleType>
    </xsd:element>
    <xsd:element name="N_x00b0_Referencia" ma:index="26" nillable="true" ma:displayName="N°Referencia" ma:indexed="true" ma:internalName="N_x00B0_Referencia">
      <xsd:simpleType>
        <xsd:restriction base="dms:Text">
          <xsd:maxLength value="255"/>
        </xsd:restriction>
      </xsd:simpleType>
    </xsd:element>
    <xsd:element name="Confidencialidad" ma:index="28" nillable="true" ma:displayName="Confidencialidad" ma:format="RadioButtons" ma:internalName="Confidencialidad">
      <xsd:simpleType>
        <xsd:restriction base="dms:Choice">
          <xsd:enumeration value="SGF-PUBLICO"/>
          <xsd:enumeration value="SGF-INTERNO"/>
          <xsd:enumeration value="SGF-PROPIETARIO"/>
          <xsd:enumeration value="SGF-CONFIDENCIAL"/>
          <xsd:enumeration value="SGF-MAXIM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Estado" ma:default="Para tramitar" ma:format="Dropdown" ma:internalName="_Status">
      <xsd:simpleType>
        <xsd:restriction base="dms:Choice">
          <xsd:enumeration value="Firmado"/>
          <xsd:enumeration value="Notificado"/>
          <xsd:enumeration value="Pendiente"/>
          <xsd:enumeration value="Para tramitar"/>
          <xsd:enumeration value="Reasignado"/>
          <xsd:enumeration value="Rechazado"/>
          <xsd:enumeration value="Tramit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Estado"/>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31b4bb2-0db7-40b3-a341-fc1511e9642d" ContentTypeId="0x010100693E853EF8C1A34581F50C7740010A8B" PreviousValue="false"/>
</file>

<file path=customXml/itemProps1.xml><?xml version="1.0" encoding="utf-8"?>
<ds:datastoreItem xmlns:ds="http://schemas.openxmlformats.org/officeDocument/2006/customXml" ds:itemID="{5A5D00FE-83CE-499C-97DB-AE75B789436D}"/>
</file>

<file path=customXml/itemProps2.xml><?xml version="1.0" encoding="utf-8"?>
<ds:datastoreItem xmlns:ds="http://schemas.openxmlformats.org/officeDocument/2006/customXml" ds:itemID="{C8BF7237-7071-47B9-A7EF-78F803F2012F}"/>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5A10A0D3-D530-4DFD-90A4-9C1049887D34}"/>
</file>

<file path=customXml/itemProps5.xml><?xml version="1.0" encoding="utf-8"?>
<ds:datastoreItem xmlns:ds="http://schemas.openxmlformats.org/officeDocument/2006/customXml" ds:itemID="{D89B33AD-C83F-40C3-8434-FC9225CFD712}"/>
</file>

<file path=docProps/app.xml><?xml version="1.0" encoding="utf-8"?>
<Properties xmlns="http://schemas.openxmlformats.org/officeDocument/2006/extended-properties" xmlns:vt="http://schemas.openxmlformats.org/officeDocument/2006/docPropsVTypes">
  <Template>plantilla-SGF-13.dotm</Template>
  <TotalTime>6</TotalTime>
  <Pages>4</Pages>
  <Words>945</Words>
  <Characters>5202</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Vargas Leal</dc:creator>
  <cp:keywords/>
  <dc:description/>
  <cp:lastModifiedBy>Gabriela Vargas Leal</cp:lastModifiedBy>
  <cp:revision>4</cp:revision>
  <cp:lastPrinted>2015-07-30T22:36:00Z</cp:lastPrinted>
  <dcterms:created xsi:type="dcterms:W3CDTF">2016-05-30T17:02:00Z</dcterms:created>
  <dcterms:modified xsi:type="dcterms:W3CDTF">2016-05-30T20:33:00Z</dcterms:modified>
  <cp:category/>
  <cp:contentStatus>Notificado</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0x010100693E853EF8C1A34581F50C7740010A8B00665458B34368EA438EB6C6D1830E5626</vt:lpwstr>
  </property>
  <property fmtid="{D5CDD505-2E9C-101B-9397-08002B2CF9AE}" pid="3" name="Trámite">
    <vt:lpwstr>Correspondencia saliente</vt:lpwstr>
  </property>
  <property fmtid="{D5CDD505-2E9C-101B-9397-08002B2CF9AE}" pid="4" name="%Avance">
    <vt:r8>1</vt:r8>
  </property>
  <property fmtid="{D5CDD505-2E9C-101B-9397-08002B2CF9AE}" pid="5" name="Externo?">
    <vt:bool>true</vt:bool>
  </property>
  <property fmtid="{D5CDD505-2E9C-101B-9397-08002B2CF9AE}" pid="6" name="Con copia">
    <vt:lpwstr/>
  </property>
  <property fmtid="{D5CDD505-2E9C-101B-9397-08002B2CF9AE}" pid="7" name="Días seguimiento">
    <vt:lpwstr/>
  </property>
  <property fmtid="{D5CDD505-2E9C-101B-9397-08002B2CF9AE}" pid="8" name="Tipo de envío">
    <vt:lpwstr/>
  </property>
  <property fmtid="{D5CDD505-2E9C-101B-9397-08002B2CF9AE}" pid="9" name="Fecha Notificado">
    <vt:lpwstr/>
  </property>
  <property fmtid="{D5CDD505-2E9C-101B-9397-08002B2CF9AE}" pid="10" name="N°Oficio">
    <vt:lpwstr>R-1764-2016 </vt:lpwstr>
  </property>
  <property fmtid="{D5CDD505-2E9C-101B-9397-08002B2CF9AE}" pid="11" name="Firmantes">
    <vt:lpwstr/>
  </property>
  <property fmtid="{D5CDD505-2E9C-101B-9397-08002B2CF9AE}" pid="12" name="Seguimiento?">
    <vt:lpwstr>false</vt:lpwstr>
  </property>
  <property fmtid="{D5CDD505-2E9C-101B-9397-08002B2CF9AE}" pid="13" name="Copiado a">
    <vt:lpwstr/>
  </property>
</Properties>
</file>