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567" w:rsidRPr="00904E49" w:rsidRDefault="00653567">
      <w:pPr>
        <w:rPr>
          <w:rFonts w:ascii="Cambria" w:hAnsi="Cambria"/>
          <w:sz w:val="24"/>
          <w:szCs w:val="24"/>
        </w:rPr>
      </w:pPr>
    </w:p>
    <w:p w:rsidR="00144283" w:rsidRDefault="00144283">
      <w:pPr>
        <w:rPr>
          <w:rFonts w:ascii="Cambria" w:hAnsi="Cambria"/>
          <w:sz w:val="24"/>
          <w:szCs w:val="24"/>
        </w:rPr>
      </w:pPr>
    </w:p>
    <w:p w:rsidR="002D3B69" w:rsidRPr="002D3B69" w:rsidRDefault="002D3B69">
      <w:pPr>
        <w:rPr>
          <w:rFonts w:ascii="Cambria" w:hAnsi="Cambria"/>
          <w:b/>
          <w:sz w:val="24"/>
          <w:szCs w:val="24"/>
        </w:rPr>
      </w:pPr>
      <w:r w:rsidRPr="002D3B69">
        <w:rPr>
          <w:rFonts w:ascii="Cambria" w:hAnsi="Cambria"/>
          <w:b/>
          <w:sz w:val="24"/>
          <w:szCs w:val="24"/>
        </w:rPr>
        <w:t>Firmantes</w:t>
      </w:r>
    </w:p>
    <w:p w:rsidR="002D3B69" w:rsidRDefault="002D3B69">
      <w:pPr>
        <w:rPr>
          <w:rFonts w:ascii="Cambria" w:hAnsi="Cambria"/>
          <w:sz w:val="24"/>
          <w:szCs w:val="24"/>
        </w:rPr>
      </w:pPr>
    </w:p>
    <w:p w:rsidR="002D3B69" w:rsidRDefault="002D3B69" w:rsidP="002D3B69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Los autorizados a firmar la información de la clase de datos Legitimación de Capitales con Base en Riesgos, son los indicados en la siguiente tabla:</w:t>
      </w:r>
    </w:p>
    <w:p w:rsidR="002D3B69" w:rsidRPr="00904E49" w:rsidRDefault="002D3B69">
      <w:pPr>
        <w:rPr>
          <w:rFonts w:ascii="Cambria" w:hAnsi="Cambria"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7"/>
        <w:gridCol w:w="4395"/>
      </w:tblGrid>
      <w:tr w:rsidR="00904E49" w:rsidRPr="00904E49" w:rsidTr="00904E49">
        <w:trPr>
          <w:trHeight w:val="422"/>
        </w:trPr>
        <w:tc>
          <w:tcPr>
            <w:tcW w:w="4247" w:type="dxa"/>
            <w:shd w:val="clear" w:color="auto" w:fill="D9D9D9" w:themeFill="background1" w:themeFillShade="D9"/>
          </w:tcPr>
          <w:p w:rsidR="00904E49" w:rsidRPr="00904E49" w:rsidRDefault="002D3B69" w:rsidP="002D3B69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Titular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904E49" w:rsidRPr="00904E49" w:rsidRDefault="002D3B69" w:rsidP="00904E49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Suplentes</w:t>
            </w:r>
          </w:p>
        </w:tc>
      </w:tr>
      <w:tr w:rsidR="00904E49" w:rsidRPr="00904E49" w:rsidTr="00904E49">
        <w:tc>
          <w:tcPr>
            <w:tcW w:w="4247" w:type="dxa"/>
          </w:tcPr>
          <w:p w:rsidR="00904E49" w:rsidRPr="00904E49" w:rsidRDefault="002D3B69" w:rsidP="00904E4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Gerente General (código 12)</w:t>
            </w:r>
          </w:p>
        </w:tc>
        <w:tc>
          <w:tcPr>
            <w:tcW w:w="4395" w:type="dxa"/>
          </w:tcPr>
          <w:p w:rsidR="00904E49" w:rsidRPr="00904E49" w:rsidRDefault="002D3B69" w:rsidP="00904E4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Subgerente (código 16)</w:t>
            </w:r>
          </w:p>
        </w:tc>
      </w:tr>
      <w:tr w:rsidR="00904E49" w:rsidRPr="00904E49" w:rsidTr="00904E49">
        <w:tc>
          <w:tcPr>
            <w:tcW w:w="4247" w:type="dxa"/>
          </w:tcPr>
          <w:p w:rsidR="00904E49" w:rsidRPr="00904E49" w:rsidRDefault="00904E49" w:rsidP="00904E4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395" w:type="dxa"/>
          </w:tcPr>
          <w:p w:rsidR="00904E49" w:rsidRPr="00904E49" w:rsidRDefault="002D3B69" w:rsidP="00904E4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Gerente (código 15)</w:t>
            </w:r>
          </w:p>
        </w:tc>
      </w:tr>
      <w:tr w:rsidR="00904E49" w:rsidRPr="00904E49" w:rsidTr="00904E49">
        <w:tc>
          <w:tcPr>
            <w:tcW w:w="4247" w:type="dxa"/>
          </w:tcPr>
          <w:p w:rsidR="00904E49" w:rsidRPr="00904E49" w:rsidRDefault="00904E49" w:rsidP="00904E4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395" w:type="dxa"/>
          </w:tcPr>
          <w:p w:rsidR="00904E49" w:rsidRPr="00904E49" w:rsidRDefault="002D3B69" w:rsidP="00904E4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Gerente a.i. (código 14)</w:t>
            </w:r>
          </w:p>
        </w:tc>
      </w:tr>
      <w:tr w:rsidR="00904E49" w:rsidRPr="00904E49" w:rsidTr="00904E49">
        <w:tc>
          <w:tcPr>
            <w:tcW w:w="4247" w:type="dxa"/>
          </w:tcPr>
          <w:p w:rsidR="00904E49" w:rsidRPr="00904E49" w:rsidRDefault="00904E49" w:rsidP="00904E4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395" w:type="dxa"/>
          </w:tcPr>
          <w:p w:rsidR="00904E49" w:rsidRPr="00904E49" w:rsidRDefault="002D3B69" w:rsidP="00904E4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Sugerente General (código 13)</w:t>
            </w:r>
          </w:p>
        </w:tc>
      </w:tr>
    </w:tbl>
    <w:p w:rsidR="00144283" w:rsidRPr="00904E49" w:rsidRDefault="00144283">
      <w:pPr>
        <w:rPr>
          <w:rFonts w:ascii="Cambria" w:hAnsi="Cambria"/>
          <w:sz w:val="24"/>
          <w:szCs w:val="24"/>
        </w:rPr>
      </w:pPr>
    </w:p>
    <w:sectPr w:rsidR="00144283" w:rsidRPr="00904E4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01A" w:rsidRDefault="00AD101A" w:rsidP="00AD101A">
      <w:pPr>
        <w:spacing w:after="0" w:line="240" w:lineRule="auto"/>
      </w:pPr>
      <w:r>
        <w:separator/>
      </w:r>
    </w:p>
  </w:endnote>
  <w:endnote w:type="continuationSeparator" w:id="0">
    <w:p w:rsidR="00AD101A" w:rsidRDefault="00AD101A" w:rsidP="00AD1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1A" w:rsidRDefault="00AD101A">
    <w:pPr>
      <w:pStyle w:val="Piedepgina"/>
    </w:pPr>
  </w:p>
  <w:tbl>
    <w:tblPr>
      <w:tblW w:w="9018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4"/>
      <w:gridCol w:w="1980"/>
      <w:gridCol w:w="1980"/>
      <w:gridCol w:w="2654"/>
    </w:tblGrid>
    <w:tr w:rsidR="00AD101A" w:rsidTr="0032603E">
      <w:trPr>
        <w:trHeight w:val="546"/>
        <w:jc w:val="center"/>
      </w:trPr>
      <w:tc>
        <w:tcPr>
          <w:tcW w:w="2404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AD101A" w:rsidRDefault="00AD101A" w:rsidP="00AD101A">
          <w:pPr>
            <w:pStyle w:val="Piedepgina"/>
            <w:jc w:val="both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bCs/>
              <w:sz w:val="16"/>
            </w:rPr>
            <w:t>Teléfono</w:t>
          </w:r>
          <w:r>
            <w:rPr>
              <w:rFonts w:ascii="Arial" w:hAnsi="Arial"/>
              <w:sz w:val="16"/>
            </w:rPr>
            <w:t xml:space="preserve">   (506) 2243-4848</w:t>
          </w:r>
        </w:p>
        <w:p w:rsidR="00AD101A" w:rsidRDefault="00AD101A" w:rsidP="00AD101A">
          <w:pPr>
            <w:pStyle w:val="Piedepgina"/>
            <w:jc w:val="both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bCs/>
              <w:sz w:val="16"/>
            </w:rPr>
            <w:t>Facsímile</w:t>
          </w:r>
          <w:r>
            <w:rPr>
              <w:rFonts w:ascii="Arial" w:hAnsi="Arial"/>
              <w:sz w:val="16"/>
            </w:rPr>
            <w:t xml:space="preserve">  (506) 2243-4849</w:t>
          </w:r>
        </w:p>
      </w:tc>
      <w:tc>
        <w:tcPr>
          <w:tcW w:w="198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AD101A" w:rsidRDefault="00AD101A" w:rsidP="00AD101A">
          <w:pPr>
            <w:pStyle w:val="Piedepgina"/>
            <w:ind w:left="189"/>
            <w:jc w:val="both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bCs/>
              <w:sz w:val="16"/>
            </w:rPr>
            <w:t>Apartado</w:t>
          </w:r>
          <w:r>
            <w:rPr>
              <w:rFonts w:ascii="Arial" w:hAnsi="Arial"/>
              <w:sz w:val="16"/>
            </w:rPr>
            <w:t xml:space="preserve"> 2762-1000</w:t>
          </w:r>
        </w:p>
        <w:p w:rsidR="00AD101A" w:rsidRDefault="00AD101A" w:rsidP="00AD101A">
          <w:pPr>
            <w:pStyle w:val="Piedepgina"/>
            <w:ind w:left="189"/>
            <w:jc w:val="both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San José, Costa Rica</w:t>
          </w:r>
        </w:p>
      </w:tc>
      <w:tc>
        <w:tcPr>
          <w:tcW w:w="198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AD101A" w:rsidRDefault="00AD101A" w:rsidP="00AD101A">
          <w:pPr>
            <w:pStyle w:val="Piedepgina"/>
            <w:ind w:left="188"/>
            <w:jc w:val="both"/>
            <w:rPr>
              <w:rFonts w:ascii="Arial" w:hAnsi="Arial"/>
              <w:b/>
              <w:bCs/>
              <w:sz w:val="16"/>
            </w:rPr>
          </w:pPr>
          <w:r>
            <w:rPr>
              <w:rFonts w:ascii="Arial" w:hAnsi="Arial"/>
              <w:b/>
              <w:bCs/>
              <w:sz w:val="16"/>
            </w:rPr>
            <w:t>Correo electrónico:</w:t>
          </w:r>
        </w:p>
        <w:p w:rsidR="00AD101A" w:rsidRDefault="00AD101A" w:rsidP="00AD101A">
          <w:pPr>
            <w:pStyle w:val="Piedepgina"/>
            <w:ind w:left="188"/>
            <w:jc w:val="both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sugefcr@sugef.fi.cr</w:t>
          </w:r>
        </w:p>
      </w:tc>
      <w:tc>
        <w:tcPr>
          <w:tcW w:w="2654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:rsidR="00AD101A" w:rsidRDefault="00AD101A" w:rsidP="00AD101A">
          <w:pPr>
            <w:pStyle w:val="Piedepgina"/>
            <w:ind w:left="188"/>
            <w:jc w:val="both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bCs/>
              <w:sz w:val="16"/>
            </w:rPr>
            <w:t>Internet:</w:t>
          </w:r>
          <w:r>
            <w:rPr>
              <w:rFonts w:ascii="Arial" w:hAnsi="Arial"/>
              <w:sz w:val="16"/>
            </w:rPr>
            <w:t xml:space="preserve"> www.sugef.fi.cr</w:t>
          </w:r>
        </w:p>
        <w:p w:rsidR="00AD101A" w:rsidRDefault="00AD101A" w:rsidP="00AD101A">
          <w:pPr>
            <w:pStyle w:val="Piedepgina"/>
            <w:ind w:left="188"/>
            <w:jc w:val="both"/>
            <w:rPr>
              <w:rFonts w:ascii="Arial" w:hAnsi="Arial"/>
              <w:sz w:val="16"/>
            </w:rPr>
          </w:pPr>
        </w:p>
      </w:tc>
    </w:tr>
  </w:tbl>
  <w:p w:rsidR="00AD101A" w:rsidRDefault="00AD101A">
    <w:pPr>
      <w:pStyle w:val="Piedepgina"/>
    </w:pPr>
  </w:p>
  <w:p w:rsidR="00AD101A" w:rsidRDefault="00AD101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01A" w:rsidRDefault="00AD101A" w:rsidP="00AD101A">
      <w:pPr>
        <w:spacing w:after="0" w:line="240" w:lineRule="auto"/>
      </w:pPr>
      <w:r>
        <w:separator/>
      </w:r>
    </w:p>
  </w:footnote>
  <w:footnote w:type="continuationSeparator" w:id="0">
    <w:p w:rsidR="00AD101A" w:rsidRDefault="00AD101A" w:rsidP="00AD1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1A" w:rsidRDefault="00AD101A" w:rsidP="00AD101A">
    <w:pPr>
      <w:pBdr>
        <w:bottom w:val="single" w:sz="4" w:space="3" w:color="auto"/>
      </w:pBdr>
      <w:tabs>
        <w:tab w:val="center" w:pos="4320"/>
        <w:tab w:val="right" w:pos="8640"/>
      </w:tabs>
      <w:ind w:right="-1"/>
      <w:jc w:val="center"/>
    </w:pPr>
    <w:r w:rsidRPr="007C4B63">
      <w:rPr>
        <w:noProof/>
        <w:lang w:eastAsia="es-ES"/>
      </w:rPr>
      <w:drawing>
        <wp:inline distT="0" distB="0" distL="0" distR="0" wp14:anchorId="3CB22C56" wp14:editId="1A5BB87C">
          <wp:extent cx="1085850" cy="685800"/>
          <wp:effectExtent l="0" t="0" r="0" b="0"/>
          <wp:docPr id="2" name="Imagen 2" descr="Descripción: SUG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 descr="Descripción: SUGE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54793">
      <w:rPr>
        <w:lang w:eastAsia="es-ES"/>
      </w:rPr>
      <w:t xml:space="preserve"> </w:t>
    </w:r>
    <w:r w:rsidRPr="00954793">
      <w:rPr>
        <w:rFonts w:ascii="Arial" w:hAnsi="Arial"/>
        <w:b/>
        <w:lang w:eastAsia="es-ES"/>
      </w:rPr>
      <w:t>SUPERINTENDENCIA GENERAL DE ENTIDADES FINANCIERAS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853"/>
    <w:rsid w:val="00144283"/>
    <w:rsid w:val="002D3B69"/>
    <w:rsid w:val="003E2DC6"/>
    <w:rsid w:val="00653567"/>
    <w:rsid w:val="00904E49"/>
    <w:rsid w:val="00AD101A"/>
    <w:rsid w:val="00EB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5F1261C-7BBA-4BF0-84EB-A61249994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10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101A"/>
  </w:style>
  <w:style w:type="paragraph" w:styleId="Piedepgina">
    <w:name w:val="footer"/>
    <w:basedOn w:val="Normal"/>
    <w:link w:val="PiedepginaCar"/>
    <w:uiPriority w:val="99"/>
    <w:unhideWhenUsed/>
    <w:rsid w:val="00AD10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101A"/>
  </w:style>
  <w:style w:type="table" w:styleId="Tablaconcuadrcula">
    <w:name w:val="Table Grid"/>
    <w:basedOn w:val="Tablanormal"/>
    <w:uiPriority w:val="39"/>
    <w:rsid w:val="00904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0772893-D0BA-4539-A88C-FD9BD1250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PIRITA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Milady Vargas Olivares</dc:creator>
  <cp:keywords/>
  <dc:description/>
  <cp:lastModifiedBy>Milady Vargas Olivares</cp:lastModifiedBy>
  <cp:revision>3</cp:revision>
  <dcterms:created xsi:type="dcterms:W3CDTF">2015-03-23T17:56:00Z</dcterms:created>
  <dcterms:modified xsi:type="dcterms:W3CDTF">2015-03-23T19:54:00Z</dcterms:modified>
</cp:coreProperties>
</file>