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70082" w:rsidR="00206FF9" w:rsidP="00206FF9" w:rsidRDefault="00206FF9" w14:paraId="393F70CD" w14:textId="77777777">
      <w:pPr>
        <w:pStyle w:val="Texto0"/>
        <w:spacing w:before="0" w:after="0" w:line="240" w:lineRule="auto"/>
        <w:jc w:val="center"/>
        <w:rPr>
          <w:b/>
          <w:sz w:val="24"/>
        </w:rPr>
      </w:pPr>
      <w:r w:rsidRPr="00C70082">
        <w:rPr>
          <w:b/>
          <w:sz w:val="24"/>
        </w:rPr>
        <w:t>CIRCULAR EXTERNA</w:t>
      </w:r>
    </w:p>
    <w:p w:rsidRPr="00C70082" w:rsidR="00206FF9" w:rsidP="00206FF9" w:rsidRDefault="00206FF9" w14:paraId="51D742C3" w14:textId="77777777">
      <w:pPr>
        <w:pStyle w:val="Texto0"/>
        <w:spacing w:before="0" w:after="0" w:line="240" w:lineRule="auto"/>
        <w:jc w:val="center"/>
        <w:rPr>
          <w:b/>
          <w:sz w:val="24"/>
        </w:rPr>
      </w:pPr>
    </w:p>
    <w:p w:rsidRPr="00C967C9" w:rsidR="003554C5" w:rsidP="00206FF9" w:rsidRDefault="00C967C9" w14:paraId="4A2907F5" w14:textId="2C68EDBA">
      <w:pPr>
        <w:pStyle w:val="Texto0"/>
        <w:spacing w:before="0" w:after="0" w:line="240" w:lineRule="auto"/>
        <w:jc w:val="center"/>
        <w:rPr>
          <w:sz w:val="24"/>
        </w:rPr>
      </w:pPr>
      <w:r>
        <w:rPr>
          <w:sz w:val="24"/>
        </w:rPr>
        <w:t>18</w:t>
      </w:r>
      <w:bookmarkStart w:name="_GoBack" w:id="0"/>
      <w:bookmarkEnd w:id="0"/>
      <w:r w:rsidRPr="00C967C9" w:rsidR="00206FF9">
        <w:rPr>
          <w:sz w:val="24"/>
        </w:rPr>
        <w:t xml:space="preserve"> de diciembre del 2018</w:t>
      </w:r>
    </w:p>
    <w:sdt>
      <w:sdtPr>
        <w:rPr>
          <w:sz w:val="24"/>
        </w:rPr>
        <w:alias w:val="Consecutivo"/>
        <w:tag w:val="Consecutivo"/>
        <w:id w:val="2052717023"/>
        <w:placeholder>
          <w:docPart w:val="7F8293CECE1E45738987F45C87D3F644"/>
        </w:placeholder>
        <w:text/>
      </w:sdtPr>
      <w:sdtEndPr/>
      <w:sdtContent>
        <w:p w:rsidRPr="00C967C9" w:rsidR="00E0013C" w:rsidP="00206FF9" w:rsidRDefault="00DB7D64" w14:paraId="23232908" w14:textId="77777777">
          <w:pPr>
            <w:tabs>
              <w:tab w:val="left" w:pos="2843"/>
            </w:tabs>
            <w:spacing w:line="240" w:lineRule="auto"/>
            <w:jc w:val="center"/>
            <w:rPr>
              <w:sz w:val="24"/>
            </w:rPr>
          </w:pPr>
          <w:r>
            <w:t>SGF-3888-2018</w:t>
          </w:r>
        </w:p>
      </w:sdtContent>
    </w:sdt>
    <w:p w:rsidRPr="00C70082" w:rsidR="00581FF9" w:rsidP="003624FD" w:rsidRDefault="00C967C9" w14:paraId="4B1CAA81" w14:textId="6C15FB57">
      <w:pPr>
        <w:tabs>
          <w:tab w:val="left" w:pos="2843"/>
        </w:tabs>
        <w:spacing w:line="240" w:lineRule="auto"/>
        <w:jc w:val="center"/>
        <w:rPr>
          <w:sz w:val="24"/>
        </w:rPr>
      </w:pPr>
      <w:sdt>
        <w:sdtPr>
          <w:rPr>
            <w:b/>
            <w:sz w:val="24"/>
          </w:rPr>
          <w:alias w:val="Confidencialidad"/>
          <w:tag w:val="Confidencialidad"/>
          <w:id w:val="1447896894"/>
          <w:placeholder>
            <w:docPart w:val="062F3BA858B8429B9019A5F2072DD415"/>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C70082" w:rsidR="00C526D3">
            <w:rPr>
              <w:b/>
              <w:sz w:val="24"/>
            </w:rPr>
            <w:t>SGF-PUBLICO</w:t>
          </w:r>
        </w:sdtContent>
      </w:sdt>
    </w:p>
    <w:p w:rsidR="00C70082" w:rsidP="001E6AE9" w:rsidRDefault="00C70082" w14:paraId="7CF03421" w14:textId="77777777">
      <w:pPr>
        <w:widowControl w:val="0"/>
        <w:spacing w:line="240" w:lineRule="auto"/>
        <w:ind w:left="34" w:right="86"/>
        <w:rPr>
          <w:b/>
          <w:sz w:val="24"/>
          <w:lang w:val="es-CR"/>
        </w:rPr>
      </w:pPr>
    </w:p>
    <w:p w:rsidR="00C70082" w:rsidP="001E6AE9" w:rsidRDefault="00C70082" w14:paraId="34AC757D" w14:textId="77777777">
      <w:pPr>
        <w:widowControl w:val="0"/>
        <w:spacing w:line="240" w:lineRule="auto"/>
        <w:ind w:left="34" w:right="86"/>
        <w:rPr>
          <w:b/>
          <w:sz w:val="24"/>
          <w:lang w:val="es-CR"/>
        </w:rPr>
      </w:pPr>
    </w:p>
    <w:p w:rsidR="00C70082" w:rsidP="001E6AE9" w:rsidRDefault="00C70082" w14:paraId="4011F3C4" w14:textId="77777777">
      <w:pPr>
        <w:widowControl w:val="0"/>
        <w:spacing w:line="240" w:lineRule="auto"/>
        <w:ind w:left="34" w:right="86"/>
        <w:rPr>
          <w:b/>
          <w:sz w:val="24"/>
          <w:lang w:val="es-CR"/>
        </w:rPr>
      </w:pPr>
    </w:p>
    <w:p w:rsidRPr="00C70082" w:rsidR="001E6AE9" w:rsidP="001E6AE9" w:rsidRDefault="001E6AE9" w14:paraId="05F45B5F" w14:textId="77777777">
      <w:pPr>
        <w:widowControl w:val="0"/>
        <w:spacing w:line="240" w:lineRule="auto"/>
        <w:ind w:left="34" w:right="86"/>
        <w:rPr>
          <w:b/>
          <w:sz w:val="24"/>
          <w:lang w:val="es-CR"/>
        </w:rPr>
      </w:pPr>
      <w:r w:rsidRPr="00C70082">
        <w:rPr>
          <w:b/>
          <w:sz w:val="24"/>
          <w:lang w:val="es-CR"/>
        </w:rPr>
        <w:t>Dirigida a:</w:t>
      </w:r>
    </w:p>
    <w:p w:rsidRPr="00C70082" w:rsidR="001E6AE9" w:rsidP="001E6AE9" w:rsidRDefault="001E6AE9" w14:paraId="0A620476" w14:textId="77777777">
      <w:pPr>
        <w:pStyle w:val="NormalWeb"/>
        <w:spacing w:before="0" w:beforeAutospacing="0" w:after="0" w:afterAutospacing="0"/>
        <w:jc w:val="both"/>
        <w:rPr>
          <w:rFonts w:ascii="Cambria" w:hAnsi="Cambria"/>
          <w:b/>
          <w:sz w:val="24"/>
          <w:szCs w:val="24"/>
          <w:lang w:val="es-CR"/>
        </w:rPr>
      </w:pPr>
    </w:p>
    <w:p w:rsidRPr="00C70082" w:rsidR="0071617D" w:rsidP="0071617D" w:rsidRDefault="0071617D" w14:paraId="1BFD4910" w14:textId="77777777">
      <w:pPr>
        <w:widowControl w:val="0"/>
        <w:numPr>
          <w:ilvl w:val="0"/>
          <w:numId w:val="13"/>
        </w:numPr>
        <w:spacing w:after="200" w:line="240" w:lineRule="auto"/>
        <w:ind w:left="567" w:right="86" w:hanging="567"/>
        <w:contextualSpacing/>
        <w:rPr>
          <w:b/>
          <w:sz w:val="24"/>
          <w:lang w:val="es-CR" w:eastAsia="es-ES"/>
        </w:rPr>
      </w:pPr>
      <w:r w:rsidRPr="00C70082">
        <w:rPr>
          <w:sz w:val="24"/>
          <w:lang w:val="es-CR"/>
        </w:rPr>
        <w:t>Bancos comerciales del Estado.</w:t>
      </w:r>
    </w:p>
    <w:p w:rsidRPr="00C70082" w:rsidR="0071617D" w:rsidP="0071617D" w:rsidRDefault="0071617D" w14:paraId="5EE8A674" w14:textId="77777777">
      <w:pPr>
        <w:widowControl w:val="0"/>
        <w:numPr>
          <w:ilvl w:val="0"/>
          <w:numId w:val="13"/>
        </w:numPr>
        <w:spacing w:after="200" w:line="240" w:lineRule="auto"/>
        <w:ind w:left="567" w:right="86" w:hanging="567"/>
        <w:contextualSpacing/>
        <w:rPr>
          <w:b/>
          <w:sz w:val="24"/>
          <w:lang w:val="es-CR" w:eastAsia="es-ES"/>
        </w:rPr>
      </w:pPr>
      <w:r w:rsidRPr="00C70082">
        <w:rPr>
          <w:sz w:val="24"/>
          <w:lang w:val="es-CR"/>
        </w:rPr>
        <w:t>Bancos Creados por leyes especiales.</w:t>
      </w:r>
    </w:p>
    <w:p w:rsidRPr="00C70082" w:rsidR="0071617D" w:rsidP="0071617D" w:rsidRDefault="0071617D" w14:paraId="1E46A076" w14:textId="77777777">
      <w:pPr>
        <w:widowControl w:val="0"/>
        <w:numPr>
          <w:ilvl w:val="0"/>
          <w:numId w:val="13"/>
        </w:numPr>
        <w:spacing w:after="200" w:line="240" w:lineRule="auto"/>
        <w:ind w:left="567" w:right="86" w:hanging="567"/>
        <w:contextualSpacing/>
        <w:rPr>
          <w:b/>
          <w:sz w:val="24"/>
          <w:lang w:val="es-CR" w:eastAsia="es-ES"/>
        </w:rPr>
      </w:pPr>
      <w:r w:rsidRPr="00C70082">
        <w:rPr>
          <w:sz w:val="24"/>
          <w:lang w:val="es-CR"/>
        </w:rPr>
        <w:t>Bancos Privados.</w:t>
      </w:r>
    </w:p>
    <w:p w:rsidRPr="00C70082" w:rsidR="0071617D" w:rsidP="0071617D" w:rsidRDefault="0071617D" w14:paraId="16868D0F" w14:textId="77777777">
      <w:pPr>
        <w:widowControl w:val="0"/>
        <w:numPr>
          <w:ilvl w:val="0"/>
          <w:numId w:val="13"/>
        </w:numPr>
        <w:spacing w:after="200" w:line="240" w:lineRule="auto"/>
        <w:ind w:left="567" w:right="86" w:hanging="567"/>
        <w:contextualSpacing/>
        <w:rPr>
          <w:b/>
          <w:sz w:val="24"/>
          <w:lang w:val="es-CR" w:eastAsia="es-ES"/>
        </w:rPr>
      </w:pPr>
      <w:r w:rsidRPr="00C70082">
        <w:rPr>
          <w:sz w:val="24"/>
          <w:lang w:val="es-CR"/>
        </w:rPr>
        <w:t>Empresas Financieras no bancarias.</w:t>
      </w:r>
    </w:p>
    <w:p w:rsidRPr="00C70082" w:rsidR="0071617D" w:rsidP="0071617D" w:rsidRDefault="0071617D" w14:paraId="42DE4926" w14:textId="77777777">
      <w:pPr>
        <w:widowControl w:val="0"/>
        <w:numPr>
          <w:ilvl w:val="0"/>
          <w:numId w:val="13"/>
        </w:numPr>
        <w:spacing w:after="200" w:line="240" w:lineRule="auto"/>
        <w:ind w:left="567" w:right="86" w:hanging="567"/>
        <w:contextualSpacing/>
        <w:rPr>
          <w:b/>
          <w:sz w:val="24"/>
          <w:lang w:val="es-CR" w:eastAsia="es-ES"/>
        </w:rPr>
      </w:pPr>
      <w:r w:rsidRPr="00C70082">
        <w:rPr>
          <w:sz w:val="24"/>
          <w:lang w:val="es-CR"/>
        </w:rPr>
        <w:t>Otras entidades financieras.</w:t>
      </w:r>
    </w:p>
    <w:p w:rsidRPr="00C70082" w:rsidR="0071617D" w:rsidP="0071617D" w:rsidRDefault="0071617D" w14:paraId="64A90255" w14:textId="0FF9F8F0">
      <w:pPr>
        <w:widowControl w:val="0"/>
        <w:numPr>
          <w:ilvl w:val="0"/>
          <w:numId w:val="13"/>
        </w:numPr>
        <w:spacing w:after="200" w:line="240" w:lineRule="auto"/>
        <w:ind w:left="567" w:right="86" w:hanging="567"/>
        <w:contextualSpacing/>
        <w:rPr>
          <w:b/>
          <w:sz w:val="24"/>
          <w:lang w:val="es-CR" w:eastAsia="es-ES"/>
        </w:rPr>
      </w:pPr>
      <w:r w:rsidRPr="00C70082">
        <w:rPr>
          <w:sz w:val="24"/>
          <w:lang w:val="es-CR"/>
        </w:rPr>
        <w:t>Organizaciones cooperativas de ahorro y crédito.</w:t>
      </w:r>
    </w:p>
    <w:p w:rsidRPr="00C70082" w:rsidR="0071617D" w:rsidP="0071617D" w:rsidRDefault="0071617D" w14:paraId="42CB5451" w14:textId="03CFB7BA">
      <w:pPr>
        <w:widowControl w:val="0"/>
        <w:numPr>
          <w:ilvl w:val="0"/>
          <w:numId w:val="13"/>
        </w:numPr>
        <w:spacing w:after="200" w:line="240" w:lineRule="auto"/>
        <w:ind w:left="567" w:right="86" w:hanging="567"/>
        <w:contextualSpacing/>
        <w:rPr>
          <w:b/>
          <w:sz w:val="24"/>
          <w:lang w:val="es-CR" w:eastAsia="es-ES"/>
        </w:rPr>
      </w:pPr>
      <w:r w:rsidRPr="00C70082">
        <w:rPr>
          <w:sz w:val="24"/>
          <w:lang w:val="es-CR"/>
        </w:rPr>
        <w:t>Entidades autorizadas del Sistema Financiero Nacional para la vivienda.</w:t>
      </w:r>
    </w:p>
    <w:p w:rsidRPr="00C70082" w:rsidR="001E6AE9" w:rsidP="001E6AE9" w:rsidRDefault="001E6AE9" w14:paraId="6D30907B" w14:textId="52C8184F">
      <w:pPr>
        <w:widowControl w:val="0"/>
        <w:numPr>
          <w:ilvl w:val="0"/>
          <w:numId w:val="13"/>
        </w:numPr>
        <w:spacing w:after="200" w:line="240" w:lineRule="auto"/>
        <w:ind w:left="567" w:right="86" w:hanging="567"/>
        <w:contextualSpacing/>
        <w:rPr>
          <w:b/>
          <w:sz w:val="24"/>
          <w:lang w:val="es-CR" w:eastAsia="es-ES"/>
        </w:rPr>
      </w:pPr>
      <w:r w:rsidRPr="00C70082">
        <w:rPr>
          <w:sz w:val="24"/>
          <w:lang w:val="es-CR"/>
        </w:rPr>
        <w:t>Operadores Financieros del SBD</w:t>
      </w:r>
      <w:r w:rsidRPr="00C70082" w:rsidR="0071617D">
        <w:rPr>
          <w:sz w:val="24"/>
          <w:lang w:val="es-CR"/>
        </w:rPr>
        <w:t>.</w:t>
      </w:r>
    </w:p>
    <w:p w:rsidRPr="00C70082" w:rsidR="001E6AE9" w:rsidP="001E6AE9" w:rsidRDefault="001E6AE9" w14:paraId="256A5BB2" w14:textId="77777777">
      <w:pPr>
        <w:spacing w:line="240" w:lineRule="auto"/>
        <w:rPr>
          <w:sz w:val="24"/>
          <w:lang w:val="es-CR"/>
        </w:rPr>
      </w:pPr>
    </w:p>
    <w:p w:rsidR="00C70082" w:rsidP="001E6AE9" w:rsidRDefault="00C70082" w14:paraId="1A5076F4" w14:textId="0E107843">
      <w:pPr>
        <w:spacing w:line="240" w:lineRule="auto"/>
        <w:rPr>
          <w:sz w:val="24"/>
          <w:lang w:val="es-CR"/>
        </w:rPr>
      </w:pPr>
    </w:p>
    <w:p w:rsidRPr="00C70082" w:rsidR="00C70082" w:rsidP="001E6AE9" w:rsidRDefault="00C70082" w14:paraId="1DD1A0BF" w14:textId="77777777">
      <w:pPr>
        <w:spacing w:line="240" w:lineRule="auto"/>
        <w:rPr>
          <w:sz w:val="24"/>
          <w:lang w:val="es-CR"/>
        </w:rPr>
      </w:pPr>
    </w:p>
    <w:p w:rsidRPr="00C70082" w:rsidR="001E6AE9" w:rsidP="001E6AE9" w:rsidRDefault="001E6AE9" w14:paraId="7C4C8B9C" w14:textId="77777777">
      <w:pPr>
        <w:spacing w:line="240" w:lineRule="auto"/>
        <w:ind w:left="993" w:hanging="993"/>
        <w:rPr>
          <w:bCs/>
          <w:sz w:val="24"/>
          <w:lang w:val="es-CR"/>
        </w:rPr>
      </w:pPr>
      <w:r w:rsidRPr="00C70082">
        <w:rPr>
          <w:b/>
          <w:bCs/>
          <w:sz w:val="24"/>
          <w:lang w:val="es-CR"/>
        </w:rPr>
        <w:t>Asunto</w:t>
      </w:r>
      <w:r w:rsidRPr="00C70082">
        <w:rPr>
          <w:bCs/>
          <w:sz w:val="24"/>
          <w:lang w:val="es-CR"/>
        </w:rPr>
        <w:t>:</w:t>
      </w:r>
      <w:r w:rsidRPr="00C70082">
        <w:rPr>
          <w:bCs/>
          <w:sz w:val="24"/>
          <w:lang w:val="es-CR"/>
        </w:rPr>
        <w:tab/>
        <w:t>Cierre de autorizaciones del CIC ante incumplimiento de los requisitos establecidos en el Acuerdo SUGEF 7-06 “Reglamento de Centro de Información Crediticia” y en el Manual del Centro de Información Crediticia (CIC).</w:t>
      </w:r>
    </w:p>
    <w:p w:rsidR="001E6AE9" w:rsidP="001E6AE9" w:rsidRDefault="001E6AE9" w14:paraId="1F94D89C" w14:textId="77777777">
      <w:pPr>
        <w:spacing w:line="240" w:lineRule="auto"/>
        <w:ind w:left="993" w:hanging="993"/>
        <w:rPr>
          <w:bCs/>
          <w:sz w:val="24"/>
          <w:lang w:val="es-CR"/>
        </w:rPr>
      </w:pPr>
    </w:p>
    <w:p w:rsidRPr="00C70082" w:rsidR="00C70082" w:rsidP="001E6AE9" w:rsidRDefault="00C70082" w14:paraId="4F6BBAD2" w14:textId="77777777">
      <w:pPr>
        <w:spacing w:line="240" w:lineRule="auto"/>
        <w:ind w:left="993" w:hanging="993"/>
        <w:rPr>
          <w:bCs/>
          <w:sz w:val="24"/>
          <w:lang w:val="es-CR"/>
        </w:rPr>
      </w:pPr>
    </w:p>
    <w:p w:rsidRPr="00C70082" w:rsidR="001E6AE9" w:rsidP="001E6AE9" w:rsidRDefault="001E6AE9" w14:paraId="2A785419" w14:textId="77777777">
      <w:pPr>
        <w:spacing w:line="240" w:lineRule="auto"/>
        <w:rPr>
          <w:b/>
          <w:sz w:val="24"/>
          <w:lang w:val="es-CR"/>
        </w:rPr>
      </w:pPr>
      <w:r w:rsidRPr="00C70082">
        <w:rPr>
          <w:b/>
          <w:sz w:val="24"/>
          <w:lang w:val="es-CR"/>
        </w:rPr>
        <w:t>Considerando que:</w:t>
      </w:r>
    </w:p>
    <w:p w:rsidRPr="00C70082" w:rsidR="001E6AE9" w:rsidP="001E6AE9" w:rsidRDefault="001E6AE9" w14:paraId="653F0B16" w14:textId="77777777">
      <w:pPr>
        <w:spacing w:line="240" w:lineRule="auto"/>
        <w:rPr>
          <w:b/>
          <w:sz w:val="24"/>
          <w:lang w:val="es-CR"/>
        </w:rPr>
      </w:pPr>
    </w:p>
    <w:p w:rsidRPr="00C70082" w:rsidR="001E6AE9" w:rsidP="001E6AE9" w:rsidRDefault="001E6AE9" w14:paraId="3E993A30" w14:textId="77777777">
      <w:pPr>
        <w:numPr>
          <w:ilvl w:val="0"/>
          <w:numId w:val="14"/>
        </w:numPr>
        <w:spacing w:line="240" w:lineRule="auto"/>
        <w:contextualSpacing/>
        <w:rPr>
          <w:rFonts w:eastAsia="MS Mincho"/>
          <w:iCs/>
          <w:color w:val="000000" w:themeColor="text1"/>
          <w:sz w:val="24"/>
          <w:lang w:val="es-CR" w:eastAsia="es-ES"/>
        </w:rPr>
      </w:pPr>
      <w:r w:rsidRPr="00C70082">
        <w:rPr>
          <w:rFonts w:eastAsia="MS Mincho"/>
          <w:iCs/>
          <w:color w:val="000000" w:themeColor="text1"/>
          <w:sz w:val="24"/>
          <w:lang w:val="es-CR" w:eastAsia="es-ES"/>
        </w:rPr>
        <w:t>El 11 de mayo del 2015 fue publicada en el Diario Oficial “La Gaceta” N° 89 la modificación aplicada al Acuerdo SUGEF 7-06 “Reglamento del Centro de Información Crediticia” (Acuerdo del CONASSIF según Artículo 9, del Acta de la Sesión 1162-2015 del 20 de abril del 2015), que estableció, entre otras cosas, eliminar las “Autorizaciones Generales” para consultar la información crediticia de los deudores, las cuales sustituyó por las “Autorizaciones Específicas”, de manera que cada entidad debe contar con una autorización expresa debidamente firmada por el deudor para poder acceder a su reporte crediticio.</w:t>
      </w:r>
    </w:p>
    <w:p w:rsidRPr="00C70082" w:rsidR="001E6AE9" w:rsidP="001E6AE9" w:rsidRDefault="001E6AE9" w14:paraId="175A0C32" w14:textId="77777777">
      <w:pPr>
        <w:spacing w:line="240" w:lineRule="auto"/>
        <w:contextualSpacing/>
        <w:rPr>
          <w:rFonts w:eastAsia="MS Mincho"/>
          <w:iCs/>
          <w:color w:val="000000" w:themeColor="text1"/>
          <w:sz w:val="24"/>
          <w:lang w:val="es-CR" w:eastAsia="es-ES"/>
        </w:rPr>
      </w:pPr>
    </w:p>
    <w:p w:rsidRPr="00C70082" w:rsidR="001E6AE9" w:rsidP="001E6AE9" w:rsidRDefault="001E6AE9" w14:paraId="74929BF3" w14:textId="77777777">
      <w:pPr>
        <w:numPr>
          <w:ilvl w:val="0"/>
          <w:numId w:val="14"/>
        </w:numPr>
        <w:spacing w:line="240" w:lineRule="auto"/>
        <w:contextualSpacing/>
        <w:rPr>
          <w:rFonts w:eastAsia="MS Mincho"/>
          <w:iCs/>
          <w:color w:val="000000" w:themeColor="text1"/>
          <w:sz w:val="24"/>
          <w:lang w:val="es-CR" w:eastAsia="es-ES"/>
        </w:rPr>
      </w:pPr>
      <w:r w:rsidRPr="00C70082">
        <w:rPr>
          <w:rFonts w:eastAsia="MS Mincho"/>
          <w:iCs/>
          <w:color w:val="000000" w:themeColor="text1"/>
          <w:sz w:val="24"/>
          <w:lang w:val="es-CR" w:eastAsia="es-ES"/>
        </w:rPr>
        <w:t>En línea con lo anterior, se realizó un ajuste al Sistema de Centro de Información Crediticia (CIC) para automatizar el proceso mediante el cual las propias entidades, de manera independiente, procesan las autorizaciones para lo cual deben adjuntar los documentos probatorios respectivos.</w:t>
      </w:r>
    </w:p>
    <w:p w:rsidRPr="00C70082" w:rsidR="001E6AE9" w:rsidP="001E6AE9" w:rsidRDefault="001E6AE9" w14:paraId="3775A58D" w14:textId="77777777">
      <w:pPr>
        <w:spacing w:line="240" w:lineRule="auto"/>
        <w:contextualSpacing/>
        <w:rPr>
          <w:rFonts w:eastAsia="MS Mincho"/>
          <w:iCs/>
          <w:color w:val="000000" w:themeColor="text1"/>
          <w:sz w:val="24"/>
          <w:lang w:val="es-CR" w:eastAsia="es-ES"/>
        </w:rPr>
      </w:pPr>
    </w:p>
    <w:p w:rsidRPr="00C70082" w:rsidR="001E6AE9" w:rsidP="001E6AE9" w:rsidRDefault="001E6AE9" w14:paraId="375CD7D5" w14:textId="77777777">
      <w:pPr>
        <w:numPr>
          <w:ilvl w:val="0"/>
          <w:numId w:val="14"/>
        </w:numPr>
        <w:spacing w:line="240" w:lineRule="auto"/>
        <w:contextualSpacing/>
        <w:rPr>
          <w:rFonts w:eastAsia="MS Mincho"/>
          <w:iCs/>
          <w:color w:val="000000" w:themeColor="text1"/>
          <w:sz w:val="24"/>
          <w:lang w:val="es-CR" w:eastAsia="es-ES"/>
        </w:rPr>
      </w:pPr>
      <w:r w:rsidRPr="00C70082">
        <w:rPr>
          <w:rFonts w:eastAsia="MS Mincho"/>
          <w:iCs/>
          <w:color w:val="000000" w:themeColor="text1"/>
          <w:sz w:val="24"/>
          <w:lang w:val="es-CR" w:eastAsia="es-ES"/>
        </w:rPr>
        <w:t xml:space="preserve">En el artículo 8 del </w:t>
      </w:r>
      <w:r w:rsidRPr="00C70082">
        <w:rPr>
          <w:bCs/>
          <w:sz w:val="24"/>
          <w:lang w:val="es-CR"/>
        </w:rPr>
        <w:t>Acuerdo SUGEF 7-06 “Reglamento de Centro de Información Crediticia”, se establece el procedimiento para autorizaciones y revocatorias en el CIC. Específicamente se indica en el literal b y c lo siguiente:</w:t>
      </w:r>
    </w:p>
    <w:p w:rsidRPr="00C70082" w:rsidR="001E6AE9" w:rsidP="001E6AE9" w:rsidRDefault="001E6AE9" w14:paraId="7FD0D666" w14:textId="77777777">
      <w:pPr>
        <w:spacing w:line="240" w:lineRule="auto"/>
        <w:contextualSpacing/>
        <w:rPr>
          <w:rFonts w:eastAsia="MS Mincho"/>
          <w:iCs/>
          <w:color w:val="000000" w:themeColor="text1"/>
          <w:sz w:val="24"/>
          <w:lang w:val="es-CR" w:eastAsia="es-ES"/>
        </w:rPr>
      </w:pPr>
    </w:p>
    <w:p w:rsidRPr="00C70082" w:rsidR="001E6AE9" w:rsidP="001E6AE9" w:rsidRDefault="001E6AE9" w14:paraId="09BE06F6" w14:textId="77777777">
      <w:pPr>
        <w:pStyle w:val="Default"/>
        <w:ind w:left="720"/>
        <w:jc w:val="both"/>
        <w:rPr>
          <w:rFonts w:ascii="Cambria" w:hAnsi="Cambria"/>
          <w:i/>
          <w:color w:val="auto"/>
          <w:u w:val="single"/>
        </w:rPr>
      </w:pPr>
      <w:r w:rsidRPr="00C70082">
        <w:rPr>
          <w:rFonts w:ascii="Cambria" w:hAnsi="Cambria"/>
          <w:color w:val="auto"/>
        </w:rPr>
        <w:t>“b. (</w:t>
      </w:r>
      <w:r w:rsidRPr="00C70082">
        <w:rPr>
          <w:rFonts w:ascii="Cambria" w:hAnsi="Cambria"/>
          <w:i/>
          <w:color w:val="auto"/>
        </w:rPr>
        <w:t xml:space="preserve">…) </w:t>
      </w:r>
      <w:r w:rsidRPr="00C70082">
        <w:rPr>
          <w:rFonts w:ascii="Cambria" w:hAnsi="Cambria"/>
          <w:i/>
          <w:color w:val="auto"/>
        </w:rPr>
        <w:tab/>
        <w:t xml:space="preserve">El usuario autorizado debe tramitar la solicitud de autorización en el CIC y anexar en ese sistema </w:t>
      </w:r>
      <w:r w:rsidRPr="00C70082">
        <w:rPr>
          <w:rFonts w:ascii="Cambria" w:hAnsi="Cambria"/>
          <w:i/>
          <w:color w:val="auto"/>
          <w:u w:val="single"/>
        </w:rPr>
        <w:t xml:space="preserve">copia digital del documento de identidad y de la solicitud, firmada por escrito, o mediante los mecanismos de firma digital, del solicitante o su represente legal. </w:t>
      </w:r>
    </w:p>
    <w:p w:rsidRPr="00C70082" w:rsidR="001E6AE9" w:rsidP="001E6AE9" w:rsidRDefault="001E6AE9" w14:paraId="5A1DC13D" w14:textId="77777777">
      <w:pPr>
        <w:pStyle w:val="Default"/>
        <w:ind w:left="720"/>
        <w:jc w:val="both"/>
        <w:rPr>
          <w:rFonts w:ascii="Cambria" w:hAnsi="Cambria"/>
          <w:i/>
          <w:color w:val="auto"/>
        </w:rPr>
      </w:pPr>
      <w:r w:rsidRPr="00C70082">
        <w:rPr>
          <w:rFonts w:ascii="Cambria" w:hAnsi="Cambria"/>
          <w:i/>
          <w:color w:val="auto"/>
          <w:u w:val="single"/>
        </w:rPr>
        <w:t>En el caso de personas jurídicas, adicionalmente debe incluirse copia digital de la certificación de la personería jurídica</w:t>
      </w:r>
      <w:r w:rsidRPr="00C70082">
        <w:rPr>
          <w:rFonts w:ascii="Cambria" w:hAnsi="Cambria"/>
          <w:i/>
          <w:color w:val="auto"/>
        </w:rPr>
        <w:t>.</w:t>
      </w:r>
    </w:p>
    <w:p w:rsidRPr="00C70082" w:rsidR="001E6AE9" w:rsidP="001E6AE9" w:rsidRDefault="001E6AE9" w14:paraId="428B3201" w14:textId="77777777">
      <w:pPr>
        <w:pStyle w:val="Default"/>
        <w:ind w:left="720"/>
        <w:jc w:val="both"/>
        <w:rPr>
          <w:rFonts w:ascii="Cambria" w:hAnsi="Cambria"/>
          <w:i/>
          <w:color w:val="auto"/>
        </w:rPr>
      </w:pPr>
      <w:r w:rsidRPr="00C70082">
        <w:rPr>
          <w:rFonts w:ascii="Cambria" w:hAnsi="Cambria"/>
          <w:i/>
          <w:color w:val="auto"/>
        </w:rPr>
        <w:t>El formato y características que deberán tener las copias electrónicas de los documentos de identidad y certificaciones de personería jurídica, serán las que establezca la SUGEF en el Manual de Información del Centro de Información Crediticia. Es responsabilidad de cada entidad velar porque la información incluida, no presente incongruencias, sea correcta, sea legible, esté completa y sea enviada con el ingreso de la autorización.</w:t>
      </w:r>
    </w:p>
    <w:p w:rsidRPr="00C70082" w:rsidR="001E6AE9" w:rsidP="001E6AE9" w:rsidRDefault="001E6AE9" w14:paraId="710A18F7" w14:textId="77777777">
      <w:pPr>
        <w:pStyle w:val="Default"/>
        <w:jc w:val="both"/>
        <w:rPr>
          <w:rFonts w:ascii="Cambria" w:hAnsi="Cambria"/>
          <w:i/>
          <w:color w:val="auto"/>
        </w:rPr>
      </w:pPr>
    </w:p>
    <w:p w:rsidRPr="00C70082" w:rsidR="001E6AE9" w:rsidP="001E6AE9" w:rsidRDefault="0071617D" w14:paraId="2B6CBC4F" w14:textId="7E1292DA">
      <w:pPr>
        <w:pStyle w:val="Default"/>
        <w:ind w:left="720"/>
        <w:jc w:val="both"/>
        <w:rPr>
          <w:rFonts w:ascii="Cambria" w:hAnsi="Cambria"/>
          <w:i/>
          <w:color w:val="auto"/>
        </w:rPr>
      </w:pPr>
      <w:r w:rsidRPr="00C70082">
        <w:rPr>
          <w:rFonts w:ascii="Cambria" w:hAnsi="Cambria"/>
          <w:i/>
          <w:color w:val="auto"/>
        </w:rPr>
        <w:t xml:space="preserve">c. </w:t>
      </w:r>
      <w:r w:rsidRPr="00C70082" w:rsidR="001E6AE9">
        <w:rPr>
          <w:rFonts w:ascii="Cambria" w:hAnsi="Cambria"/>
          <w:i/>
          <w:color w:val="auto"/>
        </w:rPr>
        <w:t>Trámite de solicitud de revocación.</w:t>
      </w:r>
    </w:p>
    <w:p w:rsidRPr="00C70082" w:rsidR="001E6AE9" w:rsidP="001E6AE9" w:rsidRDefault="001E6AE9" w14:paraId="0580F0DA" w14:textId="77777777">
      <w:pPr>
        <w:pStyle w:val="Default"/>
        <w:ind w:left="720"/>
        <w:jc w:val="both"/>
        <w:rPr>
          <w:rFonts w:ascii="Cambria" w:hAnsi="Cambria"/>
          <w:color w:val="auto"/>
        </w:rPr>
      </w:pPr>
      <w:r w:rsidRPr="00C70082">
        <w:rPr>
          <w:rFonts w:ascii="Cambria" w:hAnsi="Cambria"/>
          <w:i/>
          <w:color w:val="auto"/>
        </w:rPr>
        <w:t>Cuando una persona desea revocar una solicitud de autorización, la entidad debe tramitar la solicitud en el CIC y adjuntar en el sistema los documentos completos y legibles, establecidos en el Manual de Información del Centro de Información Crediticia. (…)</w:t>
      </w:r>
      <w:r w:rsidRPr="00C70082">
        <w:rPr>
          <w:rFonts w:ascii="Cambria" w:hAnsi="Cambria"/>
          <w:color w:val="auto"/>
        </w:rPr>
        <w:t>” (el destacado no es del original)</w:t>
      </w:r>
    </w:p>
    <w:p w:rsidRPr="00C70082" w:rsidR="001E6AE9" w:rsidP="001E6AE9" w:rsidRDefault="001E6AE9" w14:paraId="3EA49FFB" w14:textId="77777777">
      <w:pPr>
        <w:pStyle w:val="Default"/>
        <w:jc w:val="both"/>
        <w:rPr>
          <w:rFonts w:ascii="Cambria" w:hAnsi="Cambria"/>
          <w:color w:val="auto"/>
        </w:rPr>
      </w:pPr>
    </w:p>
    <w:p w:rsidRPr="00C70082" w:rsidR="001E6AE9" w:rsidP="001E6AE9" w:rsidRDefault="001E6AE9" w14:paraId="4C9A3048" w14:textId="77777777">
      <w:pPr>
        <w:numPr>
          <w:ilvl w:val="0"/>
          <w:numId w:val="14"/>
        </w:numPr>
        <w:spacing w:line="240" w:lineRule="auto"/>
        <w:contextualSpacing/>
        <w:rPr>
          <w:rFonts w:eastAsia="MS Mincho"/>
          <w:iCs/>
          <w:color w:val="000000" w:themeColor="text1"/>
          <w:sz w:val="24"/>
          <w:lang w:val="es-CR" w:eastAsia="es-ES"/>
        </w:rPr>
      </w:pPr>
      <w:r w:rsidRPr="00C70082">
        <w:rPr>
          <w:rFonts w:eastAsia="MS Mincho"/>
          <w:iCs/>
          <w:color w:val="000000" w:themeColor="text1"/>
          <w:sz w:val="24"/>
          <w:lang w:val="es-CR" w:eastAsia="es-ES"/>
        </w:rPr>
        <w:t xml:space="preserve">En ampliación a lo indicado en el punto anterior, las autorizaciones deben cumplir con lo dispuesto en el Manual del Centro de Información Crediticia (CIC) en todos sus extremos y, muy especialmente, con lo que señala el Artículo 7 </w:t>
      </w:r>
      <w:r w:rsidRPr="00C70082">
        <w:rPr>
          <w:rFonts w:eastAsia="MS Mincho"/>
          <w:iCs/>
          <w:color w:val="000000" w:themeColor="text1"/>
          <w:sz w:val="24"/>
          <w:lang w:val="es-CR" w:eastAsia="es-ES"/>
        </w:rPr>
        <w:lastRenderedPageBreak/>
        <w:t>respecto al trámite de inclusión de autorizaciones mediante el Sistema del Centro de Información Crediticia.</w:t>
      </w:r>
    </w:p>
    <w:p w:rsidRPr="00C70082" w:rsidR="001E6AE9" w:rsidP="001E6AE9" w:rsidRDefault="001E6AE9" w14:paraId="523B1AAA" w14:textId="77777777">
      <w:pPr>
        <w:spacing w:line="240" w:lineRule="auto"/>
        <w:contextualSpacing/>
        <w:rPr>
          <w:rFonts w:eastAsia="MS Mincho"/>
          <w:iCs/>
          <w:color w:val="000000" w:themeColor="text1"/>
          <w:sz w:val="24"/>
          <w:lang w:val="es-CR" w:eastAsia="es-ES"/>
        </w:rPr>
      </w:pPr>
    </w:p>
    <w:p w:rsidRPr="00C70082" w:rsidR="001E6AE9" w:rsidP="001E6AE9" w:rsidRDefault="001E6AE9" w14:paraId="407AC3CD" w14:textId="77777777">
      <w:pPr>
        <w:numPr>
          <w:ilvl w:val="0"/>
          <w:numId w:val="14"/>
        </w:numPr>
        <w:spacing w:line="240" w:lineRule="auto"/>
        <w:contextualSpacing/>
        <w:rPr>
          <w:rFonts w:eastAsia="MS Mincho"/>
          <w:iCs/>
          <w:color w:val="000000" w:themeColor="text1"/>
          <w:sz w:val="24"/>
          <w:lang w:val="es-CR" w:eastAsia="es-ES"/>
        </w:rPr>
      </w:pPr>
      <w:r w:rsidRPr="00C70082">
        <w:rPr>
          <w:rFonts w:eastAsia="MS Mincho"/>
          <w:iCs/>
          <w:color w:val="000000" w:themeColor="text1"/>
          <w:sz w:val="24"/>
          <w:lang w:val="es-CR" w:eastAsia="es-ES"/>
        </w:rPr>
        <w:t>Como parte de sus responsabilidades, la SUGEF realiza periódicamente revisiones de la calidad de las autorizaciones incluidas por las entidades financieras. Producto de ello se han detectado incumplimientos  a lo normado por esta Superintendencia, situación que conlleva a dejar sin efecto la autorización con el consecuente efecto sobre lo establecido en el Acuerdo SUEF 1-05 “Reglamento para la calificación de deudores”, entre otros.</w:t>
      </w:r>
    </w:p>
    <w:p w:rsidRPr="00C70082" w:rsidR="001E6AE9" w:rsidP="001E6AE9" w:rsidRDefault="001E6AE9" w14:paraId="40B6535C" w14:textId="77777777">
      <w:pPr>
        <w:pStyle w:val="Default"/>
        <w:jc w:val="both"/>
        <w:rPr>
          <w:rFonts w:ascii="Cambria" w:hAnsi="Cambria"/>
          <w:color w:val="auto"/>
        </w:rPr>
      </w:pPr>
    </w:p>
    <w:p w:rsidRPr="00C70082" w:rsidR="001E6AE9" w:rsidP="001E6AE9" w:rsidRDefault="001E6AE9" w14:paraId="2DA8B9A1" w14:textId="77777777">
      <w:pPr>
        <w:numPr>
          <w:ilvl w:val="0"/>
          <w:numId w:val="14"/>
        </w:numPr>
        <w:spacing w:line="240" w:lineRule="auto"/>
        <w:contextualSpacing/>
        <w:rPr>
          <w:rFonts w:eastAsia="MS Mincho"/>
          <w:iCs/>
          <w:color w:val="000000" w:themeColor="text1"/>
          <w:sz w:val="24"/>
          <w:lang w:val="es-CR" w:eastAsia="es-ES"/>
        </w:rPr>
      </w:pPr>
      <w:r w:rsidRPr="00C70082">
        <w:rPr>
          <w:rFonts w:eastAsia="MS Mincho"/>
          <w:iCs/>
          <w:color w:val="000000" w:themeColor="text1"/>
          <w:sz w:val="24"/>
          <w:lang w:val="es-CR" w:eastAsia="es-ES"/>
        </w:rPr>
        <w:t>El artículo 133 de la Ley Orgánica del Banco Central de Costa Rica, Ley No. 7558 establece reglas estrictas sobre el manejo de la información crediticia que mantiene la SUGEF, en virtud del ejercicio de sus labores de supervisión y en materia de concentración de riesgos crediticios y que recalca, en el Inciso a), la obligación de las entidades financieras de contar con una autorización escrita (puede ser digital), para poder consultar la información crediticia de sus deudores o potenciales deudores.</w:t>
      </w:r>
    </w:p>
    <w:p w:rsidRPr="00C70082" w:rsidR="001E6AE9" w:rsidP="001E6AE9" w:rsidRDefault="001E6AE9" w14:paraId="3CE61AB9" w14:textId="77777777">
      <w:pPr>
        <w:spacing w:line="240" w:lineRule="auto"/>
        <w:contextualSpacing/>
        <w:rPr>
          <w:rFonts w:eastAsia="MS Mincho"/>
          <w:iCs/>
          <w:color w:val="000000" w:themeColor="text1"/>
          <w:sz w:val="24"/>
          <w:lang w:val="es-CR" w:eastAsia="es-ES"/>
        </w:rPr>
      </w:pPr>
    </w:p>
    <w:p w:rsidRPr="00C70082" w:rsidR="001E6AE9" w:rsidP="001E6AE9" w:rsidRDefault="001E6AE9" w14:paraId="629BFEC0" w14:textId="77777777">
      <w:pPr>
        <w:numPr>
          <w:ilvl w:val="0"/>
          <w:numId w:val="14"/>
        </w:numPr>
        <w:spacing w:line="240" w:lineRule="auto"/>
        <w:contextualSpacing/>
        <w:rPr>
          <w:rFonts w:eastAsia="MS Mincho"/>
          <w:iCs/>
          <w:color w:val="000000" w:themeColor="text1"/>
          <w:sz w:val="24"/>
          <w:lang w:val="es-CR" w:eastAsia="es-ES"/>
        </w:rPr>
      </w:pPr>
      <w:r w:rsidRPr="00C70082">
        <w:rPr>
          <w:sz w:val="24"/>
          <w:lang w:val="es-CR"/>
        </w:rPr>
        <w:t>La Ley de Protección de la Persona Frente al Tratamiento de sus Datos Personales, Ley No. 8968 establece en su artículo 6 el principio de calidad de la información.</w:t>
      </w:r>
    </w:p>
    <w:p w:rsidR="00C70082" w:rsidP="00C70082" w:rsidRDefault="00C70082" w14:paraId="79ED5621" w14:textId="77777777">
      <w:pPr>
        <w:pStyle w:val="Prrafodelista"/>
        <w:rPr>
          <w:rFonts w:eastAsia="MS Mincho"/>
          <w:iCs/>
          <w:color w:val="000000" w:themeColor="text1"/>
          <w:sz w:val="24"/>
          <w:lang w:val="es-CR" w:eastAsia="es-ES"/>
        </w:rPr>
      </w:pPr>
    </w:p>
    <w:p w:rsidRPr="00C70082" w:rsidR="00C70082" w:rsidP="00C70082" w:rsidRDefault="00C70082" w14:paraId="3A7D748F" w14:textId="77777777">
      <w:pPr>
        <w:spacing w:line="240" w:lineRule="auto"/>
        <w:ind w:left="720"/>
        <w:contextualSpacing/>
        <w:rPr>
          <w:rFonts w:eastAsia="MS Mincho"/>
          <w:iCs/>
          <w:color w:val="000000" w:themeColor="text1"/>
          <w:sz w:val="24"/>
          <w:lang w:val="es-CR" w:eastAsia="es-ES"/>
        </w:rPr>
      </w:pPr>
    </w:p>
    <w:p w:rsidRPr="00C70082" w:rsidR="001E6AE9" w:rsidP="001E6AE9" w:rsidRDefault="001E6AE9" w14:paraId="1588F9E6" w14:textId="77777777">
      <w:pPr>
        <w:spacing w:line="240" w:lineRule="auto"/>
        <w:contextualSpacing/>
        <w:rPr>
          <w:rFonts w:eastAsia="MS Mincho"/>
          <w:iCs/>
          <w:color w:val="000000" w:themeColor="text1"/>
          <w:sz w:val="24"/>
          <w:lang w:val="es-CR" w:eastAsia="es-ES"/>
        </w:rPr>
      </w:pPr>
    </w:p>
    <w:p w:rsidRPr="00C70082" w:rsidR="001E6AE9" w:rsidP="001E6AE9" w:rsidRDefault="001E6AE9" w14:paraId="4B0463CD" w14:textId="77777777">
      <w:pPr>
        <w:spacing w:line="240" w:lineRule="auto"/>
        <w:contextualSpacing/>
        <w:rPr>
          <w:b/>
          <w:sz w:val="24"/>
          <w:lang w:val="es-CR"/>
        </w:rPr>
      </w:pPr>
      <w:r w:rsidRPr="00C70082">
        <w:rPr>
          <w:b/>
          <w:sz w:val="24"/>
          <w:lang w:val="es-CR"/>
        </w:rPr>
        <w:t>Por lo tanto dispone:</w:t>
      </w:r>
    </w:p>
    <w:p w:rsidRPr="00C70082" w:rsidR="001E6AE9" w:rsidP="001E6AE9" w:rsidRDefault="001E6AE9" w14:paraId="02759681" w14:textId="77777777">
      <w:pPr>
        <w:spacing w:line="240" w:lineRule="auto"/>
        <w:ind w:left="567" w:hanging="567"/>
        <w:outlineLvl w:val="0"/>
        <w:rPr>
          <w:b/>
          <w:sz w:val="24"/>
          <w:lang w:val="es-CR"/>
        </w:rPr>
      </w:pPr>
    </w:p>
    <w:p w:rsidRPr="00C70082" w:rsidR="001E6AE9" w:rsidP="001E6AE9" w:rsidRDefault="001E6AE9" w14:paraId="741B7CF8" w14:textId="77777777">
      <w:pPr>
        <w:pStyle w:val="Textoindependiente2"/>
        <w:widowControl w:val="0"/>
        <w:numPr>
          <w:ilvl w:val="0"/>
          <w:numId w:val="15"/>
        </w:numPr>
        <w:ind w:left="567" w:hanging="567"/>
        <w:rPr>
          <w:rFonts w:ascii="Cambria" w:hAnsi="Cambria"/>
          <w:szCs w:val="24"/>
          <w:lang w:val="es-CR"/>
        </w:rPr>
      </w:pPr>
      <w:r w:rsidRPr="00C70082">
        <w:rPr>
          <w:rFonts w:ascii="Cambria" w:hAnsi="Cambria" w:cs="Arial"/>
          <w:szCs w:val="24"/>
          <w:lang w:val="es-CR"/>
        </w:rPr>
        <w:t xml:space="preserve">El Centro de Información Crediticia (CIC) cuenta con una aplicación </w:t>
      </w:r>
      <w:r w:rsidRPr="00C70082">
        <w:rPr>
          <w:rFonts w:ascii="Cambria" w:hAnsi="Cambria" w:eastAsia="MS Mincho"/>
          <w:iCs/>
          <w:color w:val="000000" w:themeColor="text1"/>
          <w:szCs w:val="24"/>
          <w:lang w:val="es-CR"/>
        </w:rPr>
        <w:t xml:space="preserve">que le permite cerrar las autorizaciones tramitadas por las entidades financieras que no cumplan con los requerimientos normados, y emitirá una notificación </w:t>
      </w:r>
      <w:r w:rsidRPr="00C70082">
        <w:rPr>
          <w:rFonts w:ascii="Cambria" w:hAnsi="Cambria" w:cs="Arial"/>
          <w:szCs w:val="24"/>
          <w:lang w:val="es-CR"/>
        </w:rPr>
        <w:t xml:space="preserve"> automática al Gerente de la Entidad, al Auditor Interno y al usuario que tramitó la autorización, con los motivos que dejan sin efecto la autorización. </w:t>
      </w:r>
    </w:p>
    <w:p w:rsidRPr="00C70082" w:rsidR="001E6AE9" w:rsidP="001E6AE9" w:rsidRDefault="001E6AE9" w14:paraId="5D963972" w14:textId="77777777">
      <w:pPr>
        <w:rPr>
          <w:sz w:val="24"/>
          <w:lang w:val="es-CR"/>
        </w:rPr>
      </w:pPr>
    </w:p>
    <w:p w:rsidRPr="00C70082" w:rsidR="001E6AE9" w:rsidP="001E6AE9" w:rsidRDefault="001E6AE9" w14:paraId="6726A4DA" w14:textId="77777777">
      <w:pPr>
        <w:pStyle w:val="Textoindependiente2"/>
        <w:widowControl w:val="0"/>
        <w:numPr>
          <w:ilvl w:val="0"/>
          <w:numId w:val="15"/>
        </w:numPr>
        <w:ind w:left="567" w:hanging="567"/>
        <w:rPr>
          <w:rFonts w:ascii="Cambria" w:hAnsi="Cambria"/>
          <w:szCs w:val="24"/>
          <w:lang w:val="es-CR"/>
        </w:rPr>
      </w:pPr>
      <w:r w:rsidRPr="00C70082">
        <w:rPr>
          <w:rFonts w:ascii="Cambria" w:hAnsi="Cambria"/>
          <w:szCs w:val="24"/>
          <w:lang w:val="es-CR"/>
        </w:rPr>
        <w:t xml:space="preserve">La observación reiterada de inclusión de autorizaciones en el </w:t>
      </w:r>
      <w:r w:rsidRPr="00C70082">
        <w:rPr>
          <w:rFonts w:ascii="Cambria" w:hAnsi="Cambria" w:cs="Arial"/>
          <w:szCs w:val="24"/>
          <w:lang w:val="es-CR"/>
        </w:rPr>
        <w:t>Sistema del Centro de Información Crediticia (CIC) con erro</w:t>
      </w:r>
      <w:r w:rsidRPr="00C70082">
        <w:rPr>
          <w:rFonts w:ascii="Cambria" w:hAnsi="Cambria" w:cs="Arial"/>
          <w:szCs w:val="24"/>
          <w:lang w:val="es-CR"/>
        </w:rPr>
        <w:lastRenderedPageBreak/>
        <w:t>res u omisiones, podría ser incorporado dentro de los procesos de supervisión, de cuyos resultados podría derivarse la aplicación de lo señalado en  el Inciso d) del Artículo 133 de la Ley Orgánica del Banco Central de Costa Rica, que señala:</w:t>
      </w:r>
    </w:p>
    <w:p w:rsidRPr="00C70082" w:rsidR="001E6AE9" w:rsidP="001E6AE9" w:rsidRDefault="001E6AE9" w14:paraId="508F2240" w14:textId="77777777">
      <w:pPr>
        <w:pStyle w:val="Textoindependiente2"/>
        <w:widowControl w:val="0"/>
        <w:rPr>
          <w:rFonts w:ascii="Cambria" w:hAnsi="Cambria"/>
          <w:szCs w:val="24"/>
          <w:lang w:val="es-CR"/>
        </w:rPr>
      </w:pPr>
    </w:p>
    <w:p w:rsidRPr="00C70082" w:rsidR="001E6AE9" w:rsidP="001E6AE9" w:rsidRDefault="001E6AE9" w14:paraId="1E21D009" w14:textId="77777777">
      <w:pPr>
        <w:pStyle w:val="Prrafodelista"/>
        <w:rPr>
          <w:rFonts w:cs="Arial"/>
          <w:i/>
          <w:sz w:val="24"/>
          <w:lang w:val="es-CR"/>
        </w:rPr>
      </w:pPr>
      <w:r w:rsidRPr="00C70082">
        <w:rPr>
          <w:rFonts w:cs="Arial"/>
          <w:i/>
          <w:sz w:val="24"/>
          <w:lang w:val="es-CR"/>
        </w:rPr>
        <w:t>“Artículo 133.- Reglas para manejar información</w:t>
      </w:r>
    </w:p>
    <w:p w:rsidRPr="00C70082" w:rsidR="001E6AE9" w:rsidP="001E6AE9" w:rsidRDefault="001E6AE9" w14:paraId="1236BA7F" w14:textId="77777777">
      <w:pPr>
        <w:pStyle w:val="Prrafodelista"/>
        <w:rPr>
          <w:rFonts w:cs="Arial"/>
          <w:i/>
          <w:sz w:val="24"/>
          <w:lang w:val="es-CR"/>
        </w:rPr>
      </w:pPr>
      <w:r w:rsidRPr="00C70082">
        <w:rPr>
          <w:rFonts w:cs="Arial"/>
          <w:i/>
          <w:sz w:val="24"/>
          <w:lang w:val="es-CR"/>
        </w:rPr>
        <w:t>[…]</w:t>
      </w:r>
    </w:p>
    <w:p w:rsidRPr="00C70082" w:rsidR="001E6AE9" w:rsidP="001E6AE9" w:rsidRDefault="001E6AE9" w14:paraId="589D49B7" w14:textId="77777777">
      <w:pPr>
        <w:pStyle w:val="Prrafodelista"/>
        <w:rPr>
          <w:rFonts w:cs="Arial"/>
          <w:i/>
          <w:sz w:val="24"/>
          <w:lang w:val="es-CR"/>
        </w:rPr>
      </w:pPr>
      <w:r w:rsidRPr="00C70082">
        <w:rPr>
          <w:rFonts w:cs="Arial"/>
          <w:i/>
          <w:sz w:val="24"/>
          <w:lang w:val="es-CR"/>
        </w:rPr>
        <w:t xml:space="preserve">d) Queda prohibido a los funcionarios, empleados y administradores de las entidades fiscalizadas y de la Superintendencia, suministrar a terceros cualquier dato de la información a que se refiere este artículo. </w:t>
      </w:r>
      <w:r w:rsidRPr="00C70082">
        <w:rPr>
          <w:rFonts w:cs="Arial"/>
          <w:i/>
          <w:sz w:val="24"/>
          <w:u w:val="single"/>
          <w:lang w:val="es-CR"/>
        </w:rPr>
        <w:t>Quien violare la prohibición anterior o los funcionarios, empleados y administradores que dolosamente alteren, registren o brinden información falsa o que no conste en los registros o certificaciones de la Superintendencia, serán sancionados con una pena de prisión de tres a seis años</w:t>
      </w:r>
      <w:r w:rsidRPr="00C70082">
        <w:rPr>
          <w:rFonts w:cs="Arial"/>
          <w:i/>
          <w:sz w:val="24"/>
          <w:lang w:val="es-CR"/>
        </w:rPr>
        <w:t>, sin perjuicio de la responsabilidad penal establecida anteriormente. El funcionario, empleado o administrador que infrinja lo señalado en este artículo será destituido de su cargo, sin responsabilidad patronal…” (el subrayado no es del original)</w:t>
      </w:r>
    </w:p>
    <w:p w:rsidRPr="00C70082" w:rsidR="001E6AE9" w:rsidP="001E6AE9" w:rsidRDefault="001E6AE9" w14:paraId="2521D86F" w14:textId="77777777">
      <w:pPr>
        <w:rPr>
          <w:rFonts w:cs="Arial"/>
          <w:sz w:val="24"/>
          <w:lang w:val="es-CR"/>
        </w:rPr>
      </w:pPr>
    </w:p>
    <w:p w:rsidRPr="00C70082" w:rsidR="001E6AE9" w:rsidP="001E6AE9" w:rsidRDefault="001E6AE9" w14:paraId="1E78E3D5" w14:textId="77777777">
      <w:pPr>
        <w:pStyle w:val="Textoindependiente2"/>
        <w:widowControl w:val="0"/>
        <w:numPr>
          <w:ilvl w:val="0"/>
          <w:numId w:val="13"/>
        </w:numPr>
        <w:spacing w:after="200"/>
        <w:ind w:left="567" w:right="86" w:hanging="567"/>
        <w:contextualSpacing/>
        <w:rPr>
          <w:rFonts w:ascii="Cambria" w:hAnsi="Cambria"/>
          <w:b/>
          <w:szCs w:val="24"/>
          <w:lang w:val="es-CR"/>
        </w:rPr>
      </w:pPr>
      <w:r w:rsidRPr="00C70082">
        <w:rPr>
          <w:rFonts w:ascii="Cambria" w:hAnsi="Cambria"/>
          <w:szCs w:val="24"/>
          <w:lang w:val="es-CR"/>
        </w:rPr>
        <w:t>Para cualquier consulta o aclaración pueden enviar un correo electrónico a nuestro funcionario, el señor Eduardo Montoya Solano (</w:t>
      </w:r>
      <w:hyperlink w:history="1" r:id="rId13">
        <w:r w:rsidRPr="00C70082">
          <w:rPr>
            <w:rStyle w:val="Hipervnculo"/>
            <w:rFonts w:ascii="Cambria" w:hAnsi="Cambria"/>
            <w:szCs w:val="24"/>
            <w:lang w:val="es-CR"/>
          </w:rPr>
          <w:t>emontoya@sugef.fi.cr</w:t>
        </w:r>
      </w:hyperlink>
      <w:r w:rsidRPr="00C70082">
        <w:rPr>
          <w:rFonts w:ascii="Cambria" w:hAnsi="Cambria"/>
          <w:szCs w:val="24"/>
          <w:lang w:val="es-CR"/>
        </w:rPr>
        <w:t xml:space="preserve">) o contactarlo al teléfono 2243-5024. </w:t>
      </w:r>
    </w:p>
    <w:p w:rsidRPr="00C70082" w:rsidR="001E6AE9" w:rsidP="001E6AE9" w:rsidRDefault="001E6AE9" w14:paraId="1EC91D20" w14:textId="77777777">
      <w:pPr>
        <w:pStyle w:val="Textoindependiente2"/>
        <w:widowControl w:val="0"/>
        <w:spacing w:after="200"/>
        <w:ind w:left="567" w:right="86"/>
        <w:contextualSpacing/>
        <w:rPr>
          <w:rFonts w:ascii="Cambria" w:hAnsi="Cambria"/>
          <w:b/>
          <w:szCs w:val="24"/>
          <w:lang w:val="es-CR"/>
        </w:rPr>
      </w:pPr>
    </w:p>
    <w:p w:rsidRPr="00C70082" w:rsidR="001E6AE9" w:rsidP="001E6AE9" w:rsidRDefault="001E6AE9" w14:paraId="246F17B0" w14:textId="77777777">
      <w:pPr>
        <w:pStyle w:val="Textoindependiente2"/>
        <w:widowControl w:val="0"/>
        <w:numPr>
          <w:ilvl w:val="0"/>
          <w:numId w:val="13"/>
        </w:numPr>
        <w:spacing w:after="200"/>
        <w:ind w:left="567" w:right="86" w:hanging="567"/>
        <w:contextualSpacing/>
        <w:rPr>
          <w:rFonts w:ascii="Cambria" w:hAnsi="Cambria"/>
          <w:szCs w:val="24"/>
          <w:lang w:val="es-CR"/>
        </w:rPr>
      </w:pPr>
      <w:r w:rsidRPr="00C70082">
        <w:rPr>
          <w:rFonts w:ascii="Cambria" w:hAnsi="Cambria"/>
          <w:szCs w:val="24"/>
          <w:lang w:val="es-CR"/>
        </w:rPr>
        <w:t xml:space="preserve">Para efectos de lo que corresponde a la Secretaria Técnica del Sistema de Banca para el Desarrollo, de entidades no supervisadas, pueden contactar a </w:t>
      </w:r>
      <w:r w:rsidRPr="00C70082">
        <w:rPr>
          <w:rStyle w:val="Hipervnculo"/>
          <w:rFonts w:ascii="Cambria" w:hAnsi="Cambria"/>
          <w:szCs w:val="24"/>
          <w:lang w:val="es-CR"/>
        </w:rPr>
        <w:t>alexander.araya@sbdcr.com@sbdcr.com</w:t>
      </w:r>
      <w:r w:rsidRPr="00C70082">
        <w:rPr>
          <w:rStyle w:val="Hipervnculo"/>
          <w:rFonts w:ascii="Cambria" w:hAnsi="Cambria"/>
          <w:szCs w:val="24"/>
        </w:rPr>
        <w:t>; o liliana.chacon@sbdcr.com</w:t>
      </w:r>
      <w:r w:rsidRPr="00C70082">
        <w:rPr>
          <w:rFonts w:ascii="Cambria" w:hAnsi="Cambria"/>
          <w:szCs w:val="24"/>
          <w:lang w:val="es-CR"/>
        </w:rPr>
        <w:t>.</w:t>
      </w:r>
    </w:p>
    <w:p w:rsidRPr="00C70082" w:rsidR="001A3266" w:rsidP="00B16768" w:rsidRDefault="001A3266" w14:paraId="091D6DF1" w14:textId="77777777">
      <w:pPr>
        <w:spacing w:line="240" w:lineRule="auto"/>
        <w:rPr>
          <w:sz w:val="24"/>
          <w:lang w:val="es-CR"/>
        </w:rPr>
      </w:pPr>
    </w:p>
    <w:p w:rsidRPr="00C70082" w:rsidR="00B16768" w:rsidP="00B16768" w:rsidRDefault="00B16768" w14:paraId="03DB16C1" w14:textId="77777777">
      <w:pPr>
        <w:spacing w:line="240" w:lineRule="auto"/>
        <w:rPr>
          <w:sz w:val="24"/>
          <w:lang w:val="es-CR"/>
        </w:rPr>
      </w:pPr>
      <w:r w:rsidRPr="00C70082">
        <w:rPr>
          <w:noProof/>
          <w:sz w:val="24"/>
          <w:lang w:val="es-CR" w:eastAsia="es-CR"/>
        </w:rPr>
        <w:drawing>
          <wp:anchor distT="0" distB="0" distL="114300" distR="114300" simplePos="0" relativeHeight="251659264" behindDoc="1" locked="0" layoutInCell="1" allowOverlap="1" wp14:editId="7CA750B8" wp14:anchorId="4A997842">
            <wp:simplePos x="0" y="0"/>
            <wp:positionH relativeFrom="column">
              <wp:posOffset>-120324</wp:posOffset>
            </wp:positionH>
            <wp:positionV relativeFrom="paragraph">
              <wp:posOffset>173544</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C70082">
        <w:rPr>
          <w:sz w:val="24"/>
          <w:lang w:val="es-CR"/>
        </w:rPr>
        <w:t>Atentamente,</w:t>
      </w:r>
    </w:p>
    <w:p w:rsidRPr="00C70082" w:rsidR="00B16768" w:rsidP="00B16768" w:rsidRDefault="00B16768" w14:paraId="0704AB4E" w14:textId="77777777">
      <w:pPr>
        <w:spacing w:line="240" w:lineRule="auto"/>
        <w:rPr>
          <w:sz w:val="24"/>
          <w:lang w:val="es-CR"/>
        </w:rPr>
      </w:pPr>
    </w:p>
    <w:p w:rsidRPr="00C70082" w:rsidR="00B16768" w:rsidP="00B16768" w:rsidRDefault="00B16768" w14:paraId="592C83DC" w14:textId="77777777">
      <w:pPr>
        <w:spacing w:line="240" w:lineRule="auto"/>
        <w:rPr>
          <w:sz w:val="24"/>
          <w:lang w:val="es-CR"/>
        </w:rPr>
      </w:pPr>
    </w:p>
    <w:p w:rsidRPr="00C70082" w:rsidR="00B16768" w:rsidP="00B16768" w:rsidRDefault="00B16768" w14:paraId="1BCB756D" w14:textId="77777777">
      <w:pPr>
        <w:spacing w:line="240" w:lineRule="auto"/>
        <w:jc w:val="left"/>
        <w:rPr>
          <w:sz w:val="24"/>
          <w:lang w:val="es-CR"/>
        </w:rPr>
      </w:pPr>
      <w:r w:rsidRPr="00C70082">
        <w:rPr>
          <w:sz w:val="24"/>
          <w:lang w:val="es-CR"/>
        </w:rPr>
        <w:t xml:space="preserve">Bernardo Alfaro Araya </w:t>
      </w:r>
    </w:p>
    <w:p w:rsidRPr="00C70082" w:rsidR="00B16768" w:rsidP="00B16768" w:rsidRDefault="00B16768" w14:paraId="67649CA7" w14:textId="77777777">
      <w:pPr>
        <w:spacing w:line="240" w:lineRule="auto"/>
        <w:jc w:val="left"/>
        <w:rPr>
          <w:b/>
          <w:sz w:val="24"/>
          <w:lang w:val="es-CR"/>
        </w:rPr>
      </w:pPr>
      <w:r w:rsidRPr="00C70082">
        <w:rPr>
          <w:b/>
          <w:sz w:val="24"/>
          <w:lang w:val="es-CR"/>
        </w:rPr>
        <w:t xml:space="preserve">Superintendente </w:t>
      </w:r>
    </w:p>
    <w:p w:rsidRPr="00C70082" w:rsidR="00B16768" w:rsidP="00B16768" w:rsidRDefault="00B16768" w14:paraId="19DAAC81" w14:textId="77777777">
      <w:pPr>
        <w:pStyle w:val="Negrita"/>
        <w:spacing w:line="240" w:lineRule="auto"/>
        <w:rPr>
          <w:sz w:val="24"/>
          <w:lang w:val="es-CR"/>
        </w:rPr>
      </w:pPr>
    </w:p>
    <w:p w:rsidRPr="00C70082" w:rsidR="00B16768" w:rsidP="00B16768" w:rsidRDefault="00B16768" w14:paraId="751891AC" w14:textId="72E41816">
      <w:pPr>
        <w:pStyle w:val="Negrita"/>
        <w:spacing w:line="240" w:lineRule="auto"/>
        <w:rPr>
          <w:sz w:val="20"/>
          <w:lang w:val="es-CR"/>
        </w:rPr>
      </w:pPr>
      <w:r w:rsidRPr="00C70082">
        <w:rPr>
          <w:sz w:val="20"/>
          <w:lang w:val="es-CR"/>
        </w:rPr>
        <w:t>CGM/EAMS/gvl*</w:t>
      </w:r>
    </w:p>
    <w:p w:rsidRPr="00C70082" w:rsidR="00206FF9" w:rsidP="00B16768" w:rsidRDefault="00206FF9" w14:paraId="63432F2C" w14:textId="05E7A01C">
      <w:pPr>
        <w:spacing w:line="240" w:lineRule="auto"/>
        <w:ind w:left="993" w:hanging="993"/>
        <w:rPr>
          <w:b/>
          <w:sz w:val="20"/>
          <w:lang w:val="es-CR"/>
        </w:rPr>
      </w:pPr>
    </w:p>
    <w:p w:rsidRPr="00C70082" w:rsidR="00EE50C9" w:rsidP="00B16768" w:rsidRDefault="00EE50C9" w14:paraId="622B99CE" w14:textId="77777777">
      <w:pPr>
        <w:spacing w:line="240" w:lineRule="auto"/>
        <w:ind w:left="993" w:hanging="993"/>
        <w:rPr>
          <w:b/>
          <w:sz w:val="20"/>
          <w:lang w:val="es-CR"/>
        </w:rPr>
      </w:pPr>
    </w:p>
    <w:p w:rsidRPr="00C70082" w:rsidR="00EE50C9" w:rsidP="00EE50C9" w:rsidRDefault="00C967C9" w14:paraId="2438DAB3" w14:textId="613E6311">
      <w:pPr>
        <w:spacing w:before="120" w:after="120" w:line="240" w:lineRule="auto"/>
        <w:contextualSpacing/>
        <w:rPr>
          <w:rFonts w:eastAsia="Calibri"/>
          <w:bCs/>
          <w:sz w:val="20"/>
        </w:rPr>
      </w:pPr>
      <w:sdt>
        <w:sdtPr>
          <w:rPr>
            <w:rFonts w:eastAsia="Calibri"/>
            <w:bCs/>
            <w:sz w:val="20"/>
          </w:rPr>
          <w:alias w:val="Unidad generadora"/>
          <w:tag w:val="unidad generadora"/>
          <w:id w:val="11415835"/>
          <w:placeholder>
            <w:docPart w:val="DF75905AB0CA448BA6CA20790C9ECBFC"/>
          </w:placeholder>
        </w:sdtPr>
        <w:sdtEndPr/>
        <w:sdtContent>
          <w:r w:rsidRPr="00C70082" w:rsidR="00EE50C9">
            <w:rPr>
              <w:rFonts w:eastAsia="Calibri"/>
              <w:b/>
              <w:bCs/>
              <w:sz w:val="20"/>
            </w:rPr>
            <w:t>Unidad generadora:</w:t>
          </w:r>
        </w:sdtContent>
      </w:sdt>
      <w:r w:rsidRPr="00C70082" w:rsidR="00EE50C9">
        <w:rPr>
          <w:rFonts w:eastAsia="Calibri"/>
          <w:bCs/>
          <w:sz w:val="20"/>
        </w:rPr>
        <w:t xml:space="preserve"> Departamento de Información Crediticia, Dirección General de Servicios Técnicos.</w:t>
      </w:r>
    </w:p>
    <w:p w:rsidRPr="00C70082" w:rsidR="00EE50C9" w:rsidP="00EE50C9" w:rsidRDefault="00EE50C9" w14:paraId="342ACBE9" w14:textId="01E45136">
      <w:pPr>
        <w:spacing w:before="120" w:after="120" w:line="240" w:lineRule="auto"/>
        <w:contextualSpacing/>
        <w:rPr>
          <w:sz w:val="20"/>
        </w:rPr>
      </w:pPr>
      <w:r w:rsidRPr="00C70082">
        <w:rPr>
          <w:rFonts w:eastAsia="Calibri"/>
          <w:b/>
          <w:bCs/>
          <w:sz w:val="20"/>
        </w:rPr>
        <w:t>Categoría:</w:t>
      </w:r>
      <w:r w:rsidRPr="00C70082">
        <w:rPr>
          <w:rFonts w:eastAsia="Calibri"/>
          <w:bCs/>
          <w:sz w:val="20"/>
        </w:rPr>
        <w:t xml:space="preserve"> </w:t>
      </w:r>
      <w:sdt>
        <w:sdtPr>
          <w:rPr>
            <w:rFonts w:eastAsia="Calibri"/>
            <w:bCs/>
            <w:sz w:val="20"/>
          </w:rPr>
          <w:alias w:val="Categoria"/>
          <w:tag w:val="categoria"/>
          <w:id w:val="11415837"/>
          <w:placeholder>
            <w:docPart w:val="8DBD8497016D49CA8067483D2D773F72"/>
          </w:placeholder>
          <w:dropDownList>
            <w:listItem w:value="Elija un elemento."/>
            <w:listItem w:displayText="Requerimiento de información" w:value="Requerimiento de información"/>
            <w:listItem w:displayText="Comunicado" w:value="Comunicado"/>
            <w:listItem w:displayText="Aclaratoria" w:value="Aclaratoria"/>
            <w:listItem w:displayText="Recordatorio" w:value="Recordatorio"/>
            <w:listItem w:displayText="Convocatoria" w:value="Convocatoria"/>
            <w:listItem w:displayText="Sistemas de Información" w:value="Sistemas de Información"/>
            <w:listItem w:displayText="Proyecto específico" w:value="Proyecto específico"/>
            <w:listItem w:displayText="Requerimiento judicial" w:value="Requerimiento judicial"/>
            <w:listItem w:displayText="Sistema Gestión Calidad" w:value="Sistema Gestión Calidad"/>
          </w:dropDownList>
        </w:sdtPr>
        <w:sdtEndPr/>
        <w:sdtContent>
          <w:r w:rsidRPr="00C70082">
            <w:rPr>
              <w:rFonts w:eastAsia="Calibri"/>
              <w:bCs/>
              <w:sz w:val="20"/>
            </w:rPr>
            <w:t>Comunicado</w:t>
          </w:r>
        </w:sdtContent>
      </w:sdt>
      <w:r w:rsidRPr="00C70082">
        <w:rPr>
          <w:rFonts w:eastAsia="Calibri"/>
          <w:bCs/>
          <w:sz w:val="20"/>
        </w:rPr>
        <w:t xml:space="preserve"> </w:t>
      </w:r>
    </w:p>
    <w:sectPr w:rsidRPr="00C70082" w:rsidR="00EE50C9" w:rsidSect="005739A8">
      <w:headerReference w:type="default" r:id="rId15"/>
      <w:footerReference w:type="default" r:id="rId16"/>
      <w:headerReference w:type="first" r:id="rId17"/>
      <w:footerReference w:type="first" r:id="rId18"/>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82244" w14:textId="77777777" w:rsidR="00206FF9" w:rsidRDefault="00206FF9" w:rsidP="00D43D57">
      <w:r>
        <w:separator/>
      </w:r>
    </w:p>
  </w:endnote>
  <w:endnote w:type="continuationSeparator" w:id="0">
    <w:p w14:paraId="70EA7134" w14:textId="77777777" w:rsidR="00206FF9" w:rsidRDefault="00206FF9"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09811987"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25C3E6DD" w14:textId="77777777">
      <w:trPr>
        <w:trHeight w:val="546"/>
      </w:trPr>
      <w:tc>
        <w:tcPr>
          <w:tcW w:w="3189" w:type="dxa"/>
          <w:shd w:val="clear" w:color="auto" w:fill="FFFFFF"/>
          <w:vAlign w:val="center"/>
        </w:tcPr>
        <w:p w:rsidR="008F1461" w:rsidP="000C62BB" w:rsidRDefault="008F1461" w14:paraId="38BD0BC3" w14:textId="4B1FC374">
          <w:pPr>
            <w:pStyle w:val="Piepagina"/>
          </w:pPr>
          <w:r>
            <w:rPr>
              <w:b/>
              <w:bCs/>
            </w:rPr>
            <w:t>Teléfono</w:t>
          </w:r>
          <w:r w:rsidR="00CF7C58">
            <w:t xml:space="preserve"> </w:t>
          </w:r>
          <w:r>
            <w:t>(506) 2243-4848</w:t>
          </w:r>
        </w:p>
        <w:p w:rsidR="008F1461" w:rsidP="000C62BB" w:rsidRDefault="008F1461" w14:paraId="477908C3" w14:textId="05C7B550">
          <w:pPr>
            <w:pStyle w:val="Piepagina"/>
          </w:pPr>
          <w:r>
            <w:rPr>
              <w:b/>
              <w:bCs/>
            </w:rPr>
            <w:t>Facsímile</w:t>
          </w:r>
          <w:r w:rsidR="00CF7C58">
            <w:t xml:space="preserve"> </w:t>
          </w:r>
          <w:r>
            <w:t>(506) 2243-4849</w:t>
          </w:r>
        </w:p>
      </w:tc>
      <w:tc>
        <w:tcPr>
          <w:tcW w:w="2835" w:type="dxa"/>
          <w:shd w:val="clear" w:color="auto" w:fill="FFFFFF"/>
          <w:vAlign w:val="center"/>
        </w:tcPr>
        <w:p w:rsidR="008F1461" w:rsidP="000C62BB" w:rsidRDefault="008F1461" w14:paraId="09520147" w14:textId="77777777">
          <w:pPr>
            <w:pStyle w:val="Piepagina"/>
          </w:pPr>
          <w:r>
            <w:rPr>
              <w:b/>
              <w:bCs/>
            </w:rPr>
            <w:t>Apartado</w:t>
          </w:r>
          <w:r>
            <w:t xml:space="preserve"> 2762-1000</w:t>
          </w:r>
        </w:p>
        <w:p w:rsidR="008F1461" w:rsidP="000C62BB" w:rsidRDefault="008F1461" w14:paraId="2A07AB81" w14:textId="77777777">
          <w:pPr>
            <w:pStyle w:val="Piepagina"/>
          </w:pPr>
          <w:r>
            <w:t>San José, Costa Rica</w:t>
          </w:r>
        </w:p>
      </w:tc>
      <w:tc>
        <w:tcPr>
          <w:tcW w:w="2410" w:type="dxa"/>
          <w:shd w:val="clear" w:color="auto" w:fill="FFFFFF"/>
          <w:vAlign w:val="center"/>
        </w:tcPr>
        <w:p w:rsidR="008F1461" w:rsidP="000C62BB" w:rsidRDefault="008F1461" w14:paraId="034B3BE0" w14:textId="77777777">
          <w:pPr>
            <w:pStyle w:val="Piepagina"/>
          </w:pPr>
          <w:r>
            <w:t>www.sugef.fi.cr</w:t>
          </w:r>
        </w:p>
        <w:p w:rsidR="008F1461" w:rsidP="000C62BB" w:rsidRDefault="008F1461" w14:paraId="7844A2D7" w14:textId="77777777">
          <w:pPr>
            <w:pStyle w:val="Piepagina"/>
          </w:pPr>
          <w:r>
            <w:t>sugefcr@sugef.fi.cr</w:t>
          </w:r>
        </w:p>
      </w:tc>
      <w:tc>
        <w:tcPr>
          <w:tcW w:w="260" w:type="dxa"/>
          <w:shd w:val="clear" w:color="auto" w:fill="FFFFFF"/>
        </w:tcPr>
        <w:p w:rsidR="008F1461" w:rsidP="000C62BB" w:rsidRDefault="008F1461" w14:paraId="7C280139" w14:textId="77777777">
          <w:pPr>
            <w:pStyle w:val="Piepagina"/>
          </w:pPr>
          <w:r>
            <w:fldChar w:fldCharType="begin"/>
          </w:r>
          <w:r>
            <w:instrText>PAGE   \* MERGEFORMAT</w:instrText>
          </w:r>
          <w:r>
            <w:fldChar w:fldCharType="separate"/>
          </w:r>
          <w:r w:rsidR="00C967C9">
            <w:rPr>
              <w:noProof/>
            </w:rPr>
            <w:t>1</w:t>
          </w:r>
          <w:r>
            <w:fldChar w:fldCharType="end"/>
          </w:r>
        </w:p>
      </w:tc>
    </w:tr>
  </w:tbl>
  <w:p w:rsidRPr="000C62BB" w:rsidR="00590F07" w:rsidRDefault="00590F07" w14:paraId="677C6933" w14:textId="77777777">
    <w:pPr>
      <w:pStyle w:val="Piedepgina"/>
      <w:jc w:val="right"/>
      <w:rPr>
        <w:color w:val="969696"/>
        <w:sz w:val="20"/>
        <w:szCs w:val="20"/>
      </w:rPr>
    </w:pPr>
  </w:p>
  <w:p w:rsidR="001C075B" w:rsidP="00FA54DF" w:rsidRDefault="001C075B" w14:paraId="2ADCBD38"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69D93987" w14:textId="77777777">
    <w:pPr>
      <w:pStyle w:val="Piepagina"/>
      <w:jc w:val="center"/>
    </w:pPr>
    <w:r>
      <w:rPr>
        <w:noProof/>
        <w:lang w:val="es-CR" w:eastAsia="es-CR"/>
      </w:rPr>
      <w:drawing>
        <wp:anchor distT="0" distB="0" distL="114300" distR="114300" simplePos="0" relativeHeight="251669504" behindDoc="1" locked="0" layoutInCell="1" allowOverlap="1" wp14:editId="21715387" wp14:anchorId="6D16DEE1">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35C5BD4C" wp14:anchorId="139E2A34">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7DFBCD1F" w14:textId="5F160A80">
                          <w:pPr>
                            <w:rPr>
                              <w:color w:val="003A68"/>
                              <w:sz w:val="14"/>
                              <w:szCs w:val="14"/>
                            </w:rPr>
                          </w:pPr>
                          <w:r w:rsidRPr="00FA54DF">
                            <w:rPr>
                              <w:color w:val="003A68"/>
                              <w:sz w:val="14"/>
                              <w:szCs w:val="14"/>
                            </w:rPr>
                            <w:t>T. (506) 2243-3631</w:t>
                          </w:r>
                          <w:r w:rsidR="00CF7C58">
                            <w:rPr>
                              <w:color w:val="003A68"/>
                              <w:sz w:val="14"/>
                              <w:szCs w:val="14"/>
                            </w:rPr>
                            <w:t xml:space="preserve"> </w:t>
                          </w:r>
                        </w:p>
                        <w:p w:rsidRPr="00FA54DF" w:rsidR="001C075B" w:rsidRDefault="001C075B" w14:paraId="3FF90729" w14:textId="1AFB7903">
                          <w:pPr>
                            <w:rPr>
                              <w:color w:val="003A68"/>
                              <w:sz w:val="14"/>
                              <w:szCs w:val="14"/>
                            </w:rPr>
                          </w:pPr>
                          <w:r w:rsidRPr="00FA54DF">
                            <w:rPr>
                              <w:color w:val="003A68"/>
                              <w:sz w:val="14"/>
                              <w:szCs w:val="14"/>
                            </w:rPr>
                            <w:t>F. (506) 2243-4579</w:t>
                          </w:r>
                          <w:r w:rsidR="00CF7C58">
                            <w:rPr>
                              <w:color w:val="003A68"/>
                              <w:sz w:val="14"/>
                              <w:szCs w:val="14"/>
                            </w:rPr>
                            <w:t xml:space="preserve"> </w:t>
                          </w:r>
                        </w:p>
                        <w:p w:rsidR="001C075B" w:rsidRDefault="001C075B" w14:paraId="4F94951F" w14:textId="77777777">
                          <w:pPr>
                            <w:rPr>
                              <w:color w:val="003A68"/>
                              <w:sz w:val="14"/>
                              <w:szCs w:val="14"/>
                            </w:rPr>
                          </w:pPr>
                          <w:r w:rsidRPr="00FA54DF">
                            <w:rPr>
                              <w:color w:val="003A68"/>
                              <w:sz w:val="14"/>
                              <w:szCs w:val="14"/>
                            </w:rPr>
                            <w:t>Apdo. 10058-1000</w:t>
                          </w:r>
                        </w:p>
                        <w:p w:rsidR="001C075B" w:rsidRDefault="001C075B" w14:paraId="1229AF50" w14:textId="77777777">
                          <w:pPr>
                            <w:rPr>
                              <w:color w:val="003A68"/>
                              <w:sz w:val="14"/>
                              <w:szCs w:val="14"/>
                            </w:rPr>
                          </w:pPr>
                          <w:r w:rsidRPr="00FA54DF">
                            <w:rPr>
                              <w:color w:val="003A68"/>
                              <w:sz w:val="14"/>
                              <w:szCs w:val="14"/>
                            </w:rPr>
                            <w:t>Av. 1 y Central, Calles 2 y 4</w:t>
                          </w:r>
                        </w:p>
                        <w:p w:rsidRPr="00FA54DF" w:rsidR="001C075B" w:rsidRDefault="001C075B" w14:paraId="64375CDD"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39E2A34">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7DFBCD1F" w14:textId="5F160A80">
                    <w:pPr>
                      <w:rPr>
                        <w:color w:val="003A68"/>
                        <w:sz w:val="14"/>
                        <w:szCs w:val="14"/>
                      </w:rPr>
                    </w:pPr>
                    <w:r w:rsidRPr="00FA54DF">
                      <w:rPr>
                        <w:color w:val="003A68"/>
                        <w:sz w:val="14"/>
                        <w:szCs w:val="14"/>
                      </w:rPr>
                      <w:t>T. (506) 2243-3631</w:t>
                    </w:r>
                    <w:r w:rsidR="00CF7C58">
                      <w:rPr>
                        <w:color w:val="003A68"/>
                        <w:sz w:val="14"/>
                        <w:szCs w:val="14"/>
                      </w:rPr>
                      <w:t xml:space="preserve"> </w:t>
                    </w:r>
                  </w:p>
                  <w:p w:rsidRPr="00FA54DF" w:rsidR="001C075B" w:rsidRDefault="001C075B" w14:paraId="3FF90729" w14:textId="1AFB7903">
                    <w:pPr>
                      <w:rPr>
                        <w:color w:val="003A68"/>
                        <w:sz w:val="14"/>
                        <w:szCs w:val="14"/>
                      </w:rPr>
                    </w:pPr>
                    <w:r w:rsidRPr="00FA54DF">
                      <w:rPr>
                        <w:color w:val="003A68"/>
                        <w:sz w:val="14"/>
                        <w:szCs w:val="14"/>
                      </w:rPr>
                      <w:t>F. (506) 2243-4579</w:t>
                    </w:r>
                    <w:r w:rsidR="00CF7C58">
                      <w:rPr>
                        <w:color w:val="003A68"/>
                        <w:sz w:val="14"/>
                        <w:szCs w:val="14"/>
                      </w:rPr>
                      <w:t xml:space="preserve"> </w:t>
                    </w:r>
                  </w:p>
                  <w:p w:rsidR="001C075B" w:rsidRDefault="001C075B" w14:paraId="4F94951F" w14:textId="77777777">
                    <w:pPr>
                      <w:rPr>
                        <w:color w:val="003A68"/>
                        <w:sz w:val="14"/>
                        <w:szCs w:val="14"/>
                      </w:rPr>
                    </w:pPr>
                    <w:r w:rsidRPr="00FA54DF">
                      <w:rPr>
                        <w:color w:val="003A68"/>
                        <w:sz w:val="14"/>
                        <w:szCs w:val="14"/>
                      </w:rPr>
                      <w:t>Apdo. 10058-1000</w:t>
                    </w:r>
                  </w:p>
                  <w:p w:rsidR="001C075B" w:rsidRDefault="001C075B" w14:paraId="1229AF50" w14:textId="77777777">
                    <w:pPr>
                      <w:rPr>
                        <w:color w:val="003A68"/>
                        <w:sz w:val="14"/>
                        <w:szCs w:val="14"/>
                      </w:rPr>
                    </w:pPr>
                    <w:r w:rsidRPr="00FA54DF">
                      <w:rPr>
                        <w:color w:val="003A68"/>
                        <w:sz w:val="14"/>
                        <w:szCs w:val="14"/>
                      </w:rPr>
                      <w:t>Av. 1 y Central, Calles 2 y 4</w:t>
                    </w:r>
                  </w:p>
                  <w:p w:rsidRPr="00FA54DF" w:rsidR="001C075B" w:rsidRDefault="001C075B" w14:paraId="64375CDD" w14:textId="77777777">
                    <w:pPr>
                      <w:rPr>
                        <w:color w:val="003A68"/>
                        <w:sz w:val="14"/>
                        <w:szCs w:val="14"/>
                      </w:rPr>
                    </w:pPr>
                  </w:p>
                </w:txbxContent>
              </v:textbox>
            </v:shape>
          </w:pict>
        </mc:Fallback>
      </mc:AlternateContent>
    </w:r>
  </w:p>
  <w:p w:rsidRPr="00D43D57" w:rsidR="001C075B" w:rsidP="008C0BF0" w:rsidRDefault="001C075B" w14:paraId="4D80F21E" w14:textId="77777777">
    <w:pPr>
      <w:pStyle w:val="Piepagina"/>
      <w:jc w:val="center"/>
    </w:pPr>
  </w:p>
  <w:p w:rsidR="001C075B" w:rsidRDefault="001C075B" w14:paraId="66D54F53"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BF499" w14:textId="77777777" w:rsidR="00206FF9" w:rsidRDefault="00206FF9" w:rsidP="00D43D57">
      <w:r>
        <w:separator/>
      </w:r>
    </w:p>
  </w:footnote>
  <w:footnote w:type="continuationSeparator" w:id="0">
    <w:p w14:paraId="6D7DAD27" w14:textId="77777777" w:rsidR="00206FF9" w:rsidRDefault="00206FF9"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1020F1DB" w14:textId="77777777">
    <w:pPr>
      <w:pStyle w:val="Piedepgina"/>
      <w:jc w:val="center"/>
    </w:pPr>
    <w:r>
      <w:rPr>
        <w:noProof/>
        <w:lang w:val="es-CR" w:eastAsia="es-CR"/>
      </w:rPr>
      <w:drawing>
        <wp:inline distT="0" distB="0" distL="0" distR="0" wp14:anchorId="7C56D35A" wp14:editId="29F72BFE">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37B3EBF5" w14:textId="77777777">
    <w:pPr>
      <w:pStyle w:val="Encabezado"/>
      <w:pBdr>
        <w:bottom w:val="single" w:color="auto" w:sz="4" w:space="3"/>
      </w:pBdr>
      <w:ind w:right="-1"/>
      <w:rPr>
        <w:b/>
        <w:sz w:val="20"/>
        <w:szCs w:val="20"/>
      </w:rPr>
    </w:pPr>
    <w:r>
      <w:rPr>
        <w:noProof/>
        <w:lang w:val="es-CR" w:eastAsia="es-CR"/>
      </w:rPr>
      <w:drawing>
        <wp:inline distT="0" distB="0" distL="0" distR="0" wp14:anchorId="0A5F7256" wp14:editId="0AB21687">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0C6FF28B"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364C4CB4"/>
    <w:multiLevelType w:val="hybridMultilevel"/>
    <w:tmpl w:val="AFA24F3C"/>
    <w:lvl w:ilvl="0" w:tplc="140A0019">
      <w:start w:val="1"/>
      <w:numFmt w:val="lowerLetter"/>
      <w:lvlText w:val="%1."/>
      <w:lvlJc w:val="left"/>
      <w:pPr>
        <w:ind w:left="720" w:hanging="72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3" w15:restartNumberingAfterBreak="0">
    <w:nsid w:val="70F8378E"/>
    <w:multiLevelType w:val="hybridMultilevel"/>
    <w:tmpl w:val="16F6607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FF9"/>
    <w:rsid w:val="000064A4"/>
    <w:rsid w:val="000235B5"/>
    <w:rsid w:val="00026C85"/>
    <w:rsid w:val="00041BDD"/>
    <w:rsid w:val="000439A6"/>
    <w:rsid w:val="00060C03"/>
    <w:rsid w:val="000646DD"/>
    <w:rsid w:val="00081865"/>
    <w:rsid w:val="00082968"/>
    <w:rsid w:val="000B231E"/>
    <w:rsid w:val="000C62BB"/>
    <w:rsid w:val="000E0AC6"/>
    <w:rsid w:val="000E4880"/>
    <w:rsid w:val="000F34AE"/>
    <w:rsid w:val="00112EB8"/>
    <w:rsid w:val="00117501"/>
    <w:rsid w:val="001322B4"/>
    <w:rsid w:val="001327EB"/>
    <w:rsid w:val="00145753"/>
    <w:rsid w:val="0016220C"/>
    <w:rsid w:val="001653C6"/>
    <w:rsid w:val="001946F4"/>
    <w:rsid w:val="001A3266"/>
    <w:rsid w:val="001A6574"/>
    <w:rsid w:val="001C075B"/>
    <w:rsid w:val="001C5806"/>
    <w:rsid w:val="001E0448"/>
    <w:rsid w:val="001E6AE9"/>
    <w:rsid w:val="00206FF9"/>
    <w:rsid w:val="00213537"/>
    <w:rsid w:val="00222320"/>
    <w:rsid w:val="00230C67"/>
    <w:rsid w:val="002645B7"/>
    <w:rsid w:val="002A14D5"/>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24FD"/>
    <w:rsid w:val="00365794"/>
    <w:rsid w:val="00373B22"/>
    <w:rsid w:val="00385CC2"/>
    <w:rsid w:val="003A723C"/>
    <w:rsid w:val="003C4C71"/>
    <w:rsid w:val="003E4EDB"/>
    <w:rsid w:val="00410551"/>
    <w:rsid w:val="00414B77"/>
    <w:rsid w:val="00427002"/>
    <w:rsid w:val="00445881"/>
    <w:rsid w:val="00447A41"/>
    <w:rsid w:val="004822E6"/>
    <w:rsid w:val="00484443"/>
    <w:rsid w:val="00492FE3"/>
    <w:rsid w:val="004D7F44"/>
    <w:rsid w:val="004F74E7"/>
    <w:rsid w:val="005105C4"/>
    <w:rsid w:val="0053623F"/>
    <w:rsid w:val="00550D78"/>
    <w:rsid w:val="00557369"/>
    <w:rsid w:val="005706D1"/>
    <w:rsid w:val="005739A8"/>
    <w:rsid w:val="005751FC"/>
    <w:rsid w:val="00577A95"/>
    <w:rsid w:val="00581FF9"/>
    <w:rsid w:val="005852CF"/>
    <w:rsid w:val="00590F07"/>
    <w:rsid w:val="0059392E"/>
    <w:rsid w:val="005A5EDD"/>
    <w:rsid w:val="005A6BA3"/>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84845"/>
    <w:rsid w:val="00692661"/>
    <w:rsid w:val="00694E5D"/>
    <w:rsid w:val="006B48C6"/>
    <w:rsid w:val="006C2059"/>
    <w:rsid w:val="006E3610"/>
    <w:rsid w:val="006E6F58"/>
    <w:rsid w:val="0071134B"/>
    <w:rsid w:val="00714DC4"/>
    <w:rsid w:val="0071617D"/>
    <w:rsid w:val="00737BEB"/>
    <w:rsid w:val="00742018"/>
    <w:rsid w:val="0074397B"/>
    <w:rsid w:val="007455FF"/>
    <w:rsid w:val="00755896"/>
    <w:rsid w:val="00765619"/>
    <w:rsid w:val="007736D4"/>
    <w:rsid w:val="0079518D"/>
    <w:rsid w:val="007B18D6"/>
    <w:rsid w:val="007B51DD"/>
    <w:rsid w:val="007D1328"/>
    <w:rsid w:val="007F1723"/>
    <w:rsid w:val="007F327D"/>
    <w:rsid w:val="007F3A44"/>
    <w:rsid w:val="007F5430"/>
    <w:rsid w:val="0081479B"/>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D5B19"/>
    <w:rsid w:val="008E5850"/>
    <w:rsid w:val="008F1461"/>
    <w:rsid w:val="008F33F5"/>
    <w:rsid w:val="008F39AB"/>
    <w:rsid w:val="00904CBE"/>
    <w:rsid w:val="00906CC5"/>
    <w:rsid w:val="00931226"/>
    <w:rsid w:val="00936085"/>
    <w:rsid w:val="009475B6"/>
    <w:rsid w:val="00962265"/>
    <w:rsid w:val="0097235C"/>
    <w:rsid w:val="00977CEE"/>
    <w:rsid w:val="00982147"/>
    <w:rsid w:val="00983CB1"/>
    <w:rsid w:val="00984A65"/>
    <w:rsid w:val="009908DE"/>
    <w:rsid w:val="009B5E5E"/>
    <w:rsid w:val="009B5E82"/>
    <w:rsid w:val="009C47FE"/>
    <w:rsid w:val="009E1B12"/>
    <w:rsid w:val="009F54CB"/>
    <w:rsid w:val="00A069AC"/>
    <w:rsid w:val="00A26E9E"/>
    <w:rsid w:val="00A34523"/>
    <w:rsid w:val="00A5671D"/>
    <w:rsid w:val="00A60EA3"/>
    <w:rsid w:val="00A70DF7"/>
    <w:rsid w:val="00A76A2E"/>
    <w:rsid w:val="00A776AC"/>
    <w:rsid w:val="00A84CDB"/>
    <w:rsid w:val="00A906DD"/>
    <w:rsid w:val="00AC28A8"/>
    <w:rsid w:val="00AC5138"/>
    <w:rsid w:val="00AC5E12"/>
    <w:rsid w:val="00AE3929"/>
    <w:rsid w:val="00AF45B7"/>
    <w:rsid w:val="00B079EC"/>
    <w:rsid w:val="00B10CF5"/>
    <w:rsid w:val="00B1318C"/>
    <w:rsid w:val="00B16768"/>
    <w:rsid w:val="00B43C40"/>
    <w:rsid w:val="00B464F6"/>
    <w:rsid w:val="00B77CF0"/>
    <w:rsid w:val="00B80284"/>
    <w:rsid w:val="00B84E87"/>
    <w:rsid w:val="00B90216"/>
    <w:rsid w:val="00B94DE2"/>
    <w:rsid w:val="00BA112E"/>
    <w:rsid w:val="00BA711C"/>
    <w:rsid w:val="00BB0F2F"/>
    <w:rsid w:val="00BB470C"/>
    <w:rsid w:val="00BB61B9"/>
    <w:rsid w:val="00BC03D6"/>
    <w:rsid w:val="00BD71E9"/>
    <w:rsid w:val="00BE119A"/>
    <w:rsid w:val="00BE6A0B"/>
    <w:rsid w:val="00BE7B10"/>
    <w:rsid w:val="00C039CE"/>
    <w:rsid w:val="00C1795E"/>
    <w:rsid w:val="00C22C6C"/>
    <w:rsid w:val="00C414C9"/>
    <w:rsid w:val="00C42047"/>
    <w:rsid w:val="00C5093E"/>
    <w:rsid w:val="00C526D3"/>
    <w:rsid w:val="00C60480"/>
    <w:rsid w:val="00C64425"/>
    <w:rsid w:val="00C70082"/>
    <w:rsid w:val="00C809BA"/>
    <w:rsid w:val="00C9305E"/>
    <w:rsid w:val="00C967C9"/>
    <w:rsid w:val="00CA3FA8"/>
    <w:rsid w:val="00CB07CA"/>
    <w:rsid w:val="00CC03EB"/>
    <w:rsid w:val="00CD6B9C"/>
    <w:rsid w:val="00CF294C"/>
    <w:rsid w:val="00CF475A"/>
    <w:rsid w:val="00CF57F9"/>
    <w:rsid w:val="00CF7C58"/>
    <w:rsid w:val="00D03728"/>
    <w:rsid w:val="00D06E99"/>
    <w:rsid w:val="00D102F8"/>
    <w:rsid w:val="00D10AD8"/>
    <w:rsid w:val="00D2424F"/>
    <w:rsid w:val="00D26EDE"/>
    <w:rsid w:val="00D32808"/>
    <w:rsid w:val="00D43D57"/>
    <w:rsid w:val="00D44EF3"/>
    <w:rsid w:val="00D45FC0"/>
    <w:rsid w:val="00D54C08"/>
    <w:rsid w:val="00D55CA3"/>
    <w:rsid w:val="00D96D0A"/>
    <w:rsid w:val="00DB3508"/>
    <w:rsid w:val="00DB3E70"/>
    <w:rsid w:val="00DB7D64"/>
    <w:rsid w:val="00DC2193"/>
    <w:rsid w:val="00DC3B8E"/>
    <w:rsid w:val="00DE08C6"/>
    <w:rsid w:val="00E0013C"/>
    <w:rsid w:val="00E11252"/>
    <w:rsid w:val="00E13C47"/>
    <w:rsid w:val="00E5185D"/>
    <w:rsid w:val="00E75AC8"/>
    <w:rsid w:val="00E82177"/>
    <w:rsid w:val="00EB4E27"/>
    <w:rsid w:val="00EB71D8"/>
    <w:rsid w:val="00EC2E48"/>
    <w:rsid w:val="00ED0FDD"/>
    <w:rsid w:val="00ED12FA"/>
    <w:rsid w:val="00EE00D4"/>
    <w:rsid w:val="00EE3A47"/>
    <w:rsid w:val="00EE50C9"/>
    <w:rsid w:val="00EF0C8B"/>
    <w:rsid w:val="00F10AFE"/>
    <w:rsid w:val="00F1102D"/>
    <w:rsid w:val="00F1297C"/>
    <w:rsid w:val="00F12A97"/>
    <w:rsid w:val="00F349A6"/>
    <w:rsid w:val="00F6038D"/>
    <w:rsid w:val="00F654F5"/>
    <w:rsid w:val="00F731A3"/>
    <w:rsid w:val="00F84381"/>
    <w:rsid w:val="00F8680D"/>
    <w:rsid w:val="00FA1E58"/>
    <w:rsid w:val="00FA54DF"/>
    <w:rsid w:val="00FB79EB"/>
    <w:rsid w:val="00FD662F"/>
    <w:rsid w:val="00FE41AC"/>
    <w:rsid w:val="00FE44E2"/>
    <w:rsid w:val="00FF0B80"/>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143B5316"/>
  <w15:docId w15:val="{B8009A7C-A549-4399-ADE8-F1663F28E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styleId="Hipervnculo">
    <w:name w:val="Hyperlink"/>
    <w:basedOn w:val="Fuentedeprrafopredeter"/>
    <w:unhideWhenUsed/>
    <w:locked/>
    <w:rsid w:val="00581FF9"/>
    <w:rPr>
      <w:color w:val="4F81BD" w:themeColor="hyperlink"/>
      <w:u w:val="single"/>
    </w:rPr>
  </w:style>
  <w:style w:type="paragraph" w:styleId="NormalWeb">
    <w:name w:val="Normal (Web)"/>
    <w:basedOn w:val="Normal"/>
    <w:semiHidden/>
    <w:unhideWhenUsed/>
    <w:locked/>
    <w:rsid w:val="00206FF9"/>
    <w:pPr>
      <w:spacing w:before="100" w:beforeAutospacing="1" w:after="100" w:afterAutospacing="1" w:line="240" w:lineRule="auto"/>
      <w:jc w:val="left"/>
    </w:pPr>
    <w:rPr>
      <w:rFonts w:ascii="Times New Roman" w:hAnsi="Times New Roman"/>
      <w:color w:val="000000"/>
      <w:sz w:val="20"/>
      <w:szCs w:val="20"/>
      <w:lang w:eastAsia="es-ES"/>
    </w:rPr>
  </w:style>
  <w:style w:type="paragraph" w:styleId="Textoindependiente2">
    <w:name w:val="Body Text 2"/>
    <w:basedOn w:val="Normal"/>
    <w:link w:val="Textoindependiente2Car"/>
    <w:locked/>
    <w:rsid w:val="00206FF9"/>
    <w:pPr>
      <w:spacing w:line="240" w:lineRule="auto"/>
    </w:pPr>
    <w:rPr>
      <w:rFonts w:ascii="Times New Roman" w:hAnsi="Times New Roman"/>
      <w:sz w:val="24"/>
      <w:szCs w:val="20"/>
      <w:lang w:val="es-ES_tradnl" w:eastAsia="es-ES"/>
    </w:rPr>
  </w:style>
  <w:style w:type="character" w:customStyle="1" w:styleId="Textoindependiente2Car">
    <w:name w:val="Texto independiente 2 Car"/>
    <w:basedOn w:val="Fuentedeprrafopredeter"/>
    <w:link w:val="Textoindependiente2"/>
    <w:rsid w:val="00206FF9"/>
    <w:rPr>
      <w:rFonts w:ascii="Times New Roman" w:eastAsia="Times New Roman" w:hAnsi="Times New Roman"/>
      <w:sz w:val="24"/>
      <w:lang w:val="es-ES_tradnl" w:eastAsia="es-ES"/>
    </w:rPr>
  </w:style>
  <w:style w:type="paragraph" w:styleId="Prrafodelista">
    <w:name w:val="List Paragraph"/>
    <w:basedOn w:val="Normal"/>
    <w:uiPriority w:val="34"/>
    <w:qFormat/>
    <w:locked/>
    <w:rsid w:val="00B16768"/>
    <w:pPr>
      <w:ind w:left="720"/>
      <w:contextualSpacing/>
    </w:pPr>
  </w:style>
  <w:style w:type="paragraph" w:customStyle="1" w:styleId="Default">
    <w:name w:val="Default"/>
    <w:rsid w:val="00B16768"/>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860362">
      <w:bodyDiv w:val="1"/>
      <w:marLeft w:val="0"/>
      <w:marRight w:val="0"/>
      <w:marTop w:val="0"/>
      <w:marBottom w:val="0"/>
      <w:divBdr>
        <w:top w:val="none" w:sz="0" w:space="0" w:color="auto"/>
        <w:left w:val="none" w:sz="0" w:space="0" w:color="auto"/>
        <w:bottom w:val="none" w:sz="0" w:space="0" w:color="auto"/>
        <w:right w:val="none" w:sz="0" w:space="0" w:color="auto"/>
      </w:divBdr>
    </w:div>
    <w:div w:id="198982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montoya@sugef.fi.c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BorradoresInfCrediticia/Forms/Correspondencia%20Externa%20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F8293CECE1E45738987F45C87D3F644"/>
        <w:category>
          <w:name w:val="General"/>
          <w:gallery w:val="placeholder"/>
        </w:category>
        <w:types>
          <w:type w:val="bbPlcHdr"/>
        </w:types>
        <w:behaviors>
          <w:behavior w:val="content"/>
        </w:behaviors>
        <w:guid w:val="{21415D3A-2E35-4250-85CA-F24CF591C028}"/>
      </w:docPartPr>
      <w:docPartBody>
        <w:p w:rsidR="000F64D4" w:rsidRDefault="000F64D4">
          <w:pPr>
            <w:pStyle w:val="7F8293CECE1E45738987F45C87D3F644"/>
          </w:pPr>
          <w:r w:rsidRPr="001E0779">
            <w:rPr>
              <w:rStyle w:val="Textodelmarcadordeposicin"/>
            </w:rPr>
            <w:t>Haga clic aquí para escribir texto.</w:t>
          </w:r>
        </w:p>
      </w:docPartBody>
    </w:docPart>
    <w:docPart>
      <w:docPartPr>
        <w:name w:val="062F3BA858B8429B9019A5F2072DD415"/>
        <w:category>
          <w:name w:val="General"/>
          <w:gallery w:val="placeholder"/>
        </w:category>
        <w:types>
          <w:type w:val="bbPlcHdr"/>
        </w:types>
        <w:behaviors>
          <w:behavior w:val="content"/>
        </w:behaviors>
        <w:guid w:val="{63D0D297-862A-452B-BC79-DE3B938E24F8}"/>
      </w:docPartPr>
      <w:docPartBody>
        <w:p w:rsidR="000F64D4" w:rsidRDefault="000F64D4">
          <w:pPr>
            <w:pStyle w:val="062F3BA858B8429B9019A5F2072DD415"/>
          </w:pPr>
          <w:r>
            <w:rPr>
              <w:rStyle w:val="Textodelmarcadordeposicin"/>
            </w:rPr>
            <w:t>Elija un elemento.</w:t>
          </w:r>
        </w:p>
      </w:docPartBody>
    </w:docPart>
    <w:docPart>
      <w:docPartPr>
        <w:name w:val="DF75905AB0CA448BA6CA20790C9ECBFC"/>
        <w:category>
          <w:name w:val="General"/>
          <w:gallery w:val="placeholder"/>
        </w:category>
        <w:types>
          <w:type w:val="bbPlcHdr"/>
        </w:types>
        <w:behaviors>
          <w:behavior w:val="content"/>
        </w:behaviors>
        <w:guid w:val="{E20C8AA6-7AE6-43DF-865D-34DA78F2CC7D}"/>
      </w:docPartPr>
      <w:docPartBody>
        <w:p w:rsidR="00DA546C" w:rsidRDefault="00EA2ABC" w:rsidP="00EA2ABC">
          <w:pPr>
            <w:pStyle w:val="DF75905AB0CA448BA6CA20790C9ECBFC"/>
          </w:pPr>
          <w:r w:rsidRPr="00016D12">
            <w:rPr>
              <w:rStyle w:val="Textodelmarcadordeposicin"/>
            </w:rPr>
            <w:t>Haga clic aquí para escribir texto.</w:t>
          </w:r>
        </w:p>
      </w:docPartBody>
    </w:docPart>
    <w:docPart>
      <w:docPartPr>
        <w:name w:val="8DBD8497016D49CA8067483D2D773F72"/>
        <w:category>
          <w:name w:val="General"/>
          <w:gallery w:val="placeholder"/>
        </w:category>
        <w:types>
          <w:type w:val="bbPlcHdr"/>
        </w:types>
        <w:behaviors>
          <w:behavior w:val="content"/>
        </w:behaviors>
        <w:guid w:val="{30B05590-C28A-4FB4-B6D4-FD844DFAA1B3}"/>
      </w:docPartPr>
      <w:docPartBody>
        <w:p w:rsidR="00DA546C" w:rsidRDefault="00EA2ABC" w:rsidP="00EA2ABC">
          <w:pPr>
            <w:pStyle w:val="8DBD8497016D49CA8067483D2D773F72"/>
          </w:pPr>
          <w:r w:rsidRPr="00016D1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4D4"/>
    <w:rsid w:val="000F64D4"/>
    <w:rsid w:val="00DA546C"/>
    <w:rsid w:val="00EA2AB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A2ABC"/>
    <w:rPr>
      <w:color w:val="808080"/>
    </w:rPr>
  </w:style>
  <w:style w:type="paragraph" w:customStyle="1" w:styleId="7F8293CECE1E45738987F45C87D3F644">
    <w:name w:val="7F8293CECE1E45738987F45C87D3F644"/>
  </w:style>
  <w:style w:type="paragraph" w:customStyle="1" w:styleId="062F3BA858B8429B9019A5F2072DD415">
    <w:name w:val="062F3BA858B8429B9019A5F2072DD415"/>
  </w:style>
  <w:style w:type="paragraph" w:customStyle="1" w:styleId="DF75905AB0CA448BA6CA20790C9ECBFC">
    <w:name w:val="DF75905AB0CA448BA6CA20790C9ECBFC"/>
    <w:rsid w:val="00EA2ABC"/>
  </w:style>
  <w:style w:type="paragraph" w:customStyle="1" w:styleId="8DBD8497016D49CA8067483D2D773F72">
    <w:name w:val="8DBD8497016D49CA8067483D2D773F72"/>
    <w:rsid w:val="00EA2A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1+dSIAd7ERR5P5QXwo+s5aX9dFYUcfXBDqY4D0xWIpA=</DigestValue>
    </Reference>
    <Reference Type="http://www.w3.org/2000/09/xmldsig#Object" URI="#idOfficeObject">
      <DigestMethod Algorithm="http://www.w3.org/2001/04/xmlenc#sha256"/>
      <DigestValue>D32n6twDmxtN252ZMHyvEriQl47MC+ENDRGQ5bcLTx0=</DigestValue>
    </Reference>
    <Reference Type="http://uri.etsi.org/01903#SignedProperties" URI="#idSignedProperties">
      <Transforms>
        <Transform Algorithm="http://www.w3.org/TR/2001/REC-xml-c14n-20010315"/>
      </Transforms>
      <DigestMethod Algorithm="http://www.w3.org/2001/04/xmlenc#sha256"/>
      <DigestValue>qMBjFC01hkYDVYN1uwtGW3PdMR29mol73wIAyuYGIaA=</DigestValue>
    </Reference>
  </SignedInfo>
  <SignatureValue>g49mGjEIJvibn51sUDm6ZubuxS6jPSI4nS4VYhNAVU04rMHJcBYWEQY+WFO8mGZXlwAGYcnaoIWN
QOeEy4xhB7zXP3R9SOenrkO8WqO7qVVRnTqYtzslPFHHZedJZyxZ7K1oRkUVH73t3BJIOrk/9or5
nU0PU5pDlLx7TEHAqxIZNGv7sqgbNBWxo9E4vl+MRV4cdy+S8QkUVeSnmDQ0Ro6SLRMozI1JrqEt
Cw7nR3y6S+deG8IsGULy0govsiPbilLRpphInjxeBvoIMcTkrr+GNE+8FhlM0s1TOUpGQAta76RI
RPIaLSKTQvUH+Tad9kOzqHnU1ME1gk1N0iwJ0g==</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DgWWBpF7fWCQYsSNkgf93G8hqWve4FN9ZVlSunXf71s=</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hk7ypcMM2YCtGpHsgrd+TbbSQ8e8oq4H0VP03grQQrA=</DigestValue>
      </Reference>
      <Reference URI="/word/document.xml?ContentType=application/vnd.openxmlformats-officedocument.wordprocessingml.document.main+xml">
        <DigestMethod Algorithm="http://www.w3.org/2001/04/xmlenc#sha256"/>
        <DigestValue>9uBmRUsdpemaOZ0P/S/NbqKL7o3LRlvak/V7So3ITAQ=</DigestValue>
      </Reference>
      <Reference URI="/word/endnotes.xml?ContentType=application/vnd.openxmlformats-officedocument.wordprocessingml.endnotes+xml">
        <DigestMethod Algorithm="http://www.w3.org/2001/04/xmlenc#sha256"/>
        <DigestValue>5PY7LVjGdktu6nygShQGn39HIGG1kCAH9rCHunuIR9Y=</DigestValue>
      </Reference>
      <Reference URI="/word/fontTable.xml?ContentType=application/vnd.openxmlformats-officedocument.wordprocessingml.fontTable+xml">
        <DigestMethod Algorithm="http://www.w3.org/2001/04/xmlenc#sha256"/>
        <DigestValue>K5lbWqTs+Mm6ntM2KDDsap7http/w7qYfTSUzWb/jMA=</DigestValue>
      </Reference>
      <Reference URI="/word/footer1.xml?ContentType=application/vnd.openxmlformats-officedocument.wordprocessingml.footer+xml">
        <DigestMethod Algorithm="http://www.w3.org/2001/04/xmlenc#sha256"/>
        <DigestValue>VNUos8+xCCKNlItO5xZuA4vEK6Iy/XhenEMeYuY2KCA=</DigestValue>
      </Reference>
      <Reference URI="/word/footer2.xml?ContentType=application/vnd.openxmlformats-officedocument.wordprocessingml.footer+xml">
        <DigestMethod Algorithm="http://www.w3.org/2001/04/xmlenc#sha256"/>
        <DigestValue>cKZkWLLL2cf03VZwyed3aXtlYAeYzahQ4yZpotK11rc=</DigestValue>
      </Reference>
      <Reference URI="/word/footnotes.xml?ContentType=application/vnd.openxmlformats-officedocument.wordprocessingml.footnotes+xml">
        <DigestMethod Algorithm="http://www.w3.org/2001/04/xmlenc#sha256"/>
        <DigestValue>TKpdFOed/coJKSaTiyz1Y7ZQKeqnRs8+Qw3xP8Eqh2I=</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sw2lgaIpTXBhN4KR9LMHwQFNONLiNnUrNIJJF0OLxFY=</DigestValue>
      </Reference>
      <Reference URI="/word/glossary/fontTable.xml?ContentType=application/vnd.openxmlformats-officedocument.wordprocessingml.fontTable+xml">
        <DigestMethod Algorithm="http://www.w3.org/2001/04/xmlenc#sha256"/>
        <DigestValue>dv5NgbK/5wUOho0reExJcg4fGxT5kJnIE+mFGQ5hOCQ=</DigestValue>
      </Reference>
      <Reference URI="/word/glossary/settings.xml?ContentType=application/vnd.openxmlformats-officedocument.wordprocessingml.settings+xml">
        <DigestMethod Algorithm="http://www.w3.org/2001/04/xmlenc#sha256"/>
        <DigestValue>x4hacspnvUGpgu0MY/FniodVx0m08uzqoVnKW+WLdhA=</DigestValue>
      </Reference>
      <Reference URI="/word/glossary/styles.xml?ContentType=application/vnd.openxmlformats-officedocument.wordprocessingml.styles+xml">
        <DigestMethod Algorithm="http://www.w3.org/2001/04/xmlenc#sha256"/>
        <DigestValue>wUAo2Z4KrSzARspMqcr5TbIod+enBI4MXkJmXPAEtKw=</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Q0pK5TZnbhUoZ4+u20RFXCj3MFFYLjgTayHNglK1gV4=</DigestValue>
      </Reference>
      <Reference URI="/word/header2.xml?ContentType=application/vnd.openxmlformats-officedocument.wordprocessingml.header+xml">
        <DigestMethod Algorithm="http://www.w3.org/2001/04/xmlenc#sha256"/>
        <DigestValue>Dgc4vEe0jC2q36F7NZDFjM/chJ5mNRga3akLYAKJDgU=</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TmRuVYtn7ju30UFMcA8s2mMgmAXV2AhHS59UPurG2Sk=</DigestValue>
      </Reference>
      <Reference URI="/word/settings.xml?ContentType=application/vnd.openxmlformats-officedocument.wordprocessingml.settings+xml">
        <DigestMethod Algorithm="http://www.w3.org/2001/04/xmlenc#sha256"/>
        <DigestValue>nGFrV1HvVuZALu7GphicS4Cpog/+sq5s2Atps0a7EcQ=</DigestValue>
      </Reference>
      <Reference URI="/word/styles.xml?ContentType=application/vnd.openxmlformats-officedocument.wordprocessingml.styles+xml">
        <DigestMethod Algorithm="http://www.w3.org/2001/04/xmlenc#sha256"/>
        <DigestValue>zrxiCTVjEdZEJ6PP+MCyoKUIPZgKJWNvCMRWbwyyDXc=</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1LxBfyHc/p002jkwGUrtvb4M33YB0pqZJ+zdcL2cTGI=</DigestValue>
      </Reference>
    </Manifest>
    <SignatureProperties>
      <SignatureProperty Id="idSignatureTime" Target="#idPackageSignature">
        <mdssi:SignatureTime xmlns:mdssi="http://schemas.openxmlformats.org/package/2006/digital-signature">
          <mdssi:Format>YYYY-MM-DDThh:mm:ssTZD</mdssi:Format>
          <mdssi:Value>2018-12-19T19:23:55Z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2018-12-19T19:23:55Z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documentManagement>
    <TaxCatchAll xmlns="b875e23b-67d9-4b2e-bdec-edacbf90b326">
      <Value>426</Value>
      <Value>130</Value>
      <Value>3</Value>
      <Value>2</Value>
      <Value>63</Value>
    </TaxCatchAll>
    <OtraEntidadExterna xmlns="b875e23b-67d9-4b2e-bdec-edacbf90b326">A las entidades indicadas en la Circular Externa</OtraEntidadExterna>
    <Firmado xmlns="b875e23b-67d9-4b2e-bdec-edacbf90b326">true</Firmado>
    <Responsable xmlns="b875e23b-67d9-4b2e-bdec-edacbf90b326">
      <UserInfo>
        <DisplayName>MONTOYA SOLANO EDUARDO ANTONIO</DisplayName>
        <AccountId>310</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SALIENTE INFORMACION CREDITICIA</DisplayName>
        <AccountId>692</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Circular</TermName>
          <TermId>a95dd0af-ef18-4305-9c8d-aa79141c6059</TermId>
        </TermInfo>
      </Terms>
    </l7effaed12754cb5ac10c41f8d7b4c94>
    <ObservacionesCorrespondencia xmlns="b875e23b-67d9-4b2e-bdec-edacbf90b326">Circula Externa Identificación de nuevos requerimientos de información para una mejor administración de las carteras crediticias
Copiar a SALIENTE INFORMACIÓN CREDITICIA</ObservacionesCorrespondencia>
    <lb0b7da792b243d9bfa96ad7487ad734 xmlns="b875e23b-67d9-4b2e-bdec-edacbf90b326">
      <Terms xmlns="http://schemas.microsoft.com/office/infopath/2007/PartnerControls">
        <TermInfo xmlns="http://schemas.microsoft.com/office/infopath/2007/PartnerControls">
          <TermName>Confidencial</TermName>
          <TermId>d19c5cf3-f0e9-4d18-86d2-7bee4000e1ea</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División Servicios Técnicos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2018</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 Externa Cierre de autorizaciones CIC por incumplimiento Acuerdo Sugef 7-06</Subject1>
    <Entrante_x0020_relacionado xmlns="b875e23b-67d9-4b2e-bdec-edacbf90b326">
      <Url xsi:nil="true"/>
      <Description xsi:nil="true"/>
    </Entrante_x0020_relacionado>
  </documentManagement>
</p:propertie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1" ma:contentTypeDescription="Crear nuevo documento." ma:contentTypeScope="" ma:versionID="1500980c73a489ef6219d7aa99ae53e4">
  <xsd:schema xmlns:xsd="http://www.w3.org/2001/XMLSchema" xmlns:xs="http://www.w3.org/2001/XMLSchema" xmlns:p="http://schemas.microsoft.com/office/2006/metadata/properties" xmlns:ns2="b875e23b-67d9-4b2e-bdec-edacbf90b326" targetNamespace="http://schemas.microsoft.com/office/2006/metadata/properties" ma:root="true" ma:fieldsID="52f390f67254594a3867c641587fb5f8"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NoReferencia"/>
                <xsd:element ref="ns2:Entrante_x0020_relacionado" minOccurs="0"/>
                <xsd:element ref="ns2:Secretaria" minOccurs="0"/>
                <xsd:element ref="ns2:oe70cbf463ba4d19a6203d9e6cd457e4" minOccurs="0"/>
                <xsd:element ref="ns2:OtraEntidadExterna" minOccurs="0"/>
                <xsd:element ref="ns2:RemitenteOrig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default="2018"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oReferencia" ma:index="35" ma:displayName="No. Referencia" ma:internalName="NoReferencia" ma:readOnly="false">
      <xsd:simpleType>
        <xsd:restriction base="dms:Text"/>
      </xsd:simpleType>
    </xsd:element>
    <xsd:element name="Entrante_x0020_relacionado" ma:index="36"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7"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8"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9"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40" nillable="true" ma:displayName="Remitente original" ma:internalName="RemitenteOrigina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F84DD-F411-4F45-98ED-10D83F9231A4}"/>
</file>

<file path=customXml/itemProps2.xml><?xml version="1.0" encoding="utf-8"?>
<ds:datastoreItem xmlns:ds="http://schemas.openxmlformats.org/officeDocument/2006/customXml" ds:itemID="{283BF82E-1A70-4392-8CF2-7DEAFF1953AE}"/>
</file>

<file path=customXml/itemProps3.xml><?xml version="1.0" encoding="utf-8"?>
<ds:datastoreItem xmlns:ds="http://schemas.openxmlformats.org/officeDocument/2006/customXml" ds:itemID="{7F75E0E4-0BBF-49BF-B044-42F4080BC7A3}"/>
</file>

<file path=customXml/itemProps4.xml><?xml version="1.0" encoding="utf-8"?>
<ds:datastoreItem xmlns:ds="http://schemas.openxmlformats.org/officeDocument/2006/customXml" ds:itemID="{C8BF7237-7071-47B9-A7EF-78F803F2012F}"/>
</file>

<file path=customXml/itemProps5.xml><?xml version="1.0" encoding="utf-8"?>
<ds:datastoreItem xmlns:ds="http://schemas.openxmlformats.org/officeDocument/2006/customXml" ds:itemID="{57A03E46-0436-4435-9883-289269C820AE}"/>
</file>

<file path=customXml/itemProps6.xml><?xml version="1.0" encoding="utf-8"?>
<ds:datastoreItem xmlns:ds="http://schemas.openxmlformats.org/officeDocument/2006/customXml" ds:itemID="{BC2DAC9F-7901-49C6-B007-1B180827B4C9}"/>
</file>

<file path=docProps/app.xml><?xml version="1.0" encoding="utf-8"?>
<Properties xmlns="http://schemas.openxmlformats.org/officeDocument/2006/extended-properties" xmlns:vt="http://schemas.openxmlformats.org/officeDocument/2006/docPropsVTypes">
  <Template>plantilla-SGF-13.dotm</Template>
  <TotalTime>97</TotalTime>
  <Pages>4</Pages>
  <Words>1022</Words>
  <Characters>5621</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6630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VARGAS LEAL MARIA GABRIELA</dc:creator>
  <cp:lastModifiedBy>VARGAS LEAL MARIA GABRIELA</cp:lastModifiedBy>
  <cp:revision>15</cp:revision>
  <cp:lastPrinted>2015-07-30T22:36:00Z</cp:lastPrinted>
  <dcterms:created xsi:type="dcterms:W3CDTF">2018-12-07T21:27:00Z</dcterms:created>
  <dcterms:modified xsi:type="dcterms:W3CDTF">2018-12-18T14:34:00Z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_dlc_policyId">
    <vt:lpwstr>0x010100E97154E09FCE6A4E8EAEBD5C54DD1AE4|-1695030217</vt:lpwstr>
  </property>
  <property fmtid="{D5CDD505-2E9C-101B-9397-08002B2CF9AE}" pid="5" name="Tipo Documental">
    <vt:lpwstr>426;#Circular|a95dd0af-ef18-4305-9c8d-aa79141c6059</vt:lpwstr>
  </property>
  <property fmtid="{D5CDD505-2E9C-101B-9397-08002B2CF9AE}" pid="6"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130;#Confidencial|d19c5cf3-f0e9-4d18-86d2-7bee4000e1ea</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110400</vt:r8>
  </property>
  <property fmtid="{D5CDD505-2E9C-101B-9397-08002B2CF9AE}" pid="13" name="Confidencialidad">
    <vt:lpwstr>Confidencial|d19c5cf3-f0e9-4d18-86d2-7bee4000e1ea</vt:lpwstr>
  </property>
  <property fmtid="{D5CDD505-2E9C-101B-9397-08002B2CF9AE}" pid="14" name="WorkflowChangePath">
    <vt:lpwstr>db02241f-29c2-4291-a3e5-2279928b3947,6;cb1954ac-0595-4038-a807-eb26625a3b7c,9;cb1954ac-0595-4038-a807-eb26625a3b7c,9;</vt:lpwstr>
  </property>
</Properties>
</file>