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7D036" w14:textId="701B983C" w:rsidR="006972C9" w:rsidRPr="002E2B0A" w:rsidRDefault="00E30256" w:rsidP="006F502B">
      <w:pPr>
        <w:pStyle w:val="Texto"/>
        <w:spacing w:before="0" w:after="0" w:line="240" w:lineRule="auto"/>
        <w:rPr>
          <w:sz w:val="24"/>
        </w:rPr>
      </w:pPr>
      <w:r>
        <w:rPr>
          <w:sz w:val="24"/>
        </w:rPr>
        <w:t>22 de diciembre 2021</w:t>
      </w:r>
    </w:p>
    <w:sdt>
      <w:sdtPr>
        <w:rPr>
          <w:sz w:val="24"/>
        </w:rPr>
        <w:alias w:val="Consecutivo"/>
        <w:tag w:val="Consecutivo"/>
        <w:id w:val="2052717023"/>
        <w:placeholder>
          <w:docPart w:val="43E7C0544925405F9575B9E5112BC3B5"/>
        </w:placeholder>
        <w:text/>
      </w:sdtPr>
      <w:sdtEndPr/>
      <w:sdtContent>
        <w:p w14:paraId="51EB7551" w14:textId="77777777" w:rsidR="006972C9" w:rsidRDefault="006972C9" w:rsidP="006F502B">
          <w:pPr>
            <w:tabs>
              <w:tab w:val="left" w:pos="2843"/>
            </w:tabs>
            <w:spacing w:line="240" w:lineRule="auto"/>
            <w:rPr>
              <w:sz w:val="24"/>
            </w:rPr>
          </w:pPr>
          <w:r>
            <w:t>SGF-3582-2021</w:t>
          </w:r>
        </w:p>
      </w:sdtContent>
    </w:sdt>
    <w:p w14:paraId="51008C20" w14:textId="2F802DCF" w:rsidR="006972C9" w:rsidRDefault="007454B8" w:rsidP="006F502B">
      <w:pPr>
        <w:tabs>
          <w:tab w:val="left" w:pos="2843"/>
        </w:tabs>
        <w:spacing w:line="240" w:lineRule="auto"/>
        <w:rPr>
          <w:sz w:val="24"/>
        </w:rPr>
      </w:pPr>
      <w:sdt>
        <w:sdtPr>
          <w:rPr>
            <w:sz w:val="24"/>
          </w:rPr>
          <w:alias w:val="Confidencialidad"/>
          <w:tag w:val="Confidencialidad"/>
          <w:id w:val="1447896894"/>
          <w:placeholder>
            <w:docPart w:val="840905FAA2DB4D09BF0039B12DD22BEE"/>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E30256">
            <w:rPr>
              <w:sz w:val="24"/>
            </w:rPr>
            <w:t>SGF-PUBLICO</w:t>
          </w:r>
        </w:sdtContent>
      </w:sdt>
    </w:p>
    <w:p w14:paraId="1D0C9074" w14:textId="77777777" w:rsidR="006972C9" w:rsidRPr="002E2B0A" w:rsidRDefault="006972C9" w:rsidP="006F502B">
      <w:pPr>
        <w:tabs>
          <w:tab w:val="left" w:pos="2843"/>
        </w:tabs>
        <w:spacing w:line="240" w:lineRule="auto"/>
        <w:rPr>
          <w:sz w:val="24"/>
        </w:rPr>
      </w:pPr>
      <w:r w:rsidRPr="002E2B0A">
        <w:rPr>
          <w:sz w:val="24"/>
        </w:rPr>
        <w:tab/>
      </w:r>
    </w:p>
    <w:p w14:paraId="77180828" w14:textId="77777777" w:rsidR="00E30256" w:rsidRPr="00C43CEC" w:rsidRDefault="00E30256" w:rsidP="00E30256">
      <w:pPr>
        <w:spacing w:line="240" w:lineRule="auto"/>
        <w:jc w:val="center"/>
        <w:rPr>
          <w:b/>
          <w:bCs/>
          <w:sz w:val="24"/>
        </w:rPr>
      </w:pPr>
      <w:r w:rsidRPr="00C43CEC">
        <w:rPr>
          <w:b/>
          <w:bCs/>
          <w:sz w:val="24"/>
        </w:rPr>
        <w:t>Circular Externa</w:t>
      </w:r>
    </w:p>
    <w:p w14:paraId="35029789" w14:textId="77777777" w:rsidR="00E30256" w:rsidRPr="00C43CEC" w:rsidRDefault="00E30256" w:rsidP="00E30256">
      <w:pPr>
        <w:tabs>
          <w:tab w:val="left" w:pos="2843"/>
        </w:tabs>
        <w:spacing w:line="240" w:lineRule="auto"/>
        <w:rPr>
          <w:sz w:val="24"/>
        </w:rPr>
      </w:pPr>
      <w:r w:rsidRPr="00C43CEC">
        <w:rPr>
          <w:sz w:val="24"/>
        </w:rPr>
        <w:tab/>
      </w:r>
    </w:p>
    <w:p w14:paraId="3F7C441A" w14:textId="77777777" w:rsidR="00E30256" w:rsidRPr="00C43CEC" w:rsidRDefault="00E30256" w:rsidP="00E30256">
      <w:pPr>
        <w:tabs>
          <w:tab w:val="left" w:pos="2843"/>
        </w:tabs>
        <w:spacing w:line="240" w:lineRule="auto"/>
        <w:rPr>
          <w:b/>
          <w:sz w:val="24"/>
        </w:rPr>
      </w:pPr>
      <w:r w:rsidRPr="00C43CEC">
        <w:rPr>
          <w:b/>
          <w:sz w:val="24"/>
        </w:rPr>
        <w:t>Dirigida a:</w:t>
      </w:r>
      <w:r w:rsidRPr="00C43CEC">
        <w:rPr>
          <w:b/>
          <w:sz w:val="24"/>
        </w:rPr>
        <w:tab/>
      </w:r>
    </w:p>
    <w:p w14:paraId="1D4D716A" w14:textId="77777777" w:rsidR="00E30256" w:rsidRPr="00C43CEC" w:rsidRDefault="00E30256" w:rsidP="00E30256">
      <w:pPr>
        <w:widowControl w:val="0"/>
        <w:spacing w:line="240" w:lineRule="auto"/>
        <w:ind w:left="34" w:right="86"/>
        <w:jc w:val="center"/>
        <w:rPr>
          <w:b/>
          <w:sz w:val="24"/>
        </w:rPr>
      </w:pPr>
    </w:p>
    <w:p w14:paraId="3F04AC6D" w14:textId="77777777" w:rsidR="00E30256" w:rsidRPr="00C43CEC" w:rsidRDefault="00E30256" w:rsidP="00E30256">
      <w:pPr>
        <w:numPr>
          <w:ilvl w:val="0"/>
          <w:numId w:val="4"/>
        </w:numPr>
        <w:autoSpaceDE w:val="0"/>
        <w:autoSpaceDN w:val="0"/>
        <w:adjustRightInd w:val="0"/>
        <w:spacing w:line="240" w:lineRule="auto"/>
        <w:jc w:val="left"/>
        <w:rPr>
          <w:rFonts w:eastAsiaTheme="minorHAnsi"/>
          <w:color w:val="000000"/>
          <w:sz w:val="24"/>
          <w:lang w:val="es-CR"/>
        </w:rPr>
      </w:pPr>
      <w:r w:rsidRPr="00C43CEC">
        <w:rPr>
          <w:rFonts w:eastAsiaTheme="minorHAnsi"/>
          <w:b/>
          <w:bCs/>
          <w:color w:val="000000"/>
          <w:sz w:val="24"/>
          <w:lang w:val="es-CR"/>
        </w:rPr>
        <w:t xml:space="preserve">Bancos Comerciales del Estado </w:t>
      </w:r>
    </w:p>
    <w:p w14:paraId="31579EED" w14:textId="77777777" w:rsidR="00E30256" w:rsidRPr="00C43CEC" w:rsidRDefault="00E30256" w:rsidP="00E30256">
      <w:pPr>
        <w:numPr>
          <w:ilvl w:val="0"/>
          <w:numId w:val="4"/>
        </w:numPr>
        <w:autoSpaceDE w:val="0"/>
        <w:autoSpaceDN w:val="0"/>
        <w:adjustRightInd w:val="0"/>
        <w:spacing w:line="240" w:lineRule="auto"/>
        <w:jc w:val="left"/>
        <w:rPr>
          <w:rFonts w:eastAsiaTheme="minorHAnsi"/>
          <w:color w:val="000000"/>
          <w:sz w:val="24"/>
          <w:lang w:val="es-CR"/>
        </w:rPr>
      </w:pPr>
      <w:r w:rsidRPr="00C43CEC">
        <w:rPr>
          <w:rFonts w:eastAsiaTheme="minorHAnsi"/>
          <w:b/>
          <w:bCs/>
          <w:color w:val="000000"/>
          <w:sz w:val="24"/>
          <w:lang w:val="es-CR"/>
        </w:rPr>
        <w:t xml:space="preserve">Bancos Creados por Leyes Especiales </w:t>
      </w:r>
    </w:p>
    <w:p w14:paraId="0978AEF6" w14:textId="77777777" w:rsidR="00E30256" w:rsidRPr="00C43CEC" w:rsidRDefault="00E30256" w:rsidP="00E30256">
      <w:pPr>
        <w:numPr>
          <w:ilvl w:val="0"/>
          <w:numId w:val="4"/>
        </w:numPr>
        <w:autoSpaceDE w:val="0"/>
        <w:autoSpaceDN w:val="0"/>
        <w:adjustRightInd w:val="0"/>
        <w:spacing w:line="240" w:lineRule="auto"/>
        <w:jc w:val="left"/>
        <w:rPr>
          <w:rFonts w:eastAsiaTheme="minorHAnsi"/>
          <w:color w:val="000000"/>
          <w:sz w:val="24"/>
          <w:lang w:val="es-CR"/>
        </w:rPr>
      </w:pPr>
      <w:r w:rsidRPr="00C43CEC">
        <w:rPr>
          <w:rFonts w:eastAsiaTheme="minorHAnsi"/>
          <w:b/>
          <w:bCs/>
          <w:color w:val="000000"/>
          <w:sz w:val="24"/>
          <w:lang w:val="es-CR"/>
        </w:rPr>
        <w:t xml:space="preserve">Bancos Privados </w:t>
      </w:r>
    </w:p>
    <w:p w14:paraId="75DCC411" w14:textId="77777777" w:rsidR="00E30256" w:rsidRPr="00C43CEC" w:rsidRDefault="00E30256" w:rsidP="00E30256">
      <w:pPr>
        <w:numPr>
          <w:ilvl w:val="0"/>
          <w:numId w:val="4"/>
        </w:numPr>
        <w:autoSpaceDE w:val="0"/>
        <w:autoSpaceDN w:val="0"/>
        <w:adjustRightInd w:val="0"/>
        <w:spacing w:line="240" w:lineRule="auto"/>
        <w:jc w:val="left"/>
        <w:rPr>
          <w:rFonts w:eastAsiaTheme="minorHAnsi"/>
          <w:color w:val="000000"/>
          <w:sz w:val="24"/>
          <w:lang w:val="es-CR"/>
        </w:rPr>
      </w:pPr>
      <w:r w:rsidRPr="00C43CEC">
        <w:rPr>
          <w:rFonts w:eastAsiaTheme="minorHAnsi"/>
          <w:b/>
          <w:bCs/>
          <w:color w:val="000000"/>
          <w:sz w:val="24"/>
          <w:lang w:val="es-CR"/>
        </w:rPr>
        <w:t xml:space="preserve">Empresas Financieras no Bancarias </w:t>
      </w:r>
    </w:p>
    <w:p w14:paraId="315AC2ED" w14:textId="77777777" w:rsidR="00E30256" w:rsidRPr="00C43CEC" w:rsidRDefault="00E30256" w:rsidP="00E30256">
      <w:pPr>
        <w:numPr>
          <w:ilvl w:val="0"/>
          <w:numId w:val="4"/>
        </w:numPr>
        <w:autoSpaceDE w:val="0"/>
        <w:autoSpaceDN w:val="0"/>
        <w:adjustRightInd w:val="0"/>
        <w:spacing w:line="240" w:lineRule="auto"/>
        <w:jc w:val="left"/>
        <w:rPr>
          <w:rFonts w:eastAsiaTheme="minorHAnsi"/>
          <w:color w:val="000000"/>
          <w:sz w:val="24"/>
          <w:lang w:val="es-CR"/>
        </w:rPr>
      </w:pPr>
      <w:r w:rsidRPr="00C43CEC">
        <w:rPr>
          <w:rFonts w:eastAsiaTheme="minorHAnsi"/>
          <w:b/>
          <w:bCs/>
          <w:color w:val="000000"/>
          <w:sz w:val="24"/>
          <w:lang w:val="es-CR"/>
        </w:rPr>
        <w:t xml:space="preserve">Otras Entidades Financieras </w:t>
      </w:r>
    </w:p>
    <w:p w14:paraId="01F4D698" w14:textId="77777777" w:rsidR="00E30256" w:rsidRPr="00C43CEC" w:rsidRDefault="00E30256" w:rsidP="00E30256">
      <w:pPr>
        <w:numPr>
          <w:ilvl w:val="0"/>
          <w:numId w:val="4"/>
        </w:numPr>
        <w:autoSpaceDE w:val="0"/>
        <w:autoSpaceDN w:val="0"/>
        <w:adjustRightInd w:val="0"/>
        <w:spacing w:line="240" w:lineRule="auto"/>
        <w:jc w:val="left"/>
        <w:rPr>
          <w:rFonts w:eastAsiaTheme="minorHAnsi"/>
          <w:b/>
          <w:bCs/>
          <w:color w:val="000000"/>
          <w:sz w:val="24"/>
          <w:lang w:val="es-CR"/>
        </w:rPr>
      </w:pPr>
      <w:r w:rsidRPr="00C43CEC">
        <w:rPr>
          <w:rFonts w:eastAsiaTheme="minorHAnsi"/>
          <w:b/>
          <w:bCs/>
          <w:color w:val="000000"/>
          <w:sz w:val="24"/>
          <w:lang w:val="es-CR"/>
        </w:rPr>
        <w:t xml:space="preserve">Organizaciones Cooperativas de Ahorro y Crédito </w:t>
      </w:r>
    </w:p>
    <w:p w14:paraId="28D92630" w14:textId="77777777" w:rsidR="00E30256" w:rsidRPr="00C43CEC" w:rsidRDefault="00E30256" w:rsidP="00E30256">
      <w:pPr>
        <w:numPr>
          <w:ilvl w:val="0"/>
          <w:numId w:val="4"/>
        </w:numPr>
        <w:autoSpaceDE w:val="0"/>
        <w:autoSpaceDN w:val="0"/>
        <w:adjustRightInd w:val="0"/>
        <w:spacing w:line="240" w:lineRule="auto"/>
        <w:jc w:val="left"/>
        <w:rPr>
          <w:rFonts w:eastAsiaTheme="minorHAnsi"/>
          <w:color w:val="000000"/>
          <w:sz w:val="24"/>
          <w:lang w:val="es-CR"/>
        </w:rPr>
      </w:pPr>
      <w:r w:rsidRPr="00C43CEC">
        <w:rPr>
          <w:rFonts w:eastAsiaTheme="minorHAnsi"/>
          <w:b/>
          <w:bCs/>
          <w:color w:val="000000"/>
          <w:sz w:val="24"/>
          <w:lang w:val="es-CR"/>
        </w:rPr>
        <w:t>Asociaciones Mutualistas de Ahorro y Préstamo</w:t>
      </w:r>
    </w:p>
    <w:p w14:paraId="2D9AD648" w14:textId="77777777" w:rsidR="00E30256" w:rsidRPr="00C43CEC" w:rsidRDefault="00E30256" w:rsidP="00E30256">
      <w:pPr>
        <w:spacing w:line="240" w:lineRule="auto"/>
        <w:rPr>
          <w:b/>
          <w:sz w:val="24"/>
          <w:lang w:val="es-CR"/>
        </w:rPr>
      </w:pPr>
    </w:p>
    <w:p w14:paraId="281B66A5" w14:textId="77777777" w:rsidR="00E30256" w:rsidRPr="00C43CEC" w:rsidRDefault="00E30256" w:rsidP="00E30256">
      <w:pPr>
        <w:spacing w:line="240" w:lineRule="auto"/>
        <w:ind w:left="993" w:hanging="993"/>
        <w:rPr>
          <w:b/>
          <w:sz w:val="24"/>
        </w:rPr>
      </w:pPr>
      <w:r w:rsidRPr="00C43CEC">
        <w:rPr>
          <w:b/>
          <w:sz w:val="24"/>
        </w:rPr>
        <w:t>Asunto:</w:t>
      </w:r>
      <w:r w:rsidRPr="00C43CEC">
        <w:rPr>
          <w:b/>
          <w:sz w:val="24"/>
        </w:rPr>
        <w:tab/>
      </w:r>
      <w:r>
        <w:rPr>
          <w:bCs/>
          <w:sz w:val="24"/>
        </w:rPr>
        <w:t xml:space="preserve">Información adicional sobre </w:t>
      </w:r>
      <w:r w:rsidRPr="00C43CEC">
        <w:rPr>
          <w:bCs/>
          <w:sz w:val="24"/>
        </w:rPr>
        <w:t xml:space="preserve">Gestión de las entidades supervisadas ante la salida de la tasa London Interbank Offered Rate (Libor). </w:t>
      </w:r>
    </w:p>
    <w:p w14:paraId="3E3D7D4A" w14:textId="77777777" w:rsidR="00E30256" w:rsidRPr="00C43CEC" w:rsidRDefault="00E30256" w:rsidP="00E30256">
      <w:pPr>
        <w:spacing w:line="240" w:lineRule="auto"/>
        <w:rPr>
          <w:b/>
          <w:sz w:val="24"/>
        </w:rPr>
      </w:pPr>
    </w:p>
    <w:p w14:paraId="57FC664F" w14:textId="77777777" w:rsidR="00E30256" w:rsidRPr="00C43CEC" w:rsidRDefault="00E30256" w:rsidP="00E30256">
      <w:pPr>
        <w:spacing w:line="240" w:lineRule="auto"/>
        <w:jc w:val="left"/>
        <w:rPr>
          <w:b/>
          <w:sz w:val="24"/>
        </w:rPr>
      </w:pPr>
      <w:r w:rsidRPr="00C43CEC">
        <w:rPr>
          <w:b/>
          <w:sz w:val="24"/>
        </w:rPr>
        <w:t>La Superintendente General de Entidades Financieras,</w:t>
      </w:r>
    </w:p>
    <w:p w14:paraId="08EDCA28" w14:textId="77777777" w:rsidR="00E30256" w:rsidRPr="00C43CEC" w:rsidRDefault="00E30256" w:rsidP="00E30256">
      <w:pPr>
        <w:spacing w:line="240" w:lineRule="auto"/>
        <w:rPr>
          <w:b/>
          <w:sz w:val="24"/>
        </w:rPr>
      </w:pPr>
    </w:p>
    <w:p w14:paraId="257111C3" w14:textId="77777777" w:rsidR="00E30256" w:rsidRPr="00C43CEC" w:rsidRDefault="00E30256" w:rsidP="00E30256">
      <w:pPr>
        <w:spacing w:line="240" w:lineRule="auto"/>
        <w:rPr>
          <w:b/>
          <w:sz w:val="24"/>
        </w:rPr>
      </w:pPr>
      <w:r w:rsidRPr="00C43CEC">
        <w:rPr>
          <w:b/>
          <w:sz w:val="24"/>
        </w:rPr>
        <w:t>Considerando que:</w:t>
      </w:r>
    </w:p>
    <w:p w14:paraId="7DC32646" w14:textId="77777777" w:rsidR="00E30256" w:rsidRPr="00C43CEC" w:rsidRDefault="00E30256" w:rsidP="00E30256">
      <w:pPr>
        <w:spacing w:line="240" w:lineRule="auto"/>
        <w:rPr>
          <w:sz w:val="24"/>
          <w:lang w:val="es-CR"/>
        </w:rPr>
      </w:pPr>
    </w:p>
    <w:p w14:paraId="42A053B9" w14:textId="77777777" w:rsidR="00E30256" w:rsidRPr="00004E8F" w:rsidRDefault="00E30256" w:rsidP="00E30256">
      <w:pPr>
        <w:numPr>
          <w:ilvl w:val="0"/>
          <w:numId w:val="3"/>
        </w:numPr>
        <w:spacing w:line="240" w:lineRule="auto"/>
        <w:ind w:left="567" w:hanging="283"/>
        <w:contextualSpacing/>
        <w:rPr>
          <w:sz w:val="24"/>
          <w:lang w:val="es-CR"/>
        </w:rPr>
      </w:pPr>
      <w:r>
        <w:rPr>
          <w:sz w:val="24"/>
          <w:lang w:val="es-CR"/>
        </w:rPr>
        <w:t xml:space="preserve">Mediante Circular Externa SGF-0260-2021 del 29 de enero de 2021, se solicitó a las entidades </w:t>
      </w:r>
      <w:r w:rsidRPr="00C43CEC">
        <w:rPr>
          <w:sz w:val="24"/>
        </w:rPr>
        <w:t xml:space="preserve">remitir, </w:t>
      </w:r>
      <w:r w:rsidRPr="00C43CEC">
        <w:rPr>
          <w:sz w:val="24"/>
          <w:lang w:val="es-CR"/>
        </w:rPr>
        <w:t xml:space="preserve">en relación con el proceso de transición y sustitución de la tasa Libor, un </w:t>
      </w:r>
      <w:r w:rsidRPr="00C43CEC">
        <w:rPr>
          <w:sz w:val="24"/>
        </w:rPr>
        <w:t xml:space="preserve">plan de acción </w:t>
      </w:r>
      <w:r>
        <w:rPr>
          <w:sz w:val="24"/>
        </w:rPr>
        <w:t xml:space="preserve">con </w:t>
      </w:r>
      <w:r w:rsidRPr="00C43CEC">
        <w:rPr>
          <w:sz w:val="24"/>
        </w:rPr>
        <w:t xml:space="preserve">las actividades </w:t>
      </w:r>
      <w:r w:rsidRPr="00C43CEC">
        <w:rPr>
          <w:sz w:val="24"/>
          <w:lang w:val="es-CR"/>
        </w:rPr>
        <w:t xml:space="preserve">de carácter operativo y legal, así como </w:t>
      </w:r>
      <w:r>
        <w:rPr>
          <w:sz w:val="24"/>
          <w:lang w:val="es-CR"/>
        </w:rPr>
        <w:t>de</w:t>
      </w:r>
      <w:r w:rsidRPr="00C43CEC">
        <w:rPr>
          <w:sz w:val="24"/>
          <w:lang w:val="es-CR"/>
        </w:rPr>
        <w:t xml:space="preserve"> capacitación y comunicación a clientes internos y externos, </w:t>
      </w:r>
      <w:r>
        <w:rPr>
          <w:sz w:val="24"/>
          <w:lang w:val="es-CR"/>
        </w:rPr>
        <w:t>debidamente aprobado por el órgano de dirección, así como informes de avance bimestrales</w:t>
      </w:r>
      <w:r w:rsidRPr="00C816E1">
        <w:rPr>
          <w:sz w:val="24"/>
        </w:rPr>
        <w:t xml:space="preserve"> </w:t>
      </w:r>
      <w:r w:rsidRPr="00C43CEC">
        <w:rPr>
          <w:sz w:val="24"/>
        </w:rPr>
        <w:t>dentro de los 15 días hábiles posteriores a la finalización de esos períodos, iniciando con corte al 28 de febrero de 2021</w:t>
      </w:r>
      <w:r>
        <w:rPr>
          <w:sz w:val="24"/>
        </w:rPr>
        <w:t>.</w:t>
      </w:r>
    </w:p>
    <w:p w14:paraId="1BB8C9A2" w14:textId="77777777" w:rsidR="00E30256" w:rsidRDefault="00E30256" w:rsidP="00E30256">
      <w:pPr>
        <w:spacing w:line="240" w:lineRule="auto"/>
        <w:ind w:left="567"/>
        <w:contextualSpacing/>
        <w:rPr>
          <w:sz w:val="24"/>
        </w:rPr>
      </w:pPr>
    </w:p>
    <w:p w14:paraId="1B1C1522" w14:textId="77777777" w:rsidR="00E30256" w:rsidRDefault="00E30256" w:rsidP="00E30256">
      <w:pPr>
        <w:spacing w:line="240" w:lineRule="auto"/>
        <w:ind w:left="567"/>
        <w:contextualSpacing/>
        <w:rPr>
          <w:sz w:val="24"/>
          <w:lang w:val="es-CR"/>
        </w:rPr>
      </w:pPr>
      <w:r>
        <w:rPr>
          <w:sz w:val="24"/>
        </w:rPr>
        <w:t xml:space="preserve">Asimismo, se solicitó la remisión de información </w:t>
      </w:r>
      <w:r w:rsidRPr="00C43CEC">
        <w:rPr>
          <w:sz w:val="24"/>
          <w:lang w:val="es-CR"/>
        </w:rPr>
        <w:t xml:space="preserve">sobre las operaciones financieras </w:t>
      </w:r>
      <w:r>
        <w:rPr>
          <w:sz w:val="24"/>
          <w:lang w:val="es-CR"/>
        </w:rPr>
        <w:t xml:space="preserve">activas y pasivas </w:t>
      </w:r>
      <w:r w:rsidRPr="00C43CEC">
        <w:rPr>
          <w:sz w:val="24"/>
          <w:lang w:val="es-CR"/>
        </w:rPr>
        <w:t>impactadas por la tasa de referencia Libor, con vencimiento posterior al 31 de diciembre de 2021,</w:t>
      </w:r>
      <w:r w:rsidRPr="00004E8F">
        <w:rPr>
          <w:sz w:val="24"/>
          <w:lang w:val="es-CR"/>
        </w:rPr>
        <w:t xml:space="preserve"> </w:t>
      </w:r>
      <w:r>
        <w:rPr>
          <w:sz w:val="24"/>
          <w:lang w:val="es-CR"/>
        </w:rPr>
        <w:t>, así como información adicional en relación con este p</w:t>
      </w:r>
      <w:r w:rsidRPr="00C43CEC">
        <w:rPr>
          <w:sz w:val="24"/>
          <w:lang w:val="es-CR"/>
        </w:rPr>
        <w:t>roceso de transición y posterior adopción de una nueva tasa de referencia en reemplazo de la Libor.</w:t>
      </w:r>
    </w:p>
    <w:p w14:paraId="1F63858E" w14:textId="77777777" w:rsidR="00E30256" w:rsidRDefault="00E30256" w:rsidP="00E30256">
      <w:pPr>
        <w:rPr>
          <w:sz w:val="24"/>
          <w:lang w:val="es-CR"/>
        </w:rPr>
      </w:pPr>
    </w:p>
    <w:p w14:paraId="48076802" w14:textId="77777777" w:rsidR="00E30256" w:rsidRPr="00721F33" w:rsidRDefault="00E30256" w:rsidP="00E30256">
      <w:pPr>
        <w:pStyle w:val="Prrafodelista"/>
        <w:numPr>
          <w:ilvl w:val="0"/>
          <w:numId w:val="3"/>
        </w:numPr>
        <w:ind w:left="567"/>
        <w:rPr>
          <w:sz w:val="24"/>
        </w:rPr>
      </w:pPr>
      <w:r>
        <w:rPr>
          <w:sz w:val="24"/>
          <w:lang w:val="es-CR"/>
        </w:rPr>
        <w:t xml:space="preserve">El </w:t>
      </w:r>
      <w:r w:rsidRPr="00721F33">
        <w:rPr>
          <w:sz w:val="24"/>
          <w:lang w:val="es-CR"/>
        </w:rPr>
        <w:t xml:space="preserve">Administrador de la </w:t>
      </w:r>
      <w:r>
        <w:rPr>
          <w:sz w:val="24"/>
          <w:lang w:val="es-CR"/>
        </w:rPr>
        <w:t xml:space="preserve">tasa </w:t>
      </w:r>
      <w:r w:rsidRPr="00721F33">
        <w:rPr>
          <w:sz w:val="24"/>
          <w:lang w:val="es-CR"/>
        </w:rPr>
        <w:t>L</w:t>
      </w:r>
      <w:r>
        <w:rPr>
          <w:sz w:val="24"/>
          <w:lang w:val="es-CR"/>
        </w:rPr>
        <w:t>ibor</w:t>
      </w:r>
      <w:r w:rsidRPr="00721F33">
        <w:rPr>
          <w:sz w:val="24"/>
          <w:lang w:val="es-CR"/>
        </w:rPr>
        <w:t xml:space="preserve"> anunció </w:t>
      </w:r>
      <w:r>
        <w:rPr>
          <w:sz w:val="24"/>
          <w:lang w:val="es-CR"/>
        </w:rPr>
        <w:t xml:space="preserve">en </w:t>
      </w:r>
      <w:r w:rsidRPr="00721F33">
        <w:rPr>
          <w:sz w:val="24"/>
          <w:lang w:val="es-CR"/>
        </w:rPr>
        <w:t>marzo 2021</w:t>
      </w:r>
      <w:r>
        <w:rPr>
          <w:sz w:val="24"/>
          <w:lang w:val="es-CR"/>
        </w:rPr>
        <w:t>,</w:t>
      </w:r>
      <w:r w:rsidRPr="00721F33">
        <w:rPr>
          <w:sz w:val="24"/>
          <w:lang w:val="es-CR"/>
        </w:rPr>
        <w:t xml:space="preserve"> que publicar</w:t>
      </w:r>
      <w:r>
        <w:rPr>
          <w:sz w:val="24"/>
          <w:lang w:val="es-CR"/>
        </w:rPr>
        <w:t>á</w:t>
      </w:r>
      <w:r w:rsidRPr="00721F33">
        <w:rPr>
          <w:sz w:val="24"/>
          <w:lang w:val="es-CR"/>
        </w:rPr>
        <w:t xml:space="preserve"> la </w:t>
      </w:r>
      <w:r>
        <w:rPr>
          <w:sz w:val="24"/>
          <w:lang w:val="es-CR"/>
        </w:rPr>
        <w:t xml:space="preserve">tasa de </w:t>
      </w:r>
      <w:r w:rsidRPr="00721F33">
        <w:rPr>
          <w:sz w:val="24"/>
          <w:lang w:val="es-CR"/>
        </w:rPr>
        <w:t>referencia en</w:t>
      </w:r>
      <w:r>
        <w:rPr>
          <w:sz w:val="24"/>
          <w:lang w:val="es-CR"/>
        </w:rPr>
        <w:t xml:space="preserve"> dólares a </w:t>
      </w:r>
      <w:r w:rsidRPr="00721F33">
        <w:rPr>
          <w:sz w:val="24"/>
          <w:lang w:val="es-CR"/>
        </w:rPr>
        <w:t xml:space="preserve">un día, uno, tres, seis y 12 meses hasta junio </w:t>
      </w:r>
      <w:r>
        <w:rPr>
          <w:sz w:val="24"/>
          <w:lang w:val="es-CR"/>
        </w:rPr>
        <w:t xml:space="preserve">de </w:t>
      </w:r>
      <w:r w:rsidRPr="00721F33">
        <w:rPr>
          <w:sz w:val="24"/>
          <w:lang w:val="es-CR"/>
        </w:rPr>
        <w:t>2023.</w:t>
      </w:r>
    </w:p>
    <w:p w14:paraId="5F2E033F" w14:textId="77777777" w:rsidR="00E30256" w:rsidRPr="00BA4F13" w:rsidRDefault="00E30256" w:rsidP="00E30256">
      <w:pPr>
        <w:pStyle w:val="Prrafodelista"/>
        <w:ind w:left="567"/>
        <w:rPr>
          <w:sz w:val="24"/>
        </w:rPr>
      </w:pPr>
    </w:p>
    <w:p w14:paraId="033F5EA8" w14:textId="77777777" w:rsidR="00E30256" w:rsidRPr="004F7978" w:rsidRDefault="00E30256" w:rsidP="00E30256">
      <w:pPr>
        <w:pStyle w:val="Prrafodelista"/>
        <w:numPr>
          <w:ilvl w:val="0"/>
          <w:numId w:val="3"/>
        </w:numPr>
        <w:spacing w:line="240" w:lineRule="auto"/>
        <w:ind w:left="567" w:hanging="283"/>
        <w:rPr>
          <w:sz w:val="24"/>
        </w:rPr>
      </w:pPr>
      <w:r>
        <w:rPr>
          <w:sz w:val="24"/>
          <w:lang w:val="es-CR"/>
        </w:rPr>
        <w:t xml:space="preserve">Dado el citado cambio de fecha </w:t>
      </w:r>
      <w:r w:rsidRPr="004F7978">
        <w:rPr>
          <w:sz w:val="24"/>
          <w:lang w:val="es-CR"/>
        </w:rPr>
        <w:t>es necesario disponer de información actualizada sobre el saldo y número de operaciones re</w:t>
      </w:r>
      <w:r>
        <w:rPr>
          <w:sz w:val="24"/>
          <w:lang w:val="es-CR"/>
        </w:rPr>
        <w:t>ferenciadas</w:t>
      </w:r>
      <w:r w:rsidRPr="004F7978">
        <w:rPr>
          <w:sz w:val="24"/>
          <w:lang w:val="es-CR"/>
        </w:rPr>
        <w:t xml:space="preserve"> a L</w:t>
      </w:r>
      <w:r>
        <w:rPr>
          <w:sz w:val="24"/>
          <w:lang w:val="es-CR"/>
        </w:rPr>
        <w:t>ibor</w:t>
      </w:r>
      <w:r w:rsidRPr="004F7978">
        <w:rPr>
          <w:sz w:val="24"/>
          <w:lang w:val="es-CR"/>
        </w:rPr>
        <w:t xml:space="preserve"> que vencen posterior al 30 de junio de 2023, </w:t>
      </w:r>
      <w:r>
        <w:rPr>
          <w:sz w:val="24"/>
          <w:lang w:val="es-CR"/>
        </w:rPr>
        <w:t>así como</w:t>
      </w:r>
      <w:r w:rsidRPr="004F7978">
        <w:rPr>
          <w:sz w:val="24"/>
          <w:lang w:val="es-CR"/>
        </w:rPr>
        <w:t xml:space="preserve"> el saldo y número de dichas operaciones </w:t>
      </w:r>
      <w:r w:rsidRPr="004F7978">
        <w:rPr>
          <w:sz w:val="24"/>
          <w:lang w:val="es-CR"/>
        </w:rPr>
        <w:lastRenderedPageBreak/>
        <w:t>que a la fecha ya cuenta con una cláusula de sustitución de la citada tasa de referencia.</w:t>
      </w:r>
    </w:p>
    <w:p w14:paraId="311F138C" w14:textId="77777777" w:rsidR="00E30256" w:rsidRPr="00C43CEC" w:rsidRDefault="00E30256" w:rsidP="00E30256">
      <w:pPr>
        <w:widowControl w:val="0"/>
        <w:tabs>
          <w:tab w:val="left" w:pos="7056"/>
        </w:tabs>
        <w:spacing w:line="240" w:lineRule="auto"/>
        <w:ind w:right="86"/>
        <w:rPr>
          <w:b/>
          <w:sz w:val="24"/>
        </w:rPr>
      </w:pPr>
    </w:p>
    <w:p w14:paraId="103DA467" w14:textId="77777777" w:rsidR="00E30256" w:rsidRPr="00C43CEC" w:rsidRDefault="00E30256" w:rsidP="00E30256">
      <w:pPr>
        <w:widowControl w:val="0"/>
        <w:tabs>
          <w:tab w:val="left" w:pos="7056"/>
        </w:tabs>
        <w:spacing w:line="240" w:lineRule="auto"/>
        <w:ind w:left="34" w:right="86"/>
        <w:rPr>
          <w:b/>
          <w:sz w:val="24"/>
        </w:rPr>
      </w:pPr>
      <w:r w:rsidRPr="00C43CEC">
        <w:rPr>
          <w:b/>
          <w:sz w:val="24"/>
        </w:rPr>
        <w:t xml:space="preserve">Dispone: </w:t>
      </w:r>
      <w:r w:rsidRPr="00C43CEC">
        <w:rPr>
          <w:b/>
          <w:sz w:val="24"/>
        </w:rPr>
        <w:tab/>
      </w:r>
    </w:p>
    <w:p w14:paraId="27D8B2ED" w14:textId="77777777" w:rsidR="00E30256" w:rsidRPr="00C43CEC" w:rsidRDefault="00E30256" w:rsidP="00E30256">
      <w:pPr>
        <w:spacing w:line="240" w:lineRule="auto"/>
        <w:rPr>
          <w:sz w:val="24"/>
        </w:rPr>
      </w:pPr>
    </w:p>
    <w:p w14:paraId="3F54E7B8" w14:textId="77777777" w:rsidR="00E30256" w:rsidRPr="00BA4F13" w:rsidRDefault="00E30256" w:rsidP="00E30256">
      <w:pPr>
        <w:pStyle w:val="Prrafodelista"/>
        <w:numPr>
          <w:ilvl w:val="0"/>
          <w:numId w:val="5"/>
        </w:numPr>
        <w:spacing w:line="240" w:lineRule="auto"/>
        <w:ind w:left="567" w:hanging="283"/>
        <w:rPr>
          <w:sz w:val="24"/>
          <w:lang w:val="es-CR"/>
        </w:rPr>
      </w:pPr>
      <w:r w:rsidRPr="00BA4F13">
        <w:rPr>
          <w:sz w:val="24"/>
        </w:rPr>
        <w:t>Las entidades financieras supervisadas deberán remitir los datos sob</w:t>
      </w:r>
      <w:r w:rsidRPr="00BA4F13">
        <w:rPr>
          <w:sz w:val="24"/>
          <w:lang w:val="es-CR"/>
        </w:rPr>
        <w:t>re las operaciones financieras (tipo de activo, pasivo) impactadas por la tasa de referencia Libor, con vencimiento posterior al 30 de junio de 2023, según formato del cuadro adjunto:</w:t>
      </w:r>
    </w:p>
    <w:p w14:paraId="374A4B78" w14:textId="77777777" w:rsidR="00E30256" w:rsidRPr="00C43CEC" w:rsidRDefault="00E30256" w:rsidP="00E30256">
      <w:pPr>
        <w:spacing w:line="240" w:lineRule="auto"/>
        <w:ind w:left="851"/>
        <w:contextualSpacing/>
        <w:rPr>
          <w:sz w:val="24"/>
          <w:lang w:val="es-CR"/>
        </w:rPr>
      </w:pPr>
    </w:p>
    <w:tbl>
      <w:tblPr>
        <w:tblStyle w:val="Tablaconcuadrcula1"/>
        <w:tblW w:w="0" w:type="auto"/>
        <w:jc w:val="right"/>
        <w:tblLook w:val="04A0" w:firstRow="1" w:lastRow="0" w:firstColumn="1" w:lastColumn="0" w:noHBand="0" w:noVBand="1"/>
      </w:tblPr>
      <w:tblGrid>
        <w:gridCol w:w="1723"/>
        <w:gridCol w:w="1958"/>
        <w:gridCol w:w="1417"/>
        <w:gridCol w:w="2127"/>
        <w:gridCol w:w="1603"/>
      </w:tblGrid>
      <w:tr w:rsidR="00E30256" w:rsidRPr="00C43CEC" w14:paraId="2A442C6D" w14:textId="77777777" w:rsidTr="0002414E">
        <w:trPr>
          <w:jc w:val="right"/>
        </w:trPr>
        <w:tc>
          <w:tcPr>
            <w:tcW w:w="1723" w:type="dxa"/>
            <w:vAlign w:val="center"/>
          </w:tcPr>
          <w:p w14:paraId="383E1B54" w14:textId="77777777" w:rsidR="00E30256" w:rsidRPr="00C43CEC" w:rsidRDefault="00E30256" w:rsidP="0002414E">
            <w:pPr>
              <w:spacing w:line="240" w:lineRule="auto"/>
              <w:jc w:val="center"/>
              <w:rPr>
                <w:b/>
                <w:bCs/>
                <w:sz w:val="20"/>
                <w:szCs w:val="20"/>
                <w:lang w:val="es-CR"/>
              </w:rPr>
            </w:pPr>
            <w:r w:rsidRPr="00C43CEC">
              <w:rPr>
                <w:b/>
                <w:bCs/>
                <w:sz w:val="20"/>
                <w:szCs w:val="20"/>
                <w:lang w:val="es-CR"/>
              </w:rPr>
              <w:t>Tipo de operación</w:t>
            </w:r>
          </w:p>
        </w:tc>
        <w:tc>
          <w:tcPr>
            <w:tcW w:w="3375" w:type="dxa"/>
            <w:gridSpan w:val="2"/>
            <w:vAlign w:val="center"/>
          </w:tcPr>
          <w:p w14:paraId="41AB2C19" w14:textId="77777777" w:rsidR="00E30256" w:rsidRPr="00BA4F13" w:rsidRDefault="00E30256" w:rsidP="0002414E">
            <w:pPr>
              <w:spacing w:line="240" w:lineRule="auto"/>
              <w:jc w:val="center"/>
              <w:rPr>
                <w:b/>
                <w:bCs/>
                <w:sz w:val="20"/>
                <w:szCs w:val="20"/>
              </w:rPr>
            </w:pPr>
            <w:r w:rsidRPr="00C43CEC">
              <w:rPr>
                <w:b/>
                <w:bCs/>
                <w:sz w:val="20"/>
                <w:szCs w:val="20"/>
                <w:lang w:val="es-CR"/>
              </w:rPr>
              <w:t xml:space="preserve">Cantidad de contratos con vencimiento posterior al </w:t>
            </w:r>
            <w:r>
              <w:rPr>
                <w:b/>
                <w:bCs/>
                <w:sz w:val="20"/>
                <w:szCs w:val="20"/>
                <w:lang w:val="es-CR"/>
              </w:rPr>
              <w:t>30 de junio de 2023</w:t>
            </w:r>
          </w:p>
        </w:tc>
        <w:tc>
          <w:tcPr>
            <w:tcW w:w="3730" w:type="dxa"/>
            <w:gridSpan w:val="2"/>
            <w:vAlign w:val="center"/>
          </w:tcPr>
          <w:p w14:paraId="5EC798F7" w14:textId="77777777" w:rsidR="00E30256" w:rsidRPr="00C43CEC" w:rsidRDefault="00E30256" w:rsidP="0002414E">
            <w:pPr>
              <w:spacing w:line="240" w:lineRule="auto"/>
              <w:jc w:val="center"/>
              <w:rPr>
                <w:b/>
                <w:bCs/>
                <w:sz w:val="20"/>
                <w:szCs w:val="20"/>
                <w:lang w:val="es-CR"/>
              </w:rPr>
            </w:pPr>
            <w:r w:rsidRPr="00C43CEC">
              <w:rPr>
                <w:b/>
                <w:bCs/>
                <w:sz w:val="20"/>
                <w:szCs w:val="20"/>
                <w:lang w:val="es-CR"/>
              </w:rPr>
              <w:t xml:space="preserve">Cantidad de contratos con vencimiento posterior al </w:t>
            </w:r>
            <w:r>
              <w:rPr>
                <w:b/>
                <w:bCs/>
                <w:sz w:val="20"/>
                <w:szCs w:val="20"/>
                <w:lang w:val="es-CR"/>
              </w:rPr>
              <w:t xml:space="preserve">30 de junio de 2023 </w:t>
            </w:r>
            <w:r w:rsidRPr="00BA4F13">
              <w:rPr>
                <w:b/>
                <w:bCs/>
                <w:sz w:val="20"/>
                <w:szCs w:val="20"/>
                <w:lang w:val="es-CR"/>
              </w:rPr>
              <w:t xml:space="preserve">que </w:t>
            </w:r>
            <w:r>
              <w:rPr>
                <w:b/>
                <w:bCs/>
                <w:sz w:val="20"/>
                <w:szCs w:val="20"/>
                <w:lang w:val="es-CR"/>
              </w:rPr>
              <w:t xml:space="preserve">ya </w:t>
            </w:r>
            <w:r w:rsidRPr="00BA4F13">
              <w:rPr>
                <w:b/>
                <w:bCs/>
                <w:sz w:val="20"/>
                <w:szCs w:val="20"/>
                <w:lang w:val="es-CR"/>
              </w:rPr>
              <w:t>cuent</w:t>
            </w:r>
            <w:r>
              <w:rPr>
                <w:b/>
                <w:bCs/>
                <w:sz w:val="20"/>
                <w:szCs w:val="20"/>
                <w:lang w:val="es-CR"/>
              </w:rPr>
              <w:t>a</w:t>
            </w:r>
            <w:r w:rsidRPr="00BA4F13">
              <w:rPr>
                <w:b/>
                <w:bCs/>
                <w:sz w:val="20"/>
                <w:szCs w:val="20"/>
                <w:lang w:val="es-CR"/>
              </w:rPr>
              <w:t>n con cláusula de sustitución de tasa de referencia</w:t>
            </w:r>
          </w:p>
        </w:tc>
      </w:tr>
      <w:tr w:rsidR="00E30256" w:rsidRPr="00C43CEC" w14:paraId="4E92B29D" w14:textId="77777777" w:rsidTr="0002414E">
        <w:trPr>
          <w:jc w:val="right"/>
        </w:trPr>
        <w:tc>
          <w:tcPr>
            <w:tcW w:w="1723" w:type="dxa"/>
            <w:vAlign w:val="center"/>
          </w:tcPr>
          <w:p w14:paraId="14690C45" w14:textId="77777777" w:rsidR="00E30256" w:rsidRPr="00C43CEC" w:rsidRDefault="00E30256" w:rsidP="0002414E">
            <w:pPr>
              <w:spacing w:line="240" w:lineRule="auto"/>
              <w:jc w:val="center"/>
              <w:rPr>
                <w:b/>
                <w:bCs/>
                <w:sz w:val="20"/>
                <w:szCs w:val="20"/>
                <w:lang w:val="es-CR"/>
              </w:rPr>
            </w:pPr>
          </w:p>
        </w:tc>
        <w:tc>
          <w:tcPr>
            <w:tcW w:w="1958" w:type="dxa"/>
            <w:vAlign w:val="center"/>
          </w:tcPr>
          <w:p w14:paraId="1D086F29" w14:textId="77777777" w:rsidR="00E30256" w:rsidRPr="00C43CEC" w:rsidRDefault="00E30256" w:rsidP="0002414E">
            <w:pPr>
              <w:spacing w:line="240" w:lineRule="auto"/>
              <w:jc w:val="center"/>
              <w:rPr>
                <w:b/>
                <w:bCs/>
                <w:sz w:val="20"/>
                <w:szCs w:val="20"/>
                <w:lang w:val="es-CR"/>
              </w:rPr>
            </w:pPr>
            <w:r w:rsidRPr="00C43CEC">
              <w:rPr>
                <w:b/>
                <w:bCs/>
                <w:sz w:val="20"/>
                <w:szCs w:val="20"/>
                <w:lang w:val="es-CR"/>
              </w:rPr>
              <w:t>Monto en millones de colones</w:t>
            </w:r>
          </w:p>
        </w:tc>
        <w:tc>
          <w:tcPr>
            <w:tcW w:w="1417" w:type="dxa"/>
          </w:tcPr>
          <w:p w14:paraId="679D454B" w14:textId="77777777" w:rsidR="00E30256" w:rsidRPr="00C43CEC" w:rsidRDefault="00E30256" w:rsidP="0002414E">
            <w:pPr>
              <w:spacing w:line="240" w:lineRule="auto"/>
              <w:jc w:val="center"/>
              <w:rPr>
                <w:b/>
                <w:bCs/>
                <w:sz w:val="20"/>
                <w:szCs w:val="20"/>
                <w:lang w:val="es-CR"/>
              </w:rPr>
            </w:pPr>
            <w:r>
              <w:rPr>
                <w:b/>
                <w:bCs/>
                <w:sz w:val="20"/>
                <w:szCs w:val="20"/>
                <w:lang w:val="es-CR"/>
              </w:rPr>
              <w:t>Cantidad de operaciones</w:t>
            </w:r>
          </w:p>
        </w:tc>
        <w:tc>
          <w:tcPr>
            <w:tcW w:w="2127" w:type="dxa"/>
            <w:vAlign w:val="center"/>
          </w:tcPr>
          <w:p w14:paraId="17784071" w14:textId="77777777" w:rsidR="00E30256" w:rsidRPr="00C43CEC" w:rsidRDefault="00E30256" w:rsidP="0002414E">
            <w:pPr>
              <w:spacing w:line="240" w:lineRule="auto"/>
              <w:jc w:val="center"/>
              <w:rPr>
                <w:b/>
                <w:bCs/>
                <w:sz w:val="20"/>
                <w:szCs w:val="20"/>
                <w:lang w:val="es-CR"/>
              </w:rPr>
            </w:pPr>
            <w:r w:rsidRPr="00BA4F13">
              <w:rPr>
                <w:b/>
                <w:bCs/>
                <w:sz w:val="20"/>
                <w:szCs w:val="20"/>
                <w:lang w:val="es-CR"/>
              </w:rPr>
              <w:t>Monto en millones de colones</w:t>
            </w:r>
          </w:p>
        </w:tc>
        <w:tc>
          <w:tcPr>
            <w:tcW w:w="1603" w:type="dxa"/>
          </w:tcPr>
          <w:p w14:paraId="7B4CDBA1" w14:textId="77777777" w:rsidR="00E30256" w:rsidRPr="00C43CEC" w:rsidRDefault="00E30256" w:rsidP="0002414E">
            <w:pPr>
              <w:spacing w:line="240" w:lineRule="auto"/>
              <w:jc w:val="center"/>
              <w:rPr>
                <w:b/>
                <w:bCs/>
                <w:sz w:val="20"/>
                <w:szCs w:val="20"/>
                <w:lang w:val="es-CR"/>
              </w:rPr>
            </w:pPr>
            <w:r w:rsidRPr="00BA4F13">
              <w:rPr>
                <w:b/>
                <w:bCs/>
                <w:sz w:val="20"/>
                <w:szCs w:val="20"/>
                <w:lang w:val="es-CR"/>
              </w:rPr>
              <w:t>Cantidad de operaciones</w:t>
            </w:r>
          </w:p>
        </w:tc>
      </w:tr>
      <w:tr w:rsidR="00E30256" w:rsidRPr="00C43CEC" w14:paraId="316F2C84" w14:textId="77777777" w:rsidTr="0002414E">
        <w:trPr>
          <w:jc w:val="right"/>
        </w:trPr>
        <w:tc>
          <w:tcPr>
            <w:tcW w:w="1723" w:type="dxa"/>
            <w:vAlign w:val="center"/>
          </w:tcPr>
          <w:p w14:paraId="6CDB0614" w14:textId="77777777" w:rsidR="00E30256" w:rsidRPr="00C43CEC" w:rsidRDefault="00E30256" w:rsidP="0002414E">
            <w:pPr>
              <w:spacing w:line="240" w:lineRule="auto"/>
              <w:rPr>
                <w:sz w:val="20"/>
                <w:szCs w:val="20"/>
                <w:lang w:val="es-CR"/>
              </w:rPr>
            </w:pPr>
            <w:r w:rsidRPr="00C43CEC">
              <w:rPr>
                <w:sz w:val="20"/>
                <w:szCs w:val="20"/>
                <w:lang w:val="es-CR"/>
              </w:rPr>
              <w:t>Derivados</w:t>
            </w:r>
          </w:p>
        </w:tc>
        <w:tc>
          <w:tcPr>
            <w:tcW w:w="1958" w:type="dxa"/>
            <w:vAlign w:val="center"/>
          </w:tcPr>
          <w:p w14:paraId="29850D53" w14:textId="77777777" w:rsidR="00E30256" w:rsidRPr="00C43CEC" w:rsidRDefault="00E30256" w:rsidP="0002414E">
            <w:pPr>
              <w:spacing w:line="240" w:lineRule="auto"/>
              <w:rPr>
                <w:sz w:val="20"/>
                <w:szCs w:val="20"/>
                <w:lang w:val="es-CR"/>
              </w:rPr>
            </w:pPr>
          </w:p>
        </w:tc>
        <w:tc>
          <w:tcPr>
            <w:tcW w:w="1417" w:type="dxa"/>
          </w:tcPr>
          <w:p w14:paraId="705CFDE5" w14:textId="77777777" w:rsidR="00E30256" w:rsidRPr="00C43CEC" w:rsidRDefault="00E30256" w:rsidP="0002414E">
            <w:pPr>
              <w:spacing w:line="240" w:lineRule="auto"/>
              <w:rPr>
                <w:sz w:val="20"/>
                <w:szCs w:val="20"/>
                <w:lang w:val="es-CR"/>
              </w:rPr>
            </w:pPr>
          </w:p>
        </w:tc>
        <w:tc>
          <w:tcPr>
            <w:tcW w:w="2127" w:type="dxa"/>
            <w:vAlign w:val="center"/>
          </w:tcPr>
          <w:p w14:paraId="3A8524BD" w14:textId="77777777" w:rsidR="00E30256" w:rsidRPr="00C43CEC" w:rsidRDefault="00E30256" w:rsidP="0002414E">
            <w:pPr>
              <w:spacing w:line="240" w:lineRule="auto"/>
              <w:rPr>
                <w:sz w:val="20"/>
                <w:szCs w:val="20"/>
                <w:lang w:val="es-CR"/>
              </w:rPr>
            </w:pPr>
          </w:p>
        </w:tc>
        <w:tc>
          <w:tcPr>
            <w:tcW w:w="1603" w:type="dxa"/>
          </w:tcPr>
          <w:p w14:paraId="20DF4BE4" w14:textId="77777777" w:rsidR="00E30256" w:rsidRPr="00C43CEC" w:rsidRDefault="00E30256" w:rsidP="0002414E">
            <w:pPr>
              <w:spacing w:line="240" w:lineRule="auto"/>
              <w:rPr>
                <w:sz w:val="20"/>
                <w:szCs w:val="20"/>
                <w:lang w:val="es-CR"/>
              </w:rPr>
            </w:pPr>
          </w:p>
        </w:tc>
      </w:tr>
      <w:tr w:rsidR="00E30256" w:rsidRPr="00C43CEC" w14:paraId="4276A438" w14:textId="77777777" w:rsidTr="0002414E">
        <w:trPr>
          <w:jc w:val="right"/>
        </w:trPr>
        <w:tc>
          <w:tcPr>
            <w:tcW w:w="1723" w:type="dxa"/>
            <w:vAlign w:val="center"/>
          </w:tcPr>
          <w:p w14:paraId="110B90C2" w14:textId="77777777" w:rsidR="00E30256" w:rsidRPr="00C43CEC" w:rsidRDefault="00E30256" w:rsidP="0002414E">
            <w:pPr>
              <w:spacing w:line="240" w:lineRule="auto"/>
              <w:rPr>
                <w:sz w:val="20"/>
                <w:szCs w:val="20"/>
                <w:lang w:val="es-CR"/>
              </w:rPr>
            </w:pPr>
            <w:r w:rsidRPr="00C43CEC">
              <w:rPr>
                <w:sz w:val="20"/>
                <w:szCs w:val="20"/>
                <w:lang w:val="es-CR"/>
              </w:rPr>
              <w:t>Créditos de Consumo</w:t>
            </w:r>
          </w:p>
        </w:tc>
        <w:tc>
          <w:tcPr>
            <w:tcW w:w="1958" w:type="dxa"/>
            <w:vAlign w:val="center"/>
          </w:tcPr>
          <w:p w14:paraId="03BD1CED" w14:textId="77777777" w:rsidR="00E30256" w:rsidRPr="00C43CEC" w:rsidRDefault="00E30256" w:rsidP="0002414E">
            <w:pPr>
              <w:spacing w:line="240" w:lineRule="auto"/>
              <w:rPr>
                <w:sz w:val="20"/>
                <w:szCs w:val="20"/>
                <w:lang w:val="es-CR"/>
              </w:rPr>
            </w:pPr>
          </w:p>
        </w:tc>
        <w:tc>
          <w:tcPr>
            <w:tcW w:w="1417" w:type="dxa"/>
          </w:tcPr>
          <w:p w14:paraId="090B574A" w14:textId="77777777" w:rsidR="00E30256" w:rsidRPr="00C43CEC" w:rsidRDefault="00E30256" w:rsidP="0002414E">
            <w:pPr>
              <w:spacing w:line="240" w:lineRule="auto"/>
              <w:rPr>
                <w:sz w:val="20"/>
                <w:szCs w:val="20"/>
                <w:lang w:val="es-CR"/>
              </w:rPr>
            </w:pPr>
          </w:p>
        </w:tc>
        <w:tc>
          <w:tcPr>
            <w:tcW w:w="2127" w:type="dxa"/>
            <w:vAlign w:val="center"/>
          </w:tcPr>
          <w:p w14:paraId="13206549" w14:textId="77777777" w:rsidR="00E30256" w:rsidRPr="00C43CEC" w:rsidRDefault="00E30256" w:rsidP="0002414E">
            <w:pPr>
              <w:spacing w:line="240" w:lineRule="auto"/>
              <w:rPr>
                <w:sz w:val="20"/>
                <w:szCs w:val="20"/>
                <w:lang w:val="es-CR"/>
              </w:rPr>
            </w:pPr>
          </w:p>
        </w:tc>
        <w:tc>
          <w:tcPr>
            <w:tcW w:w="1603" w:type="dxa"/>
          </w:tcPr>
          <w:p w14:paraId="5CDA6C39" w14:textId="77777777" w:rsidR="00E30256" w:rsidRPr="00C43CEC" w:rsidRDefault="00E30256" w:rsidP="0002414E">
            <w:pPr>
              <w:spacing w:line="240" w:lineRule="auto"/>
              <w:rPr>
                <w:sz w:val="20"/>
                <w:szCs w:val="20"/>
                <w:lang w:val="es-CR"/>
              </w:rPr>
            </w:pPr>
          </w:p>
        </w:tc>
      </w:tr>
      <w:tr w:rsidR="00E30256" w:rsidRPr="00C43CEC" w14:paraId="138F3D7D" w14:textId="77777777" w:rsidTr="0002414E">
        <w:trPr>
          <w:jc w:val="right"/>
        </w:trPr>
        <w:tc>
          <w:tcPr>
            <w:tcW w:w="1723" w:type="dxa"/>
            <w:vAlign w:val="center"/>
          </w:tcPr>
          <w:p w14:paraId="5C86C631" w14:textId="77777777" w:rsidR="00E30256" w:rsidRPr="00C43CEC" w:rsidRDefault="00E30256" w:rsidP="0002414E">
            <w:pPr>
              <w:spacing w:line="240" w:lineRule="auto"/>
              <w:rPr>
                <w:sz w:val="20"/>
                <w:szCs w:val="20"/>
                <w:lang w:val="es-CR"/>
              </w:rPr>
            </w:pPr>
            <w:r w:rsidRPr="00C43CEC">
              <w:rPr>
                <w:sz w:val="20"/>
                <w:szCs w:val="20"/>
                <w:lang w:val="es-CR"/>
              </w:rPr>
              <w:t>Créditos Corporativos</w:t>
            </w:r>
          </w:p>
        </w:tc>
        <w:tc>
          <w:tcPr>
            <w:tcW w:w="1958" w:type="dxa"/>
            <w:vAlign w:val="center"/>
          </w:tcPr>
          <w:p w14:paraId="396E3B70" w14:textId="77777777" w:rsidR="00E30256" w:rsidRPr="00C43CEC" w:rsidRDefault="00E30256" w:rsidP="0002414E">
            <w:pPr>
              <w:spacing w:line="240" w:lineRule="auto"/>
              <w:rPr>
                <w:sz w:val="20"/>
                <w:szCs w:val="20"/>
                <w:lang w:val="es-CR"/>
              </w:rPr>
            </w:pPr>
          </w:p>
        </w:tc>
        <w:tc>
          <w:tcPr>
            <w:tcW w:w="1417" w:type="dxa"/>
          </w:tcPr>
          <w:p w14:paraId="54EB1845" w14:textId="77777777" w:rsidR="00E30256" w:rsidRPr="00C43CEC" w:rsidRDefault="00E30256" w:rsidP="0002414E">
            <w:pPr>
              <w:spacing w:line="240" w:lineRule="auto"/>
              <w:rPr>
                <w:sz w:val="20"/>
                <w:szCs w:val="20"/>
                <w:lang w:val="es-CR"/>
              </w:rPr>
            </w:pPr>
          </w:p>
        </w:tc>
        <w:tc>
          <w:tcPr>
            <w:tcW w:w="2127" w:type="dxa"/>
            <w:vAlign w:val="center"/>
          </w:tcPr>
          <w:p w14:paraId="5A0EEE13" w14:textId="77777777" w:rsidR="00E30256" w:rsidRPr="00C43CEC" w:rsidRDefault="00E30256" w:rsidP="0002414E">
            <w:pPr>
              <w:spacing w:line="240" w:lineRule="auto"/>
              <w:rPr>
                <w:sz w:val="20"/>
                <w:szCs w:val="20"/>
                <w:lang w:val="es-CR"/>
              </w:rPr>
            </w:pPr>
          </w:p>
        </w:tc>
        <w:tc>
          <w:tcPr>
            <w:tcW w:w="1603" w:type="dxa"/>
          </w:tcPr>
          <w:p w14:paraId="09D03509" w14:textId="77777777" w:rsidR="00E30256" w:rsidRPr="00C43CEC" w:rsidRDefault="00E30256" w:rsidP="0002414E">
            <w:pPr>
              <w:spacing w:line="240" w:lineRule="auto"/>
              <w:rPr>
                <w:sz w:val="20"/>
                <w:szCs w:val="20"/>
                <w:lang w:val="es-CR"/>
              </w:rPr>
            </w:pPr>
          </w:p>
        </w:tc>
      </w:tr>
      <w:tr w:rsidR="00E30256" w:rsidRPr="00C43CEC" w14:paraId="47A0EE61" w14:textId="77777777" w:rsidTr="0002414E">
        <w:trPr>
          <w:jc w:val="right"/>
        </w:trPr>
        <w:tc>
          <w:tcPr>
            <w:tcW w:w="1723" w:type="dxa"/>
            <w:vAlign w:val="center"/>
          </w:tcPr>
          <w:p w14:paraId="7936A61E" w14:textId="77777777" w:rsidR="00E30256" w:rsidRPr="00C43CEC" w:rsidRDefault="00E30256" w:rsidP="0002414E">
            <w:pPr>
              <w:spacing w:line="240" w:lineRule="auto"/>
              <w:rPr>
                <w:sz w:val="20"/>
                <w:szCs w:val="20"/>
                <w:lang w:val="es-CR"/>
              </w:rPr>
            </w:pPr>
            <w:r w:rsidRPr="00C43CEC">
              <w:rPr>
                <w:sz w:val="20"/>
                <w:szCs w:val="20"/>
                <w:lang w:val="es-CR"/>
              </w:rPr>
              <w:t>Pasivos</w:t>
            </w:r>
          </w:p>
        </w:tc>
        <w:tc>
          <w:tcPr>
            <w:tcW w:w="1958" w:type="dxa"/>
            <w:vAlign w:val="center"/>
          </w:tcPr>
          <w:p w14:paraId="408FD891" w14:textId="77777777" w:rsidR="00E30256" w:rsidRPr="00C43CEC" w:rsidRDefault="00E30256" w:rsidP="0002414E">
            <w:pPr>
              <w:spacing w:line="240" w:lineRule="auto"/>
              <w:rPr>
                <w:sz w:val="20"/>
                <w:szCs w:val="20"/>
                <w:lang w:val="es-CR"/>
              </w:rPr>
            </w:pPr>
          </w:p>
        </w:tc>
        <w:tc>
          <w:tcPr>
            <w:tcW w:w="1417" w:type="dxa"/>
          </w:tcPr>
          <w:p w14:paraId="6973FC54" w14:textId="77777777" w:rsidR="00E30256" w:rsidRPr="00C43CEC" w:rsidRDefault="00E30256" w:rsidP="0002414E">
            <w:pPr>
              <w:spacing w:line="240" w:lineRule="auto"/>
              <w:rPr>
                <w:sz w:val="20"/>
                <w:szCs w:val="20"/>
                <w:lang w:val="es-CR"/>
              </w:rPr>
            </w:pPr>
          </w:p>
        </w:tc>
        <w:tc>
          <w:tcPr>
            <w:tcW w:w="2127" w:type="dxa"/>
            <w:vAlign w:val="center"/>
          </w:tcPr>
          <w:p w14:paraId="21A41190" w14:textId="77777777" w:rsidR="00E30256" w:rsidRPr="00C43CEC" w:rsidRDefault="00E30256" w:rsidP="0002414E">
            <w:pPr>
              <w:spacing w:line="240" w:lineRule="auto"/>
              <w:rPr>
                <w:sz w:val="20"/>
                <w:szCs w:val="20"/>
                <w:lang w:val="es-CR"/>
              </w:rPr>
            </w:pPr>
          </w:p>
        </w:tc>
        <w:tc>
          <w:tcPr>
            <w:tcW w:w="1603" w:type="dxa"/>
          </w:tcPr>
          <w:p w14:paraId="2E427C22" w14:textId="77777777" w:rsidR="00E30256" w:rsidRPr="00C43CEC" w:rsidRDefault="00E30256" w:rsidP="0002414E">
            <w:pPr>
              <w:spacing w:line="240" w:lineRule="auto"/>
              <w:rPr>
                <w:sz w:val="20"/>
                <w:szCs w:val="20"/>
                <w:lang w:val="es-CR"/>
              </w:rPr>
            </w:pPr>
          </w:p>
        </w:tc>
      </w:tr>
      <w:tr w:rsidR="00E30256" w:rsidRPr="00C43CEC" w14:paraId="226E4A71" w14:textId="77777777" w:rsidTr="0002414E">
        <w:trPr>
          <w:jc w:val="right"/>
        </w:trPr>
        <w:tc>
          <w:tcPr>
            <w:tcW w:w="1723" w:type="dxa"/>
            <w:vAlign w:val="center"/>
          </w:tcPr>
          <w:p w14:paraId="03E5EAC4" w14:textId="77777777" w:rsidR="00E30256" w:rsidRPr="00C43CEC" w:rsidRDefault="00E30256" w:rsidP="0002414E">
            <w:pPr>
              <w:spacing w:line="240" w:lineRule="auto"/>
              <w:rPr>
                <w:sz w:val="20"/>
                <w:szCs w:val="20"/>
                <w:lang w:val="es-CR"/>
              </w:rPr>
            </w:pPr>
            <w:r w:rsidRPr="00C43CEC">
              <w:rPr>
                <w:sz w:val="20"/>
                <w:szCs w:val="20"/>
                <w:lang w:val="es-CR"/>
              </w:rPr>
              <w:t>Otros</w:t>
            </w:r>
          </w:p>
        </w:tc>
        <w:tc>
          <w:tcPr>
            <w:tcW w:w="1958" w:type="dxa"/>
            <w:vAlign w:val="center"/>
          </w:tcPr>
          <w:p w14:paraId="266C076B" w14:textId="77777777" w:rsidR="00E30256" w:rsidRPr="00C43CEC" w:rsidRDefault="00E30256" w:rsidP="0002414E">
            <w:pPr>
              <w:spacing w:line="240" w:lineRule="auto"/>
              <w:rPr>
                <w:sz w:val="20"/>
                <w:szCs w:val="20"/>
                <w:lang w:val="es-CR"/>
              </w:rPr>
            </w:pPr>
          </w:p>
        </w:tc>
        <w:tc>
          <w:tcPr>
            <w:tcW w:w="1417" w:type="dxa"/>
          </w:tcPr>
          <w:p w14:paraId="19655FC7" w14:textId="77777777" w:rsidR="00E30256" w:rsidRPr="00C43CEC" w:rsidRDefault="00E30256" w:rsidP="0002414E">
            <w:pPr>
              <w:spacing w:line="240" w:lineRule="auto"/>
              <w:rPr>
                <w:sz w:val="20"/>
                <w:szCs w:val="20"/>
                <w:lang w:val="es-CR"/>
              </w:rPr>
            </w:pPr>
          </w:p>
        </w:tc>
        <w:tc>
          <w:tcPr>
            <w:tcW w:w="2127" w:type="dxa"/>
            <w:vAlign w:val="center"/>
          </w:tcPr>
          <w:p w14:paraId="611808D8" w14:textId="77777777" w:rsidR="00E30256" w:rsidRPr="00C43CEC" w:rsidRDefault="00E30256" w:rsidP="0002414E">
            <w:pPr>
              <w:spacing w:line="240" w:lineRule="auto"/>
              <w:rPr>
                <w:sz w:val="20"/>
                <w:szCs w:val="20"/>
                <w:lang w:val="es-CR"/>
              </w:rPr>
            </w:pPr>
          </w:p>
        </w:tc>
        <w:tc>
          <w:tcPr>
            <w:tcW w:w="1603" w:type="dxa"/>
          </w:tcPr>
          <w:p w14:paraId="72181F1B" w14:textId="77777777" w:rsidR="00E30256" w:rsidRPr="00C43CEC" w:rsidRDefault="00E30256" w:rsidP="0002414E">
            <w:pPr>
              <w:spacing w:line="240" w:lineRule="auto"/>
              <w:rPr>
                <w:sz w:val="20"/>
                <w:szCs w:val="20"/>
                <w:lang w:val="es-CR"/>
              </w:rPr>
            </w:pPr>
          </w:p>
        </w:tc>
      </w:tr>
    </w:tbl>
    <w:p w14:paraId="7C2A9FCC" w14:textId="77777777" w:rsidR="00E30256" w:rsidRDefault="00E30256" w:rsidP="00E30256">
      <w:pPr>
        <w:spacing w:line="240" w:lineRule="auto"/>
        <w:rPr>
          <w:sz w:val="24"/>
          <w:lang w:val="es-CR"/>
        </w:rPr>
      </w:pPr>
    </w:p>
    <w:p w14:paraId="0A4151A5" w14:textId="77777777" w:rsidR="00E30256" w:rsidRDefault="00E30256" w:rsidP="00E30256">
      <w:pPr>
        <w:pStyle w:val="Prrafodelista"/>
        <w:numPr>
          <w:ilvl w:val="0"/>
          <w:numId w:val="5"/>
        </w:numPr>
        <w:spacing w:line="240" w:lineRule="auto"/>
        <w:ind w:hanging="294"/>
        <w:rPr>
          <w:sz w:val="24"/>
          <w:lang w:val="es-CR"/>
        </w:rPr>
      </w:pPr>
      <w:r>
        <w:rPr>
          <w:sz w:val="24"/>
          <w:lang w:val="es-CR"/>
        </w:rPr>
        <w:t>La citada información debe ser remitida como parte del informe de avance con corte al 31 de diciembre de 2021 y en sucesivos informes bimestrales de avance.</w:t>
      </w:r>
    </w:p>
    <w:p w14:paraId="06E5D63A" w14:textId="77777777" w:rsidR="00E30256" w:rsidRDefault="00E30256" w:rsidP="00E30256">
      <w:pPr>
        <w:pStyle w:val="Prrafodelista"/>
        <w:spacing w:line="240" w:lineRule="auto"/>
        <w:rPr>
          <w:sz w:val="24"/>
          <w:lang w:val="es-CR"/>
        </w:rPr>
      </w:pPr>
    </w:p>
    <w:p w14:paraId="3A5813C9" w14:textId="77777777" w:rsidR="00E30256" w:rsidRPr="00B9091F" w:rsidRDefault="00E30256" w:rsidP="00E30256">
      <w:pPr>
        <w:pStyle w:val="Prrafodelista"/>
        <w:spacing w:line="240" w:lineRule="auto"/>
        <w:rPr>
          <w:sz w:val="24"/>
          <w:lang w:val="es-CR"/>
        </w:rPr>
      </w:pPr>
    </w:p>
    <w:p w14:paraId="5FFBE002" w14:textId="77777777" w:rsidR="00E30256" w:rsidRPr="00C43CEC" w:rsidRDefault="00E30256" w:rsidP="00E30256">
      <w:pPr>
        <w:spacing w:line="240" w:lineRule="auto"/>
        <w:rPr>
          <w:sz w:val="24"/>
        </w:rPr>
      </w:pPr>
      <w:r w:rsidRPr="00C43CEC">
        <w:rPr>
          <w:sz w:val="24"/>
        </w:rPr>
        <w:t>Atentamente,</w:t>
      </w:r>
    </w:p>
    <w:p w14:paraId="5CCD8C55" w14:textId="77777777" w:rsidR="00E30256" w:rsidRPr="00C43CEC" w:rsidRDefault="00E30256" w:rsidP="00E30256">
      <w:pPr>
        <w:spacing w:line="240" w:lineRule="auto"/>
        <w:rPr>
          <w:sz w:val="24"/>
        </w:rPr>
      </w:pPr>
      <w:r w:rsidRPr="00C43CEC">
        <w:rPr>
          <w:noProof/>
          <w:lang w:val="es-CR" w:eastAsia="es-CR"/>
        </w:rPr>
        <w:drawing>
          <wp:anchor distT="0" distB="0" distL="114300" distR="114300" simplePos="0" relativeHeight="251659264" behindDoc="1" locked="0" layoutInCell="1" allowOverlap="1" wp14:anchorId="33CDC84D" wp14:editId="7889F960">
            <wp:simplePos x="0" y="0"/>
            <wp:positionH relativeFrom="column">
              <wp:posOffset>-165735</wp:posOffset>
            </wp:positionH>
            <wp:positionV relativeFrom="paragraph">
              <wp:posOffset>93537</wp:posOffset>
            </wp:positionV>
            <wp:extent cx="2517892" cy="381663"/>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28758" cy="383310"/>
                    </a:xfrm>
                    <a:prstGeom prst="rect">
                      <a:avLst/>
                    </a:prstGeom>
                    <a:noFill/>
                  </pic:spPr>
                </pic:pic>
              </a:graphicData>
            </a:graphic>
            <wp14:sizeRelH relativeFrom="page">
              <wp14:pctWidth>0</wp14:pctWidth>
            </wp14:sizeRelH>
            <wp14:sizeRelV relativeFrom="page">
              <wp14:pctHeight>0</wp14:pctHeight>
            </wp14:sizeRelV>
          </wp:anchor>
        </w:drawing>
      </w:r>
    </w:p>
    <w:p w14:paraId="548D9063" w14:textId="77777777" w:rsidR="00E30256" w:rsidRPr="00C43CEC" w:rsidRDefault="00E30256" w:rsidP="00E30256">
      <w:pPr>
        <w:spacing w:line="240" w:lineRule="auto"/>
        <w:jc w:val="left"/>
        <w:rPr>
          <w:sz w:val="24"/>
        </w:rPr>
      </w:pPr>
    </w:p>
    <w:p w14:paraId="55E91B4D" w14:textId="77777777" w:rsidR="00E30256" w:rsidRPr="00C43CEC" w:rsidRDefault="00E30256" w:rsidP="00E30256">
      <w:pPr>
        <w:spacing w:line="240" w:lineRule="auto"/>
        <w:jc w:val="left"/>
        <w:rPr>
          <w:sz w:val="24"/>
        </w:rPr>
      </w:pPr>
    </w:p>
    <w:p w14:paraId="6AC9440B" w14:textId="77777777" w:rsidR="00E30256" w:rsidRPr="00C43CEC" w:rsidRDefault="00E30256" w:rsidP="00E30256">
      <w:pPr>
        <w:spacing w:line="240" w:lineRule="auto"/>
        <w:jc w:val="left"/>
        <w:rPr>
          <w:b/>
          <w:bCs/>
          <w:sz w:val="24"/>
        </w:rPr>
      </w:pPr>
      <w:r w:rsidRPr="00C43CEC">
        <w:rPr>
          <w:sz w:val="24"/>
        </w:rPr>
        <w:t>Rocío Aguilar Montoya</w:t>
      </w:r>
      <w:r w:rsidRPr="00C43CEC">
        <w:rPr>
          <w:sz w:val="24"/>
        </w:rPr>
        <w:br/>
      </w:r>
      <w:r w:rsidRPr="00C43CEC">
        <w:rPr>
          <w:b/>
          <w:bCs/>
          <w:sz w:val="24"/>
        </w:rPr>
        <w:t>Superintendente General</w:t>
      </w:r>
    </w:p>
    <w:p w14:paraId="4644497D" w14:textId="77777777" w:rsidR="00E30256" w:rsidRDefault="00E30256" w:rsidP="00E30256"/>
    <w:p w14:paraId="44C4250A" w14:textId="77B2299D" w:rsidR="00E30256" w:rsidRPr="001F7A6C" w:rsidRDefault="001F7A6C" w:rsidP="00E30256">
      <w:pPr>
        <w:tabs>
          <w:tab w:val="left" w:pos="7187"/>
        </w:tabs>
        <w:rPr>
          <w:sz w:val="16"/>
          <w:szCs w:val="16"/>
        </w:rPr>
      </w:pPr>
      <w:r w:rsidRPr="001F7A6C">
        <w:rPr>
          <w:sz w:val="16"/>
          <w:szCs w:val="16"/>
        </w:rPr>
        <w:t>RAM/CSC/pmvc.</w:t>
      </w:r>
    </w:p>
    <w:p w14:paraId="341EB22E" w14:textId="77777777" w:rsidR="006972C9" w:rsidRPr="001F7A6C" w:rsidRDefault="006972C9" w:rsidP="006972C9">
      <w:pPr>
        <w:rPr>
          <w:sz w:val="16"/>
          <w:szCs w:val="16"/>
        </w:rPr>
      </w:pPr>
    </w:p>
    <w:p w14:paraId="18A65838" w14:textId="77777777" w:rsidR="006972C9" w:rsidRPr="006972C9" w:rsidRDefault="006972C9" w:rsidP="006972C9"/>
    <w:p w14:paraId="40931716" w14:textId="77777777" w:rsidR="006972C9" w:rsidRDefault="006972C9" w:rsidP="006972C9"/>
    <w:p w14:paraId="65E9906A" w14:textId="77777777" w:rsidR="00AF06C5" w:rsidRPr="006972C9" w:rsidRDefault="006972C9" w:rsidP="006972C9">
      <w:pPr>
        <w:tabs>
          <w:tab w:val="left" w:pos="7187"/>
        </w:tabs>
      </w:pPr>
      <w:r>
        <w:tab/>
      </w:r>
    </w:p>
    <w:sectPr w:rsidR="00AF06C5" w:rsidRPr="006972C9">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5F9E2" w14:textId="77777777" w:rsidR="00E30256" w:rsidRDefault="00E30256" w:rsidP="009349F3">
      <w:pPr>
        <w:spacing w:line="240" w:lineRule="auto"/>
      </w:pPr>
      <w:r>
        <w:separator/>
      </w:r>
    </w:p>
  </w:endnote>
  <w:endnote w:type="continuationSeparator" w:id="0">
    <w:p w14:paraId="4E1DD791" w14:textId="77777777" w:rsidR="00E30256" w:rsidRDefault="00E30256"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D854E" w14:textId="77777777" w:rsidR="00683A70" w:rsidRDefault="00683A7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2890"/>
      <w:gridCol w:w="1617"/>
      <w:gridCol w:w="1441"/>
    </w:tblGrid>
    <w:tr w:rsidR="00517D62" w14:paraId="2B7879DF" w14:textId="77777777" w:rsidTr="00BA2E27">
      <w:tc>
        <w:tcPr>
          <w:tcW w:w="2942" w:type="dxa"/>
        </w:tcPr>
        <w:p w14:paraId="02B01CE6" w14:textId="77777777" w:rsidR="00683A70" w:rsidRDefault="00683A70" w:rsidP="00683A70">
          <w:pPr>
            <w:pStyle w:val="Piedepgina"/>
            <w:rPr>
              <w:b/>
              <w:color w:val="7F7F7F" w:themeColor="text1" w:themeTint="80"/>
              <w:sz w:val="16"/>
              <w:szCs w:val="16"/>
            </w:rPr>
          </w:pPr>
          <w:r>
            <w:rPr>
              <w:b/>
              <w:color w:val="7F7F7F" w:themeColor="text1" w:themeTint="80"/>
              <w:sz w:val="16"/>
              <w:szCs w:val="16"/>
            </w:rPr>
            <w:t>Teléfono: (506) 2243-4848</w:t>
          </w:r>
        </w:p>
        <w:p w14:paraId="39514F77" w14:textId="77777777" w:rsidR="00683A70" w:rsidRDefault="00683A70" w:rsidP="00683A70">
          <w:pPr>
            <w:pStyle w:val="Piedepgina"/>
            <w:rPr>
              <w:b/>
              <w:color w:val="7F7F7F" w:themeColor="text1" w:themeTint="80"/>
              <w:sz w:val="16"/>
              <w:szCs w:val="16"/>
            </w:rPr>
          </w:pPr>
          <w:r>
            <w:rPr>
              <w:b/>
              <w:color w:val="7F7F7F" w:themeColor="text1" w:themeTint="80"/>
              <w:sz w:val="16"/>
              <w:szCs w:val="16"/>
            </w:rPr>
            <w:t>Facsímile: (506) 2243-4849</w:t>
          </w:r>
        </w:p>
        <w:p w14:paraId="7F624CA4" w14:textId="77777777" w:rsidR="00517D62" w:rsidRPr="009349F3" w:rsidRDefault="00517D62" w:rsidP="00683A70">
          <w:pPr>
            <w:pStyle w:val="Piedepgina"/>
            <w:rPr>
              <w:b/>
              <w:color w:val="7F7F7F" w:themeColor="text1" w:themeTint="80"/>
              <w:sz w:val="16"/>
              <w:szCs w:val="16"/>
            </w:rPr>
          </w:pPr>
        </w:p>
      </w:tc>
      <w:tc>
        <w:tcPr>
          <w:tcW w:w="2943" w:type="dxa"/>
        </w:tcPr>
        <w:p w14:paraId="79231A33" w14:textId="77777777" w:rsidR="00517D62" w:rsidRPr="009349F3" w:rsidRDefault="00517D62" w:rsidP="00855792">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14:paraId="52B102A6" w14:textId="77777777" w:rsidR="00517D62" w:rsidRPr="009349F3" w:rsidRDefault="00517D62">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14:paraId="6BBF7856" w14:textId="77777777" w:rsidR="00517D62" w:rsidRPr="009349F3" w:rsidRDefault="006972C9" w:rsidP="00517D62">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6F134C">
            <w:rPr>
              <w:b/>
              <w:noProof/>
              <w:color w:val="7F7F7F" w:themeColor="text1" w:themeTint="80"/>
              <w:sz w:val="16"/>
              <w:szCs w:val="16"/>
            </w:rPr>
            <w:t>1</w:t>
          </w:r>
          <w:r w:rsidRPr="006972C9">
            <w:rPr>
              <w:b/>
              <w:color w:val="7F7F7F" w:themeColor="text1" w:themeTint="80"/>
              <w:sz w:val="16"/>
              <w:szCs w:val="16"/>
            </w:rPr>
            <w:fldChar w:fldCharType="end"/>
          </w:r>
        </w:p>
      </w:tc>
    </w:tr>
  </w:tbl>
  <w:p w14:paraId="47E838F4" w14:textId="77777777" w:rsidR="009349F3" w:rsidRDefault="009349F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82740" w14:textId="77777777" w:rsidR="00683A70" w:rsidRDefault="00683A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351F0" w14:textId="77777777" w:rsidR="00E30256" w:rsidRDefault="00E30256" w:rsidP="009349F3">
      <w:pPr>
        <w:spacing w:line="240" w:lineRule="auto"/>
      </w:pPr>
      <w:r>
        <w:separator/>
      </w:r>
    </w:p>
  </w:footnote>
  <w:footnote w:type="continuationSeparator" w:id="0">
    <w:p w14:paraId="2A0102BD" w14:textId="77777777" w:rsidR="00E30256" w:rsidRDefault="00E30256"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2C2DE" w14:textId="77777777" w:rsidR="00683A70" w:rsidRDefault="00683A7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4E64D" w14:textId="77777777" w:rsidR="009349F3" w:rsidRDefault="009349F3">
    <w:pPr>
      <w:pStyle w:val="Encabezado"/>
    </w:pPr>
    <w:r>
      <w:ptab w:relativeTo="margin" w:alignment="center" w:leader="none"/>
    </w:r>
    <w:r>
      <w:rPr>
        <w:noProof/>
        <w:lang w:val="es-CR" w:eastAsia="es-CR"/>
      </w:rPr>
      <w:drawing>
        <wp:inline distT="0" distB="0" distL="0" distR="0" wp14:anchorId="3C1B1736" wp14:editId="765650F3">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8F459" w14:textId="77777777" w:rsidR="00683A70" w:rsidRDefault="00683A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62069"/>
    <w:multiLevelType w:val="hybridMultilevel"/>
    <w:tmpl w:val="DC100B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3D1A48EB"/>
    <w:multiLevelType w:val="hybridMultilevel"/>
    <w:tmpl w:val="E9F4EE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6BE04150"/>
    <w:multiLevelType w:val="hybridMultilevel"/>
    <w:tmpl w:val="B7B08ED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56"/>
    <w:rsid w:val="000E564D"/>
    <w:rsid w:val="001F7A6C"/>
    <w:rsid w:val="0043009F"/>
    <w:rsid w:val="00517D62"/>
    <w:rsid w:val="00683A70"/>
    <w:rsid w:val="006972C9"/>
    <w:rsid w:val="006C6376"/>
    <w:rsid w:val="006F134C"/>
    <w:rsid w:val="006F502B"/>
    <w:rsid w:val="007454B8"/>
    <w:rsid w:val="008200B7"/>
    <w:rsid w:val="00855792"/>
    <w:rsid w:val="00900B79"/>
    <w:rsid w:val="009349F3"/>
    <w:rsid w:val="00AD65F9"/>
    <w:rsid w:val="00AF06C5"/>
    <w:rsid w:val="00B7752A"/>
    <w:rsid w:val="00D2742B"/>
    <w:rsid w:val="00DC2EEE"/>
    <w:rsid w:val="00DE2D06"/>
    <w:rsid w:val="00E3025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D4C754"/>
  <w15:chartTrackingRefBased/>
  <w15:docId w15:val="{ED0E2366-057B-48A1-8E1B-614DE2D9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0E564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564D"/>
    <w:rPr>
      <w:rFonts w:ascii="Segoe UI" w:eastAsia="Times New Roman" w:hAnsi="Segoe UI" w:cs="Segoe UI"/>
      <w:sz w:val="18"/>
      <w:szCs w:val="18"/>
      <w:lang w:val="es-ES"/>
    </w:rPr>
  </w:style>
  <w:style w:type="paragraph" w:styleId="Prrafodelista">
    <w:name w:val="List Paragraph"/>
    <w:basedOn w:val="Normal"/>
    <w:uiPriority w:val="34"/>
    <w:qFormat/>
    <w:rsid w:val="00E30256"/>
    <w:pPr>
      <w:ind w:left="720"/>
      <w:contextualSpacing/>
    </w:pPr>
  </w:style>
  <w:style w:type="table" w:customStyle="1" w:styleId="Tablaconcuadrcula1">
    <w:name w:val="Tabla con cuadrícula1"/>
    <w:basedOn w:val="Tablanormal"/>
    <w:next w:val="Tablaconcuadrcula"/>
    <w:uiPriority w:val="39"/>
    <w:rsid w:val="00E30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72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3E7C0544925405F9575B9E5112BC3B5"/>
        <w:category>
          <w:name w:val="General"/>
          <w:gallery w:val="placeholder"/>
        </w:category>
        <w:types>
          <w:type w:val="bbPlcHdr"/>
        </w:types>
        <w:behaviors>
          <w:behavior w:val="content"/>
        </w:behaviors>
        <w:guid w:val="{7E94F3D3-21BC-4D4C-A3B8-69DB1523804D}"/>
      </w:docPartPr>
      <w:docPartBody>
        <w:p w:rsidR="007353CB" w:rsidRDefault="00066DD7">
          <w:pPr>
            <w:pStyle w:val="43E7C0544925405F9575B9E5112BC3B5"/>
          </w:pPr>
          <w:r w:rsidRPr="001E0779">
            <w:rPr>
              <w:rStyle w:val="Textodelmarcadordeposicin"/>
            </w:rPr>
            <w:t>Haga clic aquí para escribir texto.</w:t>
          </w:r>
        </w:p>
      </w:docPartBody>
    </w:docPart>
    <w:docPart>
      <w:docPartPr>
        <w:name w:val="840905FAA2DB4D09BF0039B12DD22BEE"/>
        <w:category>
          <w:name w:val="General"/>
          <w:gallery w:val="placeholder"/>
        </w:category>
        <w:types>
          <w:type w:val="bbPlcHdr"/>
        </w:types>
        <w:behaviors>
          <w:behavior w:val="content"/>
        </w:behaviors>
        <w:guid w:val="{AE70F851-4DEB-4F80-9D7F-7D1D148C8AF6}"/>
      </w:docPartPr>
      <w:docPartBody>
        <w:p w:rsidR="007353CB" w:rsidRDefault="00066DD7">
          <w:pPr>
            <w:pStyle w:val="840905FAA2DB4D09BF0039B12DD22BEE"/>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DD7"/>
    <w:rsid w:val="00066DD7"/>
    <w:rsid w:val="007353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66DD7"/>
  </w:style>
  <w:style w:type="paragraph" w:customStyle="1" w:styleId="43E7C0544925405F9575B9E5112BC3B5">
    <w:name w:val="43E7C0544925405F9575B9E5112BC3B5"/>
  </w:style>
  <w:style w:type="paragraph" w:customStyle="1" w:styleId="840905FAA2DB4D09BF0039B12DD22BEE">
    <w:name w:val="840905FAA2DB4D09BF0039B12DD22BEE"/>
  </w:style>
  <w:style w:type="paragraph" w:customStyle="1" w:styleId="B07FAE3A978F46E5A2EB456C310A4CC9">
    <w:name w:val="B07FAE3A978F46E5A2EB456C310A4CC9"/>
    <w:rsid w:val="00066DD7"/>
  </w:style>
  <w:style w:type="paragraph" w:customStyle="1" w:styleId="2569F07150FC4DF29BD8AC601C26B9D6">
    <w:name w:val="2569F07150FC4DF29BD8AC601C26B9D6"/>
    <w:rsid w:val="00066D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kmwXLvwMHSG355r10nwKTwWxz+4Gt6P+8TOxHCMMnE4=</DigestValue>
    </Reference>
    <Reference Type="http://www.w3.org/2000/09/xmldsig#Object" URI="#idOfficeObject">
      <DigestMethod Algorithm="http://www.w3.org/2001/04/xmlenc#sha256"/>
      <DigestValue>0ZPXYZXacVSpqZ7KOuuDjLUGb36RaqAJqZV6Y1pDrgE=</DigestValue>
    </Reference>
    <Reference Type="http://uri.etsi.org/01903#SignedProperties" URI="#idSignedProperties">
      <Transforms>
        <Transform Algorithm="http://www.w3.org/TR/2001/REC-xml-c14n-20010315"/>
      </Transforms>
      <DigestMethod Algorithm="http://www.w3.org/2001/04/xmlenc#sha256"/>
      <DigestValue>LsfeQHmOPNdxQ8SWghhcZUNrifzRWQuHd6B9e4xn4YM=</DigestValue>
    </Reference>
  </SignedInfo>
  <SignatureValue>ZpX9SCNpPMafo3Ujz7jkGkskU+Y5rPXhraxeulyBnX/SlCXmpjVMSnR2zLUtRiqS1BJAluWptTgZ
VKqLbrfie70GuQYZXVzD3LsOr/CqFwu+7egb00NwY5inXTWCstXcyNdmDEwla2zCTN4f4RFf669q
swGicNUggX4K4JvVptT5NZasuapRGRDnYzxwExmWwijzNpa79vximR5enHul9X1rZsLdQJQjyTfP
rlDVByUw+dq/YxoW81Y2j1jVGG2DXf8l/uQ94hu65VPuY05opNdtprXwlmed6nv5jO8EImNoCJGJ
BK6adrFLOHStcxghipckCyABro3aHorfkb14/w==</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W6wESlsWD4FQQV448X1JWKZrK+C0TDkY58MfU2vBm0Y=</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x+tmOxYZm0SdP0w0lT4oJ5bb9n7bQqtlA6KqtKfi5fY=</DigestValue>
      </Reference>
      <Reference URI="/word/document.xml?ContentType=application/vnd.openxmlformats-officedocument.wordprocessingml.document.main+xml">
        <DigestMethod Algorithm="http://www.w3.org/2001/04/xmlenc#sha256"/>
        <DigestValue>S0EPx6v9OoM4G7NT3HiQEhUUhi5Xjyaf5neNqLUVt2M=</DigestValue>
      </Reference>
      <Reference URI="/word/endnotes.xml?ContentType=application/vnd.openxmlformats-officedocument.wordprocessingml.endnotes+xml">
        <DigestMethod Algorithm="http://www.w3.org/2001/04/xmlenc#sha256"/>
        <DigestValue>5obdig4yfj0uPiWoYqJI7QuxWsmBnzf+zZ1Rmv/7PKc=</DigestValue>
      </Reference>
      <Reference URI="/word/fontTable.xml?ContentType=application/vnd.openxmlformats-officedocument.wordprocessingml.fontTable+xml">
        <DigestMethod Algorithm="http://www.w3.org/2001/04/xmlenc#sha256"/>
        <DigestValue>VPRmZkIt3qA9j0RGSs1BM3GDB4BavIkfhEG9VIuX2J0=</DigestValue>
      </Reference>
      <Reference URI="/word/footer1.xml?ContentType=application/vnd.openxmlformats-officedocument.wordprocessingml.footer+xml">
        <DigestMethod Algorithm="http://www.w3.org/2001/04/xmlenc#sha256"/>
        <DigestValue>hjicMWGQnGm4lfO/a1CipMCXdx1FjrTy+aAEeMsDxLw=</DigestValue>
      </Reference>
      <Reference URI="/word/footer2.xml?ContentType=application/vnd.openxmlformats-officedocument.wordprocessingml.footer+xml">
        <DigestMethod Algorithm="http://www.w3.org/2001/04/xmlenc#sha256"/>
        <DigestValue>lDixjBxU01j/xBiwJ/qwwwvH5A8PV/nX3J/vHdj6ijw=</DigestValue>
      </Reference>
      <Reference URI="/word/footer3.xml?ContentType=application/vnd.openxmlformats-officedocument.wordprocessingml.footer+xml">
        <DigestMethod Algorithm="http://www.w3.org/2001/04/xmlenc#sha256"/>
        <DigestValue>0J6vkOsliRswN90is4Hcpgk74C4XXZl6CL87FYGjQuA=</DigestValue>
      </Reference>
      <Reference URI="/word/footnotes.xml?ContentType=application/vnd.openxmlformats-officedocument.wordprocessingml.footnotes+xml">
        <DigestMethod Algorithm="http://www.w3.org/2001/04/xmlenc#sha256"/>
        <DigestValue>57coPm7f//05iT4b0zcz2IpIAql7xMck8b1mbMLwZtw=</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y8MHWXAWqRVpIDep/ZXxRE0QXY6zOmt51x5M/3QdYBk=</DigestValue>
      </Reference>
      <Reference URI="/word/glossary/fontTable.xml?ContentType=application/vnd.openxmlformats-officedocument.wordprocessingml.fontTable+xml">
        <DigestMethod Algorithm="http://www.w3.org/2001/04/xmlenc#sha256"/>
        <DigestValue>VPRmZkIt3qA9j0RGSs1BM3GDB4BavIkfhEG9VIuX2J0=</DigestValue>
      </Reference>
      <Reference URI="/word/glossary/settings.xml?ContentType=application/vnd.openxmlformats-officedocument.wordprocessingml.settings+xml">
        <DigestMethod Algorithm="http://www.w3.org/2001/04/xmlenc#sha256"/>
        <DigestValue>120I+HG4PAASmmrWcLc1BHNyZWZqthY5TKQ3dcPRg5k=</DigestValue>
      </Reference>
      <Reference URI="/word/glossary/styles.xml?ContentType=application/vnd.openxmlformats-officedocument.wordprocessingml.styles+xml">
        <DigestMethod Algorithm="http://www.w3.org/2001/04/xmlenc#sha256"/>
        <DigestValue>07ZBwgJ01CiZA2BkndJoisvyn/lrAgG0hHv4LCl8fBE=</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i23/peC65GqKFYNrtZ6n/Ui+nYEra1g4UUntOAEY1dQ=</DigestValue>
      </Reference>
      <Reference URI="/word/header2.xml?ContentType=application/vnd.openxmlformats-officedocument.wordprocessingml.header+xml">
        <DigestMethod Algorithm="http://www.w3.org/2001/04/xmlenc#sha256"/>
        <DigestValue>N6VlJiSWSpMyB6hAGNBnN7KflCjr+JIlDeWL/39h89c=</DigestValue>
      </Reference>
      <Reference URI="/word/header3.xml?ContentType=application/vnd.openxmlformats-officedocument.wordprocessingml.header+xml">
        <DigestMethod Algorithm="http://www.w3.org/2001/04/xmlenc#sha256"/>
        <DigestValue>Evpg1iS30S4/+O4fmQ6xCpxyb+Wh/+3oUv3ULL+UGRI=</DigestValue>
      </Reference>
      <Reference URI="/word/media/image1.jpeg?ContentType=image/jpeg">
        <DigestMethod Algorithm="http://www.w3.org/2001/04/xmlenc#sha256"/>
        <DigestValue>JeFTH3Smi+BLcxXQnS44YBtY+usNKFoWAPMVEfzSWLY=</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3aAKKHqyO7lrxXCAl/ntcBkEX9UxsSA3kpn48YjA0go=</DigestValue>
      </Reference>
      <Reference URI="/word/settings.xml?ContentType=application/vnd.openxmlformats-officedocument.wordprocessingml.settings+xml">
        <DigestMethod Algorithm="http://www.w3.org/2001/04/xmlenc#sha256"/>
        <DigestValue>FpvQ/LV0A2m4qybkz+3fCMNqJUONZN/W9omEfWecVEA=</DigestValue>
      </Reference>
      <Reference URI="/word/styles.xml?ContentType=application/vnd.openxmlformats-officedocument.wordprocessingml.styles+xml">
        <DigestMethod Algorithm="http://www.w3.org/2001/04/xmlenc#sha256"/>
        <DigestValue>iHEvQCkKZQ4TvS739Ql/+KPztmkNw1YuZA6/oa8x8yo=</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XP06jdSL0IlUuQMdgpTMMBKVWOrWyjQ++diQMf36daw=</DigestValue>
      </Reference>
    </Manifest>
    <SignatureProperties>
      <SignatureProperty Id="idSignatureTime" Target="#idPackageSignature">
        <mdssi:SignatureTime xmlns:mdssi="http://schemas.openxmlformats.org/package/2006/digital-signature">
          <mdssi:Format>YYYY-MM-DDThh:mm:ssTZD</mdssi:Format>
          <mdssi:Value>2021-12-23T15:57:51Z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2021-12-23T15:57:51Z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qCyBVNMUMwuqVgih0971FQDayda63xZDiWnlMgbiRewCBA2Tqq4YDzIwMjExMjIzMTU1NzU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</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</xd:EncapsulatedCRLValue>
                <xd:EncapsulatedCRLValue>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9K3+E084eRwL21L0LylsjmsIhbI=</xd:ByKey>
                  </xd:ResponderID>
                  <xd:ProducedAt>2021-12-23T15:53:06Z</xd:ProducedAt>
                </xd:OCSPIdentifier>
                <xd:DigestAlgAndValue>
                  <DigestMethod Algorithm="http://www.w3.org/2001/04/xmlenc#sha256"/>
                  <DigestValue>1oNfN9CDWlCnjcofJ5e7/NDj7ibEy6ZAmRQlKG0k808=</DigestValue>
                </xd:DigestAlgAndValue>
              </xd:OCSPRef>
            </xd:OCSPRefs>
            <xd:CRLRefs>
              <xd:CRLRef>
                <xd:DigestAlgAndValue>
                  <DigestMethod Algorithm="http://www.w3.org/2001/04/xmlenc#sha256"/>
                  <DigestValue>9rTNRsl0juuvweYxJIF8SNCtsYn1uJEnWRaX6mdn6fo=</DigestValue>
                </xd:DigestAlgAndValue>
                <xd:CRLIdentifier>
                  <xd:Issuer>CN=CA POLITICA PERSONA FISICA - COSTA RICA v2, OU=DCFD, O=MICITT, C=CR, SERIALNUMBER=CPJ-2-100-098311</xd:Issuer>
                  <xd:IssueTime>2021-12-10T15:57:16Z</xd:IssueTime>
                </xd:CRLIdentifier>
              </xd:CRLRef>
              <xd:CRLRef>
                <xd:DigestAlgAndValue>
                  <DigestMethod Algorithm="http://www.w3.org/2001/04/xmlenc#sha256"/>
                  <DigestValue>Z14GX6ROkOQCoKKL80YlJPoZyEpotB/wLKYYQOAzkYo=</DigestValue>
                </xd:DigestAlgAndValue>
                <xd:CRLIdentifier>
                  <xd:Issuer>CN=CA RAIZ NACIONAL - COSTA RICA v2, C=CR, O=MICITT, OU=DCFD, SERIALNUMBER=CPJ-2-100-098311</xd:Issuer>
                  <xd:IssueTime>2021-10-21T16:32:40Z</xd:IssueTime>
                </xd:CRLIdentifier>
              </xd:CRLRef>
            </xd:CRLRefs>
          </xd:CompleteRevocationRefs>
          <xd:RevocationValues>
            <xd:OCSPValues>
              <xd:EncapsulatedOCSPValue>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</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</xd:EncapsulatedCRLValue>
              <xd:EncapsulatedCRLValue>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yieMPjKZUKl3K0qNw/7qj/H9IewSKAYnARyl8uY9HpcCBA2TqrAYDzIwMjExMjIzMTU1NzU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9" ma:contentTypeDescription="Crear nuevo documento." ma:contentTypeScope="" ma:versionID="454ecb6f0565b8d71cc0589911977c7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3</Value>
      <Value>295</Value>
      <Value>63</Value>
    </TaxCatchAll>
    <OtraEntidadExterna xmlns="b875e23b-67d9-4b2e-bdec-edacbf90b326" xsi:nil="true"/>
    <Firmado xmlns="b875e23b-67d9-4b2e-bdec-edacbf90b326">true</Firmado>
    <Responsable xmlns="b875e23b-67d9-4b2e-bdec-edacbf90b326">
      <UserInfo>
        <DisplayName>SANCHO CALVO CECILIA</DisplayName>
        <AccountId>1728</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i:0#.w|pdc-atlantida\sanchocc</DisplayName>
        <AccountId>1728</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Baja</TermName>
          <TermId xmlns="http://schemas.microsoft.com/office/infopath/2007/PartnerControls">7bc4a4d2-5c1f-4c95-86ec-7fab8db06268</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2020-01-06T06:00:00+00:00</FechaDocumento>
    <RemitenteOriginal xmlns="b875e23b-67d9-4b2e-bdec-edacbf90b326">SUGEF - Despacho</RemitenteOriginal>
    <Secretaria xmlns="b875e23b-67d9-4b2e-bdec-edacbf90b326">
      <UserInfo>
        <DisplayName>VARGAS CALDERON PATRICIA MARIA</DisplayName>
        <AccountId>322</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PPt de LIBOR, recomendaciones y PL 22.440</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00BC5FD2-3B4C-4F35-8E1F-5870E1091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79ABA0-7159-4384-A33F-73B11D459045}">
  <ds:schemaRefs>
    <ds:schemaRef ds:uri="office.server.policy"/>
  </ds:schemaRefs>
</ds:datastoreItem>
</file>

<file path=customXml/itemProps3.xml><?xml version="1.0" encoding="utf-8"?>
<ds:datastoreItem xmlns:ds="http://schemas.openxmlformats.org/officeDocument/2006/customXml" ds:itemID="{81BC3793-8612-4BDF-94E9-067100044880}">
  <ds:schemaRefs>
    <ds:schemaRef ds:uri="Microsoft.SharePoint.Taxonomy.ContentTypeSync"/>
  </ds:schemaRefs>
</ds:datastoreItem>
</file>

<file path=customXml/itemProps4.xml><?xml version="1.0" encoding="utf-8"?>
<ds:datastoreItem xmlns:ds="http://schemas.openxmlformats.org/officeDocument/2006/customXml" ds:itemID="{31A529B0-C9DC-43D1-A998-D62CE4B1C738}">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terms/"/>
    <ds:schemaRef ds:uri="http://schemas.microsoft.com/sharepoint/v3"/>
    <ds:schemaRef ds:uri="http://schemas.openxmlformats.org/package/2006/metadata/core-properties"/>
    <ds:schemaRef ds:uri="b875e23b-67d9-4b2e-bdec-edacbf90b326"/>
    <ds:schemaRef ds:uri="http://purl.org/dc/dcmitype/"/>
  </ds:schemaRefs>
</ds:datastoreItem>
</file>

<file path=customXml/itemProps5.xml><?xml version="1.0" encoding="utf-8"?>
<ds:datastoreItem xmlns:ds="http://schemas.openxmlformats.org/officeDocument/2006/customXml" ds:itemID="{70C784E1-5E2E-40E9-8378-2590FCA60B73}">
  <ds:schemaRefs>
    <ds:schemaRef ds:uri="http://schemas.microsoft.com/sharepoint/events"/>
  </ds:schemaRefs>
</ds:datastoreItem>
</file>

<file path=customXml/itemProps6.xml><?xml version="1.0" encoding="utf-8"?>
<ds:datastoreItem xmlns:ds="http://schemas.openxmlformats.org/officeDocument/2006/customXml" ds:itemID="{561CCF15-7AA3-497B-8E0A-AD5B15401A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plantillas-SGF-13</Template>
  <TotalTime>4</TotalTime>
  <Pages>2</Pages>
  <Words>438</Words>
  <Characters>2414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CALDERON PATRICIA MARIA</dc:creator>
  <cp:keywords/>
  <dc:description/>
  <cp:lastModifiedBy>VARGAS CALDERON PATRICIA MARIA</cp:lastModifiedBy>
  <cp:revision>3</cp:revision>
  <dcterms:created xsi:type="dcterms:W3CDTF">2021-12-22T22:17:00Z</dcterms:created>
  <dcterms:modified xsi:type="dcterms:W3CDTF">2021-12-22T22:44:00Z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295;#Baja|7bc4a4d2-5c1f-4c95-86ec-7fab8db06268</vt:lpwstr>
  </property>
  <property fmtid="{D5CDD505-2E9C-101B-9397-08002B2CF9AE}" pid="4" name="Tipo Documental">
    <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lb0b7da792b243d9bfa96ad7487ad734">
    <vt:lpwstr/>
  </property>
  <property fmtid="{D5CDD505-2E9C-101B-9397-08002B2CF9AE}" pid="12" name="_dlc_policyId">
    <vt:lpwstr>0x010100E97154E09FCE6A4E8EAEBD5C54DD1AE4|-1695030217</vt:lpwstr>
  </property>
  <property fmtid="{D5CDD505-2E9C-101B-9397-08002B2CF9AE}" pid="13"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4" name="Order">
    <vt:r8>21500</vt:r8>
  </property>
  <property fmtid="{D5CDD505-2E9C-101B-9397-08002B2CF9AE}" pid="15" name="WorkflowChangePath">
    <vt:lpwstr>58129e4d-2a7c-4442-ab86-f4288b01d5ff,4;7dedacbb-5c77-4a35-8847-40abd1245d4d,7;</vt:lpwstr>
  </property>
</Properties>
</file>