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A3CAC" w:rsidR="003554C5" w:rsidP="007A3CAC" w:rsidRDefault="007A3CAC" w14:paraId="5DBD572D" w14:textId="700FBB97">
      <w:pPr>
        <w:pStyle w:val="Texto0"/>
        <w:spacing w:before="0" w:after="0" w:line="240" w:lineRule="auto"/>
        <w:jc w:val="center"/>
        <w:rPr>
          <w:b/>
          <w:sz w:val="24"/>
        </w:rPr>
      </w:pPr>
      <w:r w:rsidRPr="007A3CAC">
        <w:rPr>
          <w:b/>
          <w:sz w:val="24"/>
        </w:rPr>
        <w:t>C</w:t>
      </w:r>
      <w:r w:rsidR="00C72344">
        <w:rPr>
          <w:b/>
          <w:sz w:val="24"/>
        </w:rPr>
        <w:t>IRCULAR EXTERNA</w:t>
      </w:r>
    </w:p>
    <w:p w:rsidR="00AB580B" w:rsidP="007A3CAC" w:rsidRDefault="00C72344" w14:paraId="28D6E562" w14:textId="55401B34">
      <w:pPr>
        <w:tabs>
          <w:tab w:val="left" w:pos="2843"/>
        </w:tabs>
        <w:spacing w:line="240" w:lineRule="auto"/>
        <w:jc w:val="center"/>
        <w:rPr>
          <w:sz w:val="24"/>
        </w:rPr>
      </w:pPr>
      <w:sdt>
        <w:sdtPr>
          <w:rPr>
            <w:sz w:val="24"/>
          </w:rPr>
          <w:alias w:val="Consecutivo"/>
          <w:tag w:val="Consecutivo"/>
          <w:id w:val="2052717023"/>
          <w:placeholder>
            <w:docPart w:val="3C2FD16F9C5E45BF86FE7DEC7CC47E49"/>
          </w:placeholder>
          <w:text/>
        </w:sdtPr>
        <w:sdtEndPr/>
        <w:sdtContent>
          <w:r>
            <w:t>SGF-3561-2018</w:t>
          </w:r>
        </w:sdtContent>
      </w:sdt>
      <w:r>
        <w:rPr>
          <w:sz w:val="24"/>
        </w:rPr>
        <w:t xml:space="preserve"> - </w:t>
      </w:r>
      <w:sdt>
        <w:sdtPr>
          <w:rPr>
            <w:sz w:val="24"/>
          </w:rPr>
          <w:alias w:val="Confidencialidad"/>
          <w:tag w:val="Confidencialidad"/>
          <w:id w:val="1447896894"/>
          <w:placeholder>
            <w:docPart w:val="E53711F430EF4F2FA36F658C1269536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A86C83">
            <w:rPr>
              <w:sz w:val="24"/>
            </w:rPr>
            <w:t>SGF-PROPIETARIO</w:t>
          </w:r>
        </w:sdtContent>
      </w:sdt>
    </w:p>
    <w:p w:rsidR="007A3CAC" w:rsidP="007A3CAC" w:rsidRDefault="002F6F7C" w14:paraId="572AA682" w14:textId="4A789EDD">
      <w:pPr>
        <w:tabs>
          <w:tab w:val="left" w:pos="2843"/>
        </w:tabs>
        <w:spacing w:line="240" w:lineRule="auto"/>
        <w:jc w:val="center"/>
        <w:rPr>
          <w:sz w:val="24"/>
        </w:rPr>
      </w:pPr>
      <w:r>
        <w:rPr>
          <w:sz w:val="24"/>
        </w:rPr>
        <w:t>19</w:t>
      </w:r>
      <w:r w:rsidR="007A3CAC">
        <w:rPr>
          <w:sz w:val="24"/>
        </w:rPr>
        <w:t xml:space="preserve"> de noviembre del 2018</w:t>
      </w:r>
    </w:p>
    <w:p w:rsidR="007A3CAC" w:rsidP="007A3CAC" w:rsidRDefault="007A3CAC" w14:paraId="1A42B520" w14:textId="77777777">
      <w:pPr>
        <w:tabs>
          <w:tab w:val="left" w:pos="2843"/>
        </w:tabs>
        <w:spacing w:line="240" w:lineRule="auto"/>
        <w:jc w:val="center"/>
        <w:rPr>
          <w:sz w:val="24"/>
        </w:rPr>
      </w:pPr>
    </w:p>
    <w:p w:rsidRPr="00BF5985" w:rsidR="003554C5" w:rsidP="00D26EDE" w:rsidRDefault="008F1461" w14:paraId="0C2B55AF" w14:textId="77777777">
      <w:pPr>
        <w:tabs>
          <w:tab w:val="left" w:pos="2843"/>
        </w:tabs>
        <w:spacing w:line="240" w:lineRule="auto"/>
        <w:rPr>
          <w:rFonts w:asciiTheme="majorHAnsi" w:hAnsiTheme="majorHAnsi"/>
          <w:sz w:val="24"/>
        </w:rPr>
      </w:pPr>
      <w:r w:rsidRPr="00BF5985">
        <w:rPr>
          <w:rFonts w:asciiTheme="majorHAnsi" w:hAnsiTheme="majorHAnsi"/>
          <w:sz w:val="24"/>
        </w:rPr>
        <w:tab/>
      </w:r>
    </w:p>
    <w:p w:rsidRPr="00BF5985" w:rsidR="007A3CAC" w:rsidP="007A3CAC" w:rsidRDefault="007A3CAC" w14:paraId="7582D1DE" w14:textId="77777777">
      <w:pPr>
        <w:widowControl w:val="0"/>
        <w:spacing w:line="240" w:lineRule="auto"/>
        <w:ind w:left="34" w:right="86"/>
        <w:outlineLvl w:val="0"/>
        <w:rPr>
          <w:rFonts w:asciiTheme="majorHAnsi" w:hAnsiTheme="majorHAnsi"/>
          <w:b/>
          <w:sz w:val="24"/>
          <w:lang w:val="es-CR"/>
        </w:rPr>
      </w:pPr>
      <w:r w:rsidRPr="00BF5985">
        <w:rPr>
          <w:rFonts w:asciiTheme="majorHAnsi" w:hAnsiTheme="majorHAnsi"/>
          <w:b/>
          <w:sz w:val="24"/>
          <w:lang w:val="es-CR"/>
        </w:rPr>
        <w:t xml:space="preserve">Dirigida a: </w:t>
      </w:r>
    </w:p>
    <w:p w:rsidRPr="00BF5985" w:rsidR="007A3CAC" w:rsidP="007A3CAC" w:rsidRDefault="007A3CAC" w14:paraId="36BA33CD" w14:textId="77777777">
      <w:pPr>
        <w:widowControl w:val="0"/>
        <w:spacing w:line="240" w:lineRule="auto"/>
        <w:ind w:left="34" w:right="86"/>
        <w:outlineLvl w:val="0"/>
        <w:rPr>
          <w:rFonts w:asciiTheme="majorHAnsi" w:hAnsiTheme="majorHAnsi"/>
          <w:b/>
          <w:sz w:val="24"/>
          <w:lang w:val="es-CR"/>
        </w:rPr>
      </w:pPr>
    </w:p>
    <w:p w:rsidRPr="00BF5985" w:rsidR="007A3CAC" w:rsidP="007A3CAC" w:rsidRDefault="007A3CAC" w14:paraId="20620695"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Bancos Comerciales del Estado</w:t>
      </w:r>
    </w:p>
    <w:p w:rsidRPr="00BF5985" w:rsidR="007A3CAC" w:rsidP="007A3CAC" w:rsidRDefault="007A3CAC" w14:paraId="6BA34410"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Bancos Creados por Leyes Especiales</w:t>
      </w:r>
    </w:p>
    <w:p w:rsidRPr="00BF5985" w:rsidR="007A3CAC" w:rsidP="007A3CAC" w:rsidRDefault="007A3CAC" w14:paraId="71771405"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Bancos Privados</w:t>
      </w:r>
    </w:p>
    <w:p w:rsidRPr="00BF5985" w:rsidR="007A3CAC" w:rsidP="007A3CAC" w:rsidRDefault="007A3CAC" w14:paraId="0047E78D"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Empresas Financieras no Bancarias</w:t>
      </w:r>
    </w:p>
    <w:p w:rsidRPr="00BF5985" w:rsidR="007A3CAC" w:rsidP="007A3CAC" w:rsidRDefault="007A3CAC" w14:paraId="618AB6B5"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Organizaciones Cooperativas de Ahorro y Crédito</w:t>
      </w:r>
    </w:p>
    <w:p w:rsidRPr="00BF5985" w:rsidR="007A3CAC" w:rsidP="007A3CAC" w:rsidRDefault="007A3CAC" w14:paraId="21901739"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Entidades Autorizadas del Sistema Financiera Nacional para la Vivienda</w:t>
      </w:r>
    </w:p>
    <w:p w:rsidRPr="00BF5985" w:rsidR="007A3CAC" w:rsidP="007A3CAC" w:rsidRDefault="007A3CAC" w14:paraId="2FD7A2ED" w14:textId="77777777">
      <w:pPr>
        <w:widowControl w:val="0"/>
        <w:numPr>
          <w:ilvl w:val="0"/>
          <w:numId w:val="13"/>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Otras Entidades Financieras</w:t>
      </w:r>
    </w:p>
    <w:p w:rsidRPr="00BF5985" w:rsidR="007A3CAC" w:rsidP="007A3CAC" w:rsidRDefault="007A3CAC" w14:paraId="7E9220EE" w14:textId="77777777">
      <w:pPr>
        <w:widowControl w:val="0"/>
        <w:spacing w:line="240" w:lineRule="auto"/>
        <w:ind w:left="34" w:right="86"/>
        <w:rPr>
          <w:rFonts w:asciiTheme="majorHAnsi" w:hAnsiTheme="majorHAnsi"/>
          <w:sz w:val="24"/>
          <w:lang w:val="es-CR"/>
        </w:rPr>
      </w:pPr>
    </w:p>
    <w:p w:rsidRPr="00BF5985" w:rsidR="007A3CAC" w:rsidP="007A3CAC" w:rsidRDefault="007A3CAC" w14:paraId="47064B90" w14:textId="14AD0F4C">
      <w:pPr>
        <w:rPr>
          <w:rFonts w:asciiTheme="majorHAnsi" w:hAnsiTheme="majorHAnsi"/>
          <w:sz w:val="24"/>
        </w:rPr>
      </w:pPr>
      <w:r w:rsidRPr="00BF5985">
        <w:rPr>
          <w:rFonts w:asciiTheme="majorHAnsi" w:hAnsiTheme="majorHAnsi"/>
          <w:b/>
          <w:sz w:val="24"/>
        </w:rPr>
        <w:t xml:space="preserve">Asunto: </w:t>
      </w:r>
      <w:r w:rsidRPr="00BF5985" w:rsidR="002F6F7C">
        <w:rPr>
          <w:rFonts w:asciiTheme="majorHAnsi" w:hAnsiTheme="majorHAnsi"/>
          <w:sz w:val="24"/>
        </w:rPr>
        <w:t xml:space="preserve">Proceso de </w:t>
      </w:r>
      <w:r w:rsidRPr="00BF5985">
        <w:rPr>
          <w:rFonts w:asciiTheme="majorHAnsi" w:hAnsiTheme="majorHAnsi"/>
          <w:sz w:val="24"/>
        </w:rPr>
        <w:t>Inscripción  “</w:t>
      </w:r>
      <w:r w:rsidRPr="00BF5985">
        <w:rPr>
          <w:rFonts w:asciiTheme="majorHAnsi" w:hAnsiTheme="majorHAnsi"/>
          <w:i/>
          <w:sz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BF5985">
        <w:rPr>
          <w:rFonts w:asciiTheme="majorHAnsi" w:hAnsiTheme="majorHAnsi"/>
          <w:sz w:val="24"/>
        </w:rPr>
        <w:t xml:space="preserve">, Acuerdo SUGEF 11-18. </w:t>
      </w:r>
    </w:p>
    <w:p w:rsidRPr="00BF5985" w:rsidR="007A3CAC" w:rsidP="007A3CAC" w:rsidRDefault="007A3CAC" w14:paraId="578DABF4" w14:textId="77777777">
      <w:pPr>
        <w:rPr>
          <w:rFonts w:asciiTheme="majorHAnsi" w:hAnsiTheme="majorHAnsi"/>
          <w:sz w:val="24"/>
        </w:rPr>
      </w:pPr>
    </w:p>
    <w:p w:rsidRPr="00BF5985" w:rsidR="007A3CAC" w:rsidP="007A3CAC" w:rsidRDefault="007A3CAC" w14:paraId="710A84E8" w14:textId="160B29BF">
      <w:pPr>
        <w:contextualSpacing/>
        <w:rPr>
          <w:rFonts w:asciiTheme="majorHAnsi" w:hAnsiTheme="majorHAnsi"/>
          <w:lang w:val="es-CR"/>
        </w:rPr>
      </w:pPr>
      <w:r w:rsidRPr="00BF5985">
        <w:rPr>
          <w:rFonts w:asciiTheme="majorHAnsi" w:hAnsiTheme="majorHAnsi"/>
          <w:lang w:val="es-CR"/>
        </w:rPr>
        <w:t>El Despacho del Superintendente de la Superintendencia General de Entidades Financieras (SUGEF), con fundamento en las atribuciones que le confiere el artículo 131 de la Ley Orgánica del Banco Central de Costa Rica, los artículos 1, 14</w:t>
      </w:r>
      <w:r w:rsidRPr="00BF5985" w:rsidR="002F6F7C">
        <w:rPr>
          <w:rFonts w:asciiTheme="majorHAnsi" w:hAnsiTheme="majorHAnsi"/>
          <w:lang w:val="es-CR"/>
        </w:rPr>
        <w:t>,</w:t>
      </w:r>
      <w:r w:rsidRPr="00BF5985">
        <w:rPr>
          <w:rFonts w:asciiTheme="majorHAnsi" w:hAnsiTheme="majorHAnsi"/>
          <w:lang w:val="es-CR"/>
        </w:rPr>
        <w:t xml:space="preserve"> 15</w:t>
      </w:r>
      <w:r w:rsidRPr="00BF5985" w:rsidR="002F6F7C">
        <w:rPr>
          <w:rFonts w:asciiTheme="majorHAnsi" w:hAnsiTheme="majorHAnsi"/>
          <w:lang w:val="es-CR"/>
        </w:rPr>
        <w:t xml:space="preserve"> y 15 Bis</w:t>
      </w:r>
      <w:r w:rsidRPr="00BF5985">
        <w:rPr>
          <w:rFonts w:asciiTheme="majorHAnsi" w:hAnsiTheme="majorHAnsi"/>
          <w:lang w:val="es-CR"/>
        </w:rPr>
        <w:t xml:space="preserve"> de la Ley 7786 y sus reformas, comunica:</w:t>
      </w:r>
    </w:p>
    <w:p w:rsidRPr="00BF5985" w:rsidR="007A3CAC" w:rsidP="007A3CAC" w:rsidRDefault="007A3CAC" w14:paraId="3B99AD3F" w14:textId="77777777">
      <w:pPr>
        <w:tabs>
          <w:tab w:val="left" w:pos="2843"/>
        </w:tabs>
        <w:contextualSpacing/>
        <w:rPr>
          <w:rFonts w:asciiTheme="majorHAnsi" w:hAnsiTheme="majorHAnsi"/>
        </w:rPr>
      </w:pPr>
    </w:p>
    <w:p w:rsidRPr="00BF5985" w:rsidR="007A3CAC" w:rsidP="007A3CAC" w:rsidRDefault="007A3CAC" w14:paraId="11981232" w14:textId="77777777">
      <w:pPr>
        <w:tabs>
          <w:tab w:val="left" w:pos="2843"/>
        </w:tabs>
        <w:contextualSpacing/>
        <w:rPr>
          <w:rFonts w:asciiTheme="majorHAnsi" w:hAnsiTheme="majorHAnsi"/>
          <w:b/>
        </w:rPr>
      </w:pPr>
      <w:r w:rsidRPr="00BF5985">
        <w:rPr>
          <w:rFonts w:asciiTheme="majorHAnsi" w:hAnsiTheme="majorHAnsi"/>
          <w:b/>
        </w:rPr>
        <w:t>Considerando:</w:t>
      </w:r>
    </w:p>
    <w:p w:rsidRPr="00BF5985" w:rsidR="007A3CAC" w:rsidP="007A3CAC" w:rsidRDefault="007A3CAC" w14:paraId="11FEC682" w14:textId="77777777">
      <w:pPr>
        <w:tabs>
          <w:tab w:val="left" w:pos="6990"/>
        </w:tabs>
        <w:contextualSpacing/>
        <w:rPr>
          <w:rFonts w:asciiTheme="majorHAnsi" w:hAnsiTheme="majorHAnsi"/>
        </w:rPr>
      </w:pPr>
      <w:r w:rsidRPr="00BF5985">
        <w:rPr>
          <w:rFonts w:asciiTheme="majorHAnsi" w:hAnsiTheme="majorHAnsi"/>
        </w:rPr>
        <w:tab/>
      </w:r>
    </w:p>
    <w:p w:rsidRPr="00BF5985" w:rsidR="007A3CAC" w:rsidP="007A3CAC" w:rsidRDefault="007A3CAC" w14:paraId="7612217F" w14:textId="77777777">
      <w:pPr>
        <w:numPr>
          <w:ilvl w:val="0"/>
          <w:numId w:val="14"/>
        </w:numPr>
        <w:spacing w:line="240" w:lineRule="auto"/>
        <w:contextualSpacing/>
        <w:rPr>
          <w:rFonts w:asciiTheme="majorHAnsi" w:hAnsiTheme="majorHAnsi"/>
        </w:rPr>
      </w:pPr>
      <w:r w:rsidRPr="00BF5985">
        <w:rPr>
          <w:rFonts w:asciiTheme="majorHAnsi" w:hAnsiTheme="majorHAnsi"/>
        </w:rPr>
        <w:t xml:space="preserve">Que mediante la Ley N° 9449 del 10 de mayo del 2017, la Asamblea Legislativa decretó la </w:t>
      </w:r>
      <w:r w:rsidRPr="00BF5985">
        <w:rPr>
          <w:rFonts w:asciiTheme="majorHAnsi" w:hAnsiTheme="majorHAnsi"/>
          <w:i/>
        </w:rPr>
        <w:t>“Reforma de los artículos 15, 15 bis, 16, 81 y adición de los artículos 15 ter y 16 bis a la ley N.° 7786, ley sobre estupefacientes, sustancias psicotrópicas, drogas de uso no autorizado, actividades conexas, legitimación de capitales y financiamiento al terrorismo, de 30 de abril de 1998”</w:t>
      </w:r>
      <w:r w:rsidRPr="00BF5985">
        <w:rPr>
          <w:rFonts w:asciiTheme="majorHAnsi" w:hAnsiTheme="majorHAnsi"/>
        </w:rPr>
        <w:t>.</w:t>
      </w:r>
    </w:p>
    <w:p w:rsidRPr="00BF5985" w:rsidR="007A3CAC" w:rsidP="007A3CAC" w:rsidRDefault="007A3CAC" w14:paraId="309BEEC9" w14:textId="77777777">
      <w:pPr>
        <w:ind w:left="360"/>
        <w:contextualSpacing/>
        <w:rPr>
          <w:rFonts w:asciiTheme="majorHAnsi" w:hAnsiTheme="majorHAnsi"/>
        </w:rPr>
      </w:pPr>
    </w:p>
    <w:p w:rsidRPr="00BF5985" w:rsidR="007A3CAC" w:rsidP="007A3CAC" w:rsidRDefault="007A3CAC" w14:paraId="6924735A" w14:textId="5111704D">
      <w:pPr>
        <w:pStyle w:val="Prrafodelista"/>
        <w:numPr>
          <w:ilvl w:val="0"/>
          <w:numId w:val="14"/>
        </w:numPr>
        <w:contextualSpacing/>
        <w:jc w:val="both"/>
        <w:outlineLvl w:val="0"/>
        <w:rPr>
          <w:rFonts w:asciiTheme="majorHAnsi" w:hAnsiTheme="majorHAnsi"/>
          <w:b/>
        </w:rPr>
      </w:pPr>
      <w:r w:rsidRPr="00BF5985">
        <w:rPr>
          <w:rFonts w:asciiTheme="majorHAnsi" w:hAnsiTheme="majorHAnsi"/>
        </w:rPr>
        <w:t xml:space="preserve">Que la </w:t>
      </w:r>
      <w:r w:rsidRPr="00BF5985">
        <w:rPr>
          <w:rFonts w:asciiTheme="majorHAnsi" w:hAnsiTheme="majorHAnsi"/>
          <w:i/>
        </w:rPr>
        <w:t>“Reglamentación de los artículos 15 y 15 bis de la Ley 7786”</w:t>
      </w:r>
      <w:r w:rsidRPr="00BF5985">
        <w:rPr>
          <w:rFonts w:asciiTheme="majorHAnsi" w:hAnsiTheme="majorHAnsi"/>
        </w:rPr>
        <w:t xml:space="preserve">, dispone </w:t>
      </w:r>
      <w:r w:rsidRPr="00BF5985" w:rsidR="00B91FDF">
        <w:rPr>
          <w:rFonts w:asciiTheme="majorHAnsi" w:hAnsiTheme="majorHAnsi"/>
        </w:rPr>
        <w:t xml:space="preserve">en su artículo 3º, </w:t>
      </w:r>
      <w:r w:rsidRPr="00BF5985">
        <w:rPr>
          <w:rFonts w:asciiTheme="majorHAnsi" w:hAnsiTheme="majorHAnsi"/>
        </w:rPr>
        <w:t>que los sujetos obligados establecidos en el artículo 14 de la Ley N° 7786, no podrán iniciar o mantener relaciones comerciales de ninguna naturaleza con todos aquellos sujetos obligados establecidos en los artículos 15 y 15 bis de la citada Ley, que no se encuentren debidamente inscritos ante la Superintendencia General de Entidades Financieras, o que su inscripción se encuentre en estado de suspensión.</w:t>
      </w:r>
      <w:r w:rsidRPr="00BF5985">
        <w:rPr>
          <w:rFonts w:asciiTheme="majorHAnsi" w:hAnsiTheme="majorHAnsi"/>
          <w:b/>
        </w:rPr>
        <w:t xml:space="preserve"> </w:t>
      </w:r>
    </w:p>
    <w:p w:rsidRPr="00BF5985" w:rsidR="007A3CAC" w:rsidP="007A3CAC" w:rsidRDefault="007A3CAC" w14:paraId="366A37D6" w14:textId="77777777">
      <w:pPr>
        <w:ind w:left="360"/>
        <w:contextualSpacing/>
        <w:rPr>
          <w:rFonts w:asciiTheme="majorHAnsi" w:hAnsiTheme="majorHAnsi"/>
        </w:rPr>
      </w:pPr>
    </w:p>
    <w:p w:rsidRPr="00BF5985" w:rsidR="007A3CAC" w:rsidP="007A3CAC" w:rsidRDefault="007A3CAC" w14:paraId="23ECD50D" w14:textId="01558808">
      <w:pPr>
        <w:pStyle w:val="Prrafodelista"/>
        <w:numPr>
          <w:ilvl w:val="0"/>
          <w:numId w:val="14"/>
        </w:numPr>
        <w:jc w:val="both"/>
        <w:rPr>
          <w:rFonts w:asciiTheme="majorHAnsi" w:hAnsiTheme="majorHAnsi"/>
          <w:b/>
        </w:rPr>
      </w:pPr>
      <w:r w:rsidRPr="00BF5985">
        <w:rPr>
          <w:rFonts w:asciiTheme="majorHAnsi" w:hAnsiTheme="majorHAnsi"/>
          <w:szCs w:val="22"/>
        </w:rPr>
        <w:t xml:space="preserve">El Consejo Nacional de Supervisión del Sistema Financiero, mediante el artículo 9  del acta de la </w:t>
      </w:r>
      <w:r w:rsidRPr="00BF5985" w:rsidR="002247D4">
        <w:rPr>
          <w:rFonts w:asciiTheme="majorHAnsi" w:hAnsiTheme="majorHAnsi"/>
          <w:szCs w:val="22"/>
        </w:rPr>
        <w:t xml:space="preserve">sesión 1450-2018, celebrada el </w:t>
      </w:r>
      <w:r w:rsidRPr="00BF5985">
        <w:rPr>
          <w:rFonts w:asciiTheme="majorHAnsi" w:hAnsiTheme="majorHAnsi"/>
          <w:szCs w:val="22"/>
        </w:rPr>
        <w:t xml:space="preserve">8 de octubre de 2018, aprobó el </w:t>
      </w:r>
      <w:r w:rsidRPr="00BF5985">
        <w:rPr>
          <w:rFonts w:asciiTheme="majorHAnsi" w:hAnsiTheme="majorHAnsi"/>
          <w:i/>
          <w:szCs w:val="22"/>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BF5985">
        <w:rPr>
          <w:rFonts w:asciiTheme="majorHAnsi" w:hAnsiTheme="majorHAnsi"/>
          <w:szCs w:val="22"/>
        </w:rPr>
        <w:t xml:space="preserve">, Acuerdo SUGEF 11-18. </w:t>
      </w:r>
    </w:p>
    <w:p w:rsidRPr="00BF5985" w:rsidR="007A3CAC" w:rsidP="007A3CAC" w:rsidRDefault="007A3CAC" w14:paraId="4FB61210" w14:textId="77777777">
      <w:pPr>
        <w:pStyle w:val="Prrafodelista"/>
        <w:rPr>
          <w:rFonts w:asciiTheme="majorHAnsi" w:hAnsiTheme="majorHAnsi"/>
          <w:b/>
        </w:rPr>
      </w:pPr>
    </w:p>
    <w:p w:rsidRPr="00BF5985" w:rsidR="007A3CAC" w:rsidP="007A3CAC" w:rsidRDefault="007A3CAC" w14:paraId="16DFCE73" w14:textId="77777777">
      <w:pPr>
        <w:pStyle w:val="Prrafodelista"/>
        <w:numPr>
          <w:ilvl w:val="0"/>
          <w:numId w:val="14"/>
        </w:numPr>
        <w:jc w:val="both"/>
        <w:rPr>
          <w:rFonts w:asciiTheme="majorHAnsi" w:hAnsiTheme="majorHAnsi"/>
          <w:b/>
        </w:rPr>
      </w:pPr>
      <w:r w:rsidRPr="00BF5985">
        <w:rPr>
          <w:rFonts w:asciiTheme="majorHAnsi" w:hAnsiTheme="majorHAnsi"/>
        </w:rPr>
        <w:t>El Acuerdo SUGEF 11-18 establece en el artículo 20 que las entidades financieras supervisadas por alguna Superintendencia adscrita al CONASSIF, previo a iniciar relaciones comerciales con los sujetos obligados inscritos ante la SUGEF, según las disposiciones establecidas en los artículos 15 y 15 bis de la Ley 7786, deberán verificar que éstos sujetos se encuentran inscritos.</w:t>
      </w:r>
    </w:p>
    <w:p w:rsidRPr="00BF5985" w:rsidR="007A3CAC" w:rsidP="007A3CAC" w:rsidRDefault="007A3CAC" w14:paraId="22FFD511" w14:textId="77777777">
      <w:pPr>
        <w:pStyle w:val="Prrafodelista"/>
        <w:ind w:left="360"/>
        <w:jc w:val="both"/>
        <w:rPr>
          <w:rFonts w:asciiTheme="majorHAnsi" w:hAnsiTheme="majorHAnsi"/>
          <w:b/>
        </w:rPr>
      </w:pPr>
    </w:p>
    <w:p w:rsidRPr="00BF5985" w:rsidR="007A3CAC" w:rsidP="007A3CAC" w:rsidRDefault="007A3CAC" w14:paraId="4B9DA4FF" w14:textId="77777777">
      <w:pPr>
        <w:pStyle w:val="Prrafodelista"/>
        <w:numPr>
          <w:ilvl w:val="0"/>
          <w:numId w:val="14"/>
        </w:numPr>
        <w:contextualSpacing/>
        <w:jc w:val="both"/>
        <w:outlineLvl w:val="0"/>
        <w:rPr>
          <w:rFonts w:asciiTheme="majorHAnsi" w:hAnsiTheme="majorHAnsi"/>
        </w:rPr>
      </w:pPr>
      <w:r w:rsidRPr="00BF5985">
        <w:rPr>
          <w:rFonts w:asciiTheme="majorHAnsi" w:hAnsiTheme="majorHAnsi"/>
        </w:rPr>
        <w:t>El Acuerdo SUGEF 11-18 establece en el artículo 23 que las entidades financieras no podrán prestar el servicio a los clientes que realicen actividades descritas en los artículos 15 y 15 bis de la Ley 7786, mientras estos no se encuentren inscritos, asimismo dispone el deber de implementar políticas, procedimientos y controles, con base en riesgo de LC/FT/FPADM para atender las obligaciones mencionadas.</w:t>
      </w:r>
    </w:p>
    <w:p w:rsidRPr="00BF5985" w:rsidR="007A3CAC" w:rsidP="007A3CAC" w:rsidRDefault="007A3CAC" w14:paraId="79CFB0D6" w14:textId="77777777">
      <w:pPr>
        <w:pStyle w:val="Prrafodelista"/>
        <w:ind w:left="360"/>
        <w:contextualSpacing/>
        <w:jc w:val="both"/>
        <w:outlineLvl w:val="0"/>
        <w:rPr>
          <w:rFonts w:asciiTheme="majorHAnsi" w:hAnsiTheme="majorHAnsi"/>
        </w:rPr>
      </w:pPr>
    </w:p>
    <w:p w:rsidRPr="00BF5985" w:rsidR="007A3CAC" w:rsidP="007A3CAC" w:rsidRDefault="007A3CAC" w14:paraId="2FBFF8A8" w14:textId="77777777">
      <w:pPr>
        <w:pStyle w:val="Prrafodelista"/>
        <w:numPr>
          <w:ilvl w:val="0"/>
          <w:numId w:val="14"/>
        </w:numPr>
        <w:contextualSpacing/>
        <w:jc w:val="both"/>
        <w:outlineLvl w:val="0"/>
        <w:rPr>
          <w:rFonts w:asciiTheme="majorHAnsi" w:hAnsiTheme="majorHAnsi"/>
        </w:rPr>
      </w:pPr>
      <w:r w:rsidRPr="00BF5985">
        <w:rPr>
          <w:rFonts w:asciiTheme="majorHAnsi" w:hAnsiTheme="majorHAnsi"/>
        </w:rPr>
        <w:lastRenderedPageBreak/>
        <w:t xml:space="preserve">El  Acuerdo SUGEF 11-18 establece en el artículo 21 que los sujetos obligados deben mantener a su nombre, cuentas, productos o servicios, con entidades financieras supervisadas por alguna Superintendencia adscrita al CONASSIF, </w:t>
      </w:r>
      <w:r w:rsidRPr="00BF5985">
        <w:rPr>
          <w:rFonts w:asciiTheme="majorHAnsi" w:hAnsiTheme="majorHAnsi"/>
          <w:u w:val="single"/>
        </w:rPr>
        <w:t>y utilizarlas de manera exclusiva para la(s) actividad(s) sujeta(s) a inscripción</w:t>
      </w:r>
      <w:r w:rsidRPr="00BF5985">
        <w:rPr>
          <w:rFonts w:asciiTheme="majorHAnsi" w:hAnsiTheme="majorHAnsi"/>
        </w:rPr>
        <w:t>.</w:t>
      </w:r>
    </w:p>
    <w:p w:rsidRPr="00BF5985" w:rsidR="007A3CAC" w:rsidP="007A3CAC" w:rsidRDefault="007A3CAC" w14:paraId="72B302B2" w14:textId="77777777">
      <w:pPr>
        <w:pStyle w:val="Prrafodelista"/>
        <w:rPr>
          <w:rFonts w:asciiTheme="majorHAnsi" w:hAnsiTheme="majorHAnsi"/>
        </w:rPr>
      </w:pPr>
    </w:p>
    <w:p w:rsidRPr="00BF5985" w:rsidR="007A3CAC" w:rsidP="007A3CAC" w:rsidRDefault="007A3CAC" w14:paraId="587B534F" w14:textId="4664C7C4">
      <w:pPr>
        <w:pStyle w:val="Prrafodelista"/>
        <w:numPr>
          <w:ilvl w:val="0"/>
          <w:numId w:val="14"/>
        </w:numPr>
        <w:contextualSpacing/>
        <w:jc w:val="both"/>
        <w:outlineLvl w:val="0"/>
        <w:rPr>
          <w:rFonts w:asciiTheme="majorHAnsi" w:hAnsiTheme="majorHAnsi"/>
        </w:rPr>
      </w:pPr>
      <w:r w:rsidRPr="00BF5985">
        <w:rPr>
          <w:rFonts w:asciiTheme="majorHAnsi" w:hAnsiTheme="majorHAnsi"/>
        </w:rPr>
        <w:t>El Transitorio segundo del Acuerdo SUGEF 11-18 establece que los sujetos obligados a los que se refieren los artículos 15 y 15 bis de la Ley 7786, que a la entrada en vigencia de este Reglamento mantienen relaciones comerciales con las entidades financieras y que no se encuentran inscritos ante la SUGEF, deberán tramitar su inscripción en un plazo máximo de seis meses a partir de la entrada</w:t>
      </w:r>
      <w:r w:rsidRPr="00BF5985" w:rsidR="001343B4">
        <w:rPr>
          <w:rFonts w:asciiTheme="majorHAnsi" w:hAnsiTheme="majorHAnsi"/>
        </w:rPr>
        <w:t xml:space="preserve"> en vigencia de este Reglamento el 1º de enero de 2019.</w:t>
      </w:r>
    </w:p>
    <w:p w:rsidRPr="00BF5985" w:rsidR="007A3CAC" w:rsidP="007A3CAC" w:rsidRDefault="007A3CAC" w14:paraId="0E37E63A" w14:textId="77777777">
      <w:pPr>
        <w:tabs>
          <w:tab w:val="left" w:pos="142"/>
        </w:tabs>
        <w:rPr>
          <w:rFonts w:asciiTheme="majorHAnsi" w:hAnsiTheme="majorHAnsi"/>
        </w:rPr>
      </w:pPr>
    </w:p>
    <w:p w:rsidRPr="00BF5985" w:rsidR="007A3CAC" w:rsidP="007A3CAC" w:rsidRDefault="007A3CAC" w14:paraId="11880176" w14:textId="77777777">
      <w:pPr>
        <w:pStyle w:val="Prrafodelista"/>
        <w:ind w:left="360"/>
        <w:contextualSpacing/>
        <w:jc w:val="both"/>
        <w:outlineLvl w:val="0"/>
        <w:rPr>
          <w:rFonts w:asciiTheme="majorHAnsi" w:hAnsiTheme="majorHAnsi"/>
        </w:rPr>
      </w:pPr>
      <w:r w:rsidRPr="00BF5985">
        <w:rPr>
          <w:rFonts w:asciiTheme="majorHAnsi" w:hAnsiTheme="majorHAnsi"/>
        </w:rPr>
        <w:t>Al respecto indica que las entidades financieras deberán velar porque los sujetos obligados cumplan con la obligación antes mencionada en el plazo establecido.</w:t>
      </w:r>
    </w:p>
    <w:p w:rsidRPr="00BF5985" w:rsidR="007A3CAC" w:rsidP="007A3CAC" w:rsidRDefault="007A3CAC" w14:paraId="29ACBCCC" w14:textId="77777777">
      <w:pPr>
        <w:contextualSpacing/>
        <w:outlineLvl w:val="0"/>
        <w:rPr>
          <w:rFonts w:asciiTheme="majorHAnsi" w:hAnsiTheme="majorHAnsi"/>
        </w:rPr>
      </w:pPr>
    </w:p>
    <w:p w:rsidRPr="00BF5985" w:rsidR="007A3CAC" w:rsidP="007A3CAC" w:rsidRDefault="007A3CAC" w14:paraId="62D3A909" w14:textId="77777777">
      <w:pPr>
        <w:pStyle w:val="Prrafodelista"/>
        <w:ind w:left="360"/>
        <w:jc w:val="both"/>
        <w:rPr>
          <w:rFonts w:asciiTheme="majorHAnsi" w:hAnsiTheme="majorHAnsi"/>
          <w:b/>
        </w:rPr>
      </w:pPr>
    </w:p>
    <w:p w:rsidRPr="00BF5985" w:rsidR="007A3CAC" w:rsidP="007A3CAC" w:rsidRDefault="007A3CAC" w14:paraId="6D08B0AF" w14:textId="2598E00E">
      <w:pPr>
        <w:contextualSpacing/>
        <w:rPr>
          <w:rFonts w:asciiTheme="majorHAnsi" w:hAnsiTheme="majorHAnsi"/>
          <w:b/>
        </w:rPr>
      </w:pPr>
      <w:r w:rsidRPr="00BF5985">
        <w:rPr>
          <w:rFonts w:asciiTheme="majorHAnsi" w:hAnsiTheme="majorHAnsi"/>
          <w:b/>
        </w:rPr>
        <w:t>Dispone</w:t>
      </w:r>
      <w:r w:rsidRPr="00BF5985" w:rsidR="00A47E4A">
        <w:rPr>
          <w:rFonts w:asciiTheme="majorHAnsi" w:hAnsiTheme="majorHAnsi"/>
          <w:b/>
        </w:rPr>
        <w:t>,</w:t>
      </w:r>
      <w:r w:rsidRPr="00BF5985">
        <w:rPr>
          <w:rFonts w:asciiTheme="majorHAnsi" w:hAnsiTheme="majorHAnsi"/>
          <w:b/>
        </w:rPr>
        <w:t xml:space="preserve"> recordar a las entidades financieras:</w:t>
      </w:r>
    </w:p>
    <w:p w:rsidRPr="00BF5985" w:rsidR="007A3CAC" w:rsidP="007A3CAC" w:rsidRDefault="007A3CAC" w14:paraId="016F116E" w14:textId="77777777">
      <w:pPr>
        <w:contextualSpacing/>
        <w:rPr>
          <w:rFonts w:asciiTheme="majorHAnsi" w:hAnsiTheme="majorHAnsi"/>
          <w:b/>
        </w:rPr>
      </w:pPr>
    </w:p>
    <w:p w:rsidR="007A3CAC" w:rsidP="007A3CAC" w:rsidRDefault="00CB147F" w14:paraId="1CFC5326" w14:textId="40A20DCA">
      <w:pPr>
        <w:pStyle w:val="Prrafodelista"/>
        <w:numPr>
          <w:ilvl w:val="0"/>
          <w:numId w:val="15"/>
        </w:numPr>
        <w:jc w:val="both"/>
        <w:rPr>
          <w:rFonts w:asciiTheme="majorHAnsi" w:hAnsiTheme="majorHAnsi"/>
        </w:rPr>
      </w:pPr>
      <w:r w:rsidRPr="00BF5985">
        <w:rPr>
          <w:rFonts w:asciiTheme="majorHAnsi" w:hAnsiTheme="majorHAnsi"/>
        </w:rPr>
        <w:t>Que deben t</w:t>
      </w:r>
      <w:r w:rsidRPr="00BF5985" w:rsidR="00A47E4A">
        <w:rPr>
          <w:rFonts w:asciiTheme="majorHAnsi" w:hAnsiTheme="majorHAnsi"/>
        </w:rPr>
        <w:t>omar las acciones correspondientes para la atención de l</w:t>
      </w:r>
      <w:r w:rsidRPr="00BF5985" w:rsidR="007A3CAC">
        <w:rPr>
          <w:rFonts w:asciiTheme="majorHAnsi" w:hAnsiTheme="majorHAnsi"/>
        </w:rPr>
        <w:t>as responsabilidades y obligaciones de las entidades financieras dispuestas en el acuerdo SUGEF 11-18, respecto a la inscripción ante la SUGEF de los sujetos obligados por los artículos 15 y 15 bis de la Ley 7786, que sean clientes o que vayan a iniciar relaciones comerciales con la entidad financiera.</w:t>
      </w:r>
    </w:p>
    <w:p w:rsidRPr="00BF5985" w:rsidR="00484F15" w:rsidP="00484F15" w:rsidRDefault="00484F15" w14:paraId="75F1F049" w14:textId="77777777">
      <w:pPr>
        <w:pStyle w:val="Prrafodelista"/>
        <w:ind w:left="502"/>
        <w:jc w:val="both"/>
        <w:rPr>
          <w:rFonts w:asciiTheme="majorHAnsi" w:hAnsiTheme="majorHAnsi"/>
        </w:rPr>
      </w:pPr>
    </w:p>
    <w:p w:rsidRPr="00BF5985" w:rsidR="007A3CAC" w:rsidP="007A3CAC" w:rsidRDefault="007A3CAC" w14:paraId="25AC91DF" w14:textId="50172DDA">
      <w:pPr>
        <w:pStyle w:val="Prrafodelista"/>
        <w:numPr>
          <w:ilvl w:val="0"/>
          <w:numId w:val="15"/>
        </w:numPr>
        <w:jc w:val="both"/>
        <w:rPr>
          <w:rFonts w:asciiTheme="majorHAnsi" w:hAnsiTheme="majorHAnsi"/>
        </w:rPr>
      </w:pPr>
      <w:r w:rsidRPr="00BF5985">
        <w:rPr>
          <w:rFonts w:asciiTheme="majorHAnsi" w:hAnsiTheme="majorHAnsi"/>
        </w:rPr>
        <w:t>Que el Transitorio segundo del acuerdo SUGEF 11-18 corre desde el 1</w:t>
      </w:r>
      <w:r w:rsidRPr="00BF5985" w:rsidR="006E4028">
        <w:rPr>
          <w:rFonts w:asciiTheme="majorHAnsi" w:hAnsiTheme="majorHAnsi"/>
        </w:rPr>
        <w:t xml:space="preserve">º </w:t>
      </w:r>
      <w:r w:rsidRPr="00BF5985">
        <w:rPr>
          <w:rFonts w:asciiTheme="majorHAnsi" w:hAnsiTheme="majorHAnsi"/>
        </w:rPr>
        <w:t>de enero de 2019 hasta el 30 de junio de 2019.</w:t>
      </w:r>
    </w:p>
    <w:p w:rsidRPr="00BF5985" w:rsidR="007A3CAC" w:rsidP="007A3CAC" w:rsidRDefault="007A3CAC" w14:paraId="6864ECCA" w14:textId="77777777">
      <w:pPr>
        <w:pStyle w:val="Prrafodelista"/>
        <w:rPr>
          <w:rFonts w:asciiTheme="majorHAnsi" w:hAnsiTheme="majorHAnsi"/>
        </w:rPr>
      </w:pPr>
    </w:p>
    <w:p w:rsidRPr="00BF5985" w:rsidR="007A3CAC" w:rsidP="007A3CAC" w:rsidRDefault="007A3CAC" w14:paraId="02DD029A" w14:textId="77777777">
      <w:pPr>
        <w:pStyle w:val="Prrafodelista"/>
        <w:numPr>
          <w:ilvl w:val="0"/>
          <w:numId w:val="15"/>
        </w:numPr>
        <w:jc w:val="both"/>
        <w:rPr>
          <w:rFonts w:asciiTheme="majorHAnsi" w:hAnsiTheme="majorHAnsi"/>
          <w:b/>
        </w:rPr>
      </w:pPr>
      <w:r w:rsidRPr="00BF5985">
        <w:rPr>
          <w:rFonts w:asciiTheme="majorHAnsi" w:hAnsiTheme="majorHAnsi"/>
        </w:rPr>
        <w:t xml:space="preserve">Que el medio habilitado por la SUGEF para la publicación del </w:t>
      </w:r>
      <w:r w:rsidRPr="00BF5985">
        <w:rPr>
          <w:rFonts w:eastAsia="Calibri" w:asciiTheme="majorHAnsi" w:hAnsiTheme="majorHAnsi"/>
          <w:lang w:eastAsia="en-US"/>
        </w:rPr>
        <w:t>registro de inscripciones, suspensiones, desinscripciones, revocaciones, y de los que se nieguen a inscribirse ante la SUGEF, es el sitio web de la SUGEF</w:t>
      </w:r>
      <w:r w:rsidRPr="00BF5985">
        <w:rPr>
          <w:rFonts w:asciiTheme="majorHAnsi" w:hAnsiTheme="majorHAnsi"/>
        </w:rPr>
        <w:t xml:space="preserve">, ubicado en la siguiente dirección electrónica: </w:t>
      </w:r>
      <w:hyperlink w:history="1" r:id="rId13">
        <w:r w:rsidRPr="00BF5985">
          <w:rPr>
            <w:rStyle w:val="Hipervnculo"/>
            <w:rFonts w:asciiTheme="majorHAnsi" w:hAnsiTheme="majorHAnsi"/>
          </w:rPr>
          <w:t>www.sugef.fi.cr</w:t>
        </w:r>
      </w:hyperlink>
      <w:r w:rsidRPr="00BF5985">
        <w:rPr>
          <w:rFonts w:asciiTheme="majorHAnsi" w:hAnsiTheme="majorHAnsi"/>
        </w:rPr>
        <w:t>.</w:t>
      </w:r>
    </w:p>
    <w:p w:rsidRPr="00BF5985" w:rsidR="007A3CAC" w:rsidP="007A3CAC" w:rsidRDefault="007A3CAC" w14:paraId="73B97774" w14:textId="77777777">
      <w:pPr>
        <w:pStyle w:val="Prrafodelista"/>
        <w:ind w:left="502"/>
        <w:jc w:val="both"/>
        <w:rPr>
          <w:rFonts w:asciiTheme="majorHAnsi" w:hAnsiTheme="majorHAnsi"/>
        </w:rPr>
      </w:pPr>
    </w:p>
    <w:p w:rsidRPr="00BF5985" w:rsidR="007A3CAC" w:rsidP="007A3CAC" w:rsidRDefault="007A3CAC" w14:paraId="2D288F1C" w14:textId="77777777">
      <w:pPr>
        <w:pStyle w:val="Prrafodelista"/>
        <w:numPr>
          <w:ilvl w:val="0"/>
          <w:numId w:val="15"/>
        </w:numPr>
        <w:jc w:val="both"/>
        <w:rPr>
          <w:rFonts w:asciiTheme="majorHAnsi" w:hAnsiTheme="majorHAnsi"/>
          <w:b/>
        </w:rPr>
      </w:pPr>
      <w:r w:rsidRPr="00BF5985">
        <w:rPr>
          <w:rFonts w:asciiTheme="majorHAnsi" w:hAnsiTheme="majorHAnsi"/>
        </w:rPr>
        <w:t>Que los sujetos obligados por los artículos 15 y 15 bis de la Ley 7786, deberán usar cuentas exclusivas para la actividad por la que fueron inscritas en SUGEF.</w:t>
      </w:r>
    </w:p>
    <w:p w:rsidRPr="00BF5985" w:rsidR="007A3CAC" w:rsidP="007A3CAC" w:rsidRDefault="007A3CAC" w14:paraId="0806FA38" w14:textId="77777777">
      <w:pPr>
        <w:pStyle w:val="Prrafodelista"/>
        <w:rPr>
          <w:rFonts w:asciiTheme="majorHAnsi" w:hAnsiTheme="majorHAnsi"/>
          <w:b/>
        </w:rPr>
      </w:pPr>
    </w:p>
    <w:p w:rsidRPr="00BF5985" w:rsidR="004652ED" w:rsidP="000D11BB" w:rsidRDefault="007A3CAC" w14:paraId="54E6B66C" w14:textId="7BD1BA33">
      <w:pPr>
        <w:pStyle w:val="Prrafodelista"/>
        <w:numPr>
          <w:ilvl w:val="0"/>
          <w:numId w:val="15"/>
        </w:numPr>
        <w:jc w:val="both"/>
        <w:rPr>
          <w:rFonts w:asciiTheme="majorHAnsi" w:hAnsiTheme="majorHAnsi"/>
        </w:rPr>
      </w:pPr>
      <w:r w:rsidRPr="00BF5985">
        <w:rPr>
          <w:rFonts w:asciiTheme="majorHAnsi" w:hAnsiTheme="majorHAnsi"/>
        </w:rPr>
        <w:t xml:space="preserve">Que para </w:t>
      </w:r>
      <w:r w:rsidRPr="00BF5985" w:rsidR="00B532A7">
        <w:rPr>
          <w:rFonts w:asciiTheme="majorHAnsi" w:hAnsiTheme="majorHAnsi"/>
        </w:rPr>
        <w:t>requerir la inscripción</w:t>
      </w:r>
      <w:r w:rsidRPr="00BF5985" w:rsidR="005A1BAC">
        <w:rPr>
          <w:rFonts w:asciiTheme="majorHAnsi" w:hAnsiTheme="majorHAnsi"/>
        </w:rPr>
        <w:t xml:space="preserve"> </w:t>
      </w:r>
      <w:r w:rsidRPr="00BF5985" w:rsidR="00007005">
        <w:rPr>
          <w:rFonts w:asciiTheme="majorHAnsi" w:hAnsiTheme="majorHAnsi"/>
        </w:rPr>
        <w:t xml:space="preserve">a </w:t>
      </w:r>
      <w:r w:rsidRPr="00BF5985">
        <w:rPr>
          <w:rFonts w:asciiTheme="majorHAnsi" w:hAnsiTheme="majorHAnsi"/>
        </w:rPr>
        <w:t>las O</w:t>
      </w:r>
      <w:r w:rsidRPr="00BF5985" w:rsidR="00BF5985">
        <w:rPr>
          <w:rFonts w:asciiTheme="majorHAnsi" w:hAnsiTheme="majorHAnsi"/>
        </w:rPr>
        <w:t xml:space="preserve">rganizaciones sin </w:t>
      </w:r>
      <w:r w:rsidRPr="00BF5985">
        <w:rPr>
          <w:rFonts w:asciiTheme="majorHAnsi" w:hAnsiTheme="majorHAnsi"/>
        </w:rPr>
        <w:t>F</w:t>
      </w:r>
      <w:r w:rsidRPr="00BF5985" w:rsidR="00BF5985">
        <w:rPr>
          <w:rFonts w:asciiTheme="majorHAnsi" w:hAnsiTheme="majorHAnsi"/>
        </w:rPr>
        <w:t xml:space="preserve">ines de </w:t>
      </w:r>
      <w:r w:rsidRPr="00BF5985">
        <w:rPr>
          <w:rFonts w:asciiTheme="majorHAnsi" w:hAnsiTheme="majorHAnsi"/>
        </w:rPr>
        <w:t>L</w:t>
      </w:r>
      <w:r w:rsidRPr="00BF5985" w:rsidR="00BF5985">
        <w:rPr>
          <w:rFonts w:asciiTheme="majorHAnsi" w:hAnsiTheme="majorHAnsi"/>
        </w:rPr>
        <w:t xml:space="preserve">ucro </w:t>
      </w:r>
      <w:r w:rsidRPr="00BF5985">
        <w:rPr>
          <w:rFonts w:asciiTheme="majorHAnsi" w:hAnsiTheme="majorHAnsi"/>
        </w:rPr>
        <w:t>de acuerdo con lo establecido en el Artículo 5 del “</w:t>
      </w:r>
      <w:r w:rsidRPr="00BF5985">
        <w:rPr>
          <w:rFonts w:asciiTheme="majorHAnsi" w:hAnsiTheme="majorHAnsi"/>
          <w:i/>
          <w:szCs w:val="22"/>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BF5985" w:rsidR="000D441A">
        <w:rPr>
          <w:rFonts w:asciiTheme="majorHAnsi" w:hAnsiTheme="majorHAnsi"/>
        </w:rPr>
        <w:t>, se deben</w:t>
      </w:r>
      <w:r w:rsidRPr="00BF5985" w:rsidR="00C74C75">
        <w:rPr>
          <w:rFonts w:asciiTheme="majorHAnsi" w:hAnsiTheme="majorHAnsi"/>
        </w:rPr>
        <w:t xml:space="preserve"> tener en consideración a los países designados por el Grupo de Acción </w:t>
      </w:r>
      <w:r w:rsidR="00484F15">
        <w:rPr>
          <w:rFonts w:asciiTheme="majorHAnsi" w:hAnsiTheme="majorHAnsi"/>
        </w:rPr>
        <w:t>Financiera Internacional (GAFI) y</w:t>
      </w:r>
      <w:r w:rsidRPr="00BF5985" w:rsidR="00C74C75">
        <w:rPr>
          <w:rFonts w:asciiTheme="majorHAnsi" w:hAnsiTheme="majorHAnsi"/>
        </w:rPr>
        <w:t xml:space="preserve"> por la Organización de las Naciones Unidas (ONU)</w:t>
      </w:r>
      <w:r w:rsidR="00484F15">
        <w:rPr>
          <w:rFonts w:asciiTheme="majorHAnsi" w:hAnsiTheme="majorHAnsi"/>
        </w:rPr>
        <w:t>.</w:t>
      </w:r>
    </w:p>
    <w:p w:rsidRPr="00BF5985" w:rsidR="004652ED" w:rsidP="004652ED" w:rsidRDefault="004652ED" w14:paraId="0D3B0125" w14:textId="77777777">
      <w:pPr>
        <w:pStyle w:val="Prrafodelista"/>
        <w:rPr>
          <w:rFonts w:asciiTheme="majorHAnsi" w:hAnsiTheme="majorHAnsi"/>
        </w:rPr>
      </w:pPr>
    </w:p>
    <w:p w:rsidRPr="00BF5985" w:rsidR="007A3CAC" w:rsidP="004652ED" w:rsidRDefault="00484F15" w14:paraId="0EB9F00B" w14:textId="01FF5425">
      <w:pPr>
        <w:pStyle w:val="Prrafodelista"/>
        <w:ind w:left="502"/>
        <w:jc w:val="both"/>
        <w:rPr>
          <w:rFonts w:asciiTheme="majorHAnsi" w:hAnsiTheme="majorHAnsi"/>
          <w:highlight w:val="yellow"/>
        </w:rPr>
      </w:pPr>
      <w:r>
        <w:rPr>
          <w:rFonts w:asciiTheme="majorHAnsi" w:hAnsiTheme="majorHAnsi"/>
        </w:rPr>
        <w:t xml:space="preserve">Para complementar </w:t>
      </w:r>
      <w:r w:rsidRPr="00BF5985" w:rsidR="000D441A">
        <w:rPr>
          <w:rFonts w:asciiTheme="majorHAnsi" w:hAnsiTheme="majorHAnsi"/>
        </w:rPr>
        <w:t>el análisis</w:t>
      </w:r>
      <w:r w:rsidRPr="00BF5985" w:rsidR="00C74C75">
        <w:rPr>
          <w:rFonts w:asciiTheme="majorHAnsi" w:hAnsiTheme="majorHAnsi"/>
        </w:rPr>
        <w:t xml:space="preserve"> con base en riesgos de países relacionados con el fenómeno terrorista, se </w:t>
      </w:r>
      <w:r w:rsidRPr="00BF5985" w:rsidR="000D441A">
        <w:rPr>
          <w:rFonts w:asciiTheme="majorHAnsi" w:hAnsiTheme="majorHAnsi"/>
        </w:rPr>
        <w:t>pueden</w:t>
      </w:r>
      <w:r w:rsidRPr="00BF5985" w:rsidR="00C74C75">
        <w:rPr>
          <w:rFonts w:asciiTheme="majorHAnsi" w:hAnsiTheme="majorHAnsi"/>
        </w:rPr>
        <w:t xml:space="preserve"> consultar </w:t>
      </w:r>
      <w:r w:rsidRPr="00BF5985" w:rsidR="00640E1D">
        <w:rPr>
          <w:rFonts w:asciiTheme="majorHAnsi" w:hAnsiTheme="majorHAnsi"/>
        </w:rPr>
        <w:t>i</w:t>
      </w:r>
      <w:r w:rsidRPr="00BF5985" w:rsidR="000D11BB">
        <w:rPr>
          <w:rFonts w:asciiTheme="majorHAnsi" w:hAnsiTheme="majorHAnsi"/>
        </w:rPr>
        <w:t>nformes</w:t>
      </w:r>
      <w:r w:rsidRPr="00BF5985" w:rsidR="00640E1D">
        <w:rPr>
          <w:rFonts w:asciiTheme="majorHAnsi" w:hAnsiTheme="majorHAnsi"/>
        </w:rPr>
        <w:t xml:space="preserve"> </w:t>
      </w:r>
      <w:r w:rsidRPr="00BF5985" w:rsidR="000D11BB">
        <w:rPr>
          <w:rFonts w:asciiTheme="majorHAnsi" w:hAnsiTheme="majorHAnsi"/>
        </w:rPr>
        <w:t>e</w:t>
      </w:r>
      <w:r w:rsidRPr="00BF5985" w:rsidR="00CC3F41">
        <w:rPr>
          <w:rFonts w:asciiTheme="majorHAnsi" w:hAnsiTheme="majorHAnsi"/>
        </w:rPr>
        <w:t>mitidos por el Fondo Monetario Inte</w:t>
      </w:r>
      <w:r w:rsidRPr="00BF5985" w:rsidR="000D441A">
        <w:rPr>
          <w:rFonts w:asciiTheme="majorHAnsi" w:hAnsiTheme="majorHAnsi"/>
        </w:rPr>
        <w:t>rnacional, por el Banco Mundial</w:t>
      </w:r>
      <w:r>
        <w:rPr>
          <w:rFonts w:asciiTheme="majorHAnsi" w:hAnsiTheme="majorHAnsi"/>
        </w:rPr>
        <w:t>,</w:t>
      </w:r>
      <w:r w:rsidRPr="00BF5985" w:rsidR="00CC3F41">
        <w:rPr>
          <w:rFonts w:asciiTheme="majorHAnsi" w:hAnsiTheme="majorHAnsi"/>
        </w:rPr>
        <w:t xml:space="preserve"> </w:t>
      </w:r>
      <w:r w:rsidRPr="00BF5985">
        <w:rPr>
          <w:rFonts w:asciiTheme="majorHAnsi" w:hAnsiTheme="majorHAnsi"/>
        </w:rPr>
        <w:t>por la Oficina de Control de Activos Extranjeros de los Estados Unidos de Am</w:t>
      </w:r>
      <w:r>
        <w:rPr>
          <w:rFonts w:asciiTheme="majorHAnsi" w:hAnsiTheme="majorHAnsi"/>
        </w:rPr>
        <w:t>érica (</w:t>
      </w:r>
      <w:r w:rsidRPr="00BF5985">
        <w:rPr>
          <w:rFonts w:asciiTheme="majorHAnsi" w:hAnsiTheme="majorHAnsi"/>
        </w:rPr>
        <w:t>OFAC)</w:t>
      </w:r>
      <w:r>
        <w:rPr>
          <w:rFonts w:asciiTheme="majorHAnsi" w:hAnsiTheme="majorHAnsi"/>
        </w:rPr>
        <w:t xml:space="preserve"> </w:t>
      </w:r>
      <w:r w:rsidRPr="00BF5985" w:rsidR="000D441A">
        <w:rPr>
          <w:rFonts w:asciiTheme="majorHAnsi" w:hAnsiTheme="majorHAnsi"/>
        </w:rPr>
        <w:t>y en particular los</w:t>
      </w:r>
      <w:r w:rsidRPr="00BF5985" w:rsidR="00CC3F41">
        <w:rPr>
          <w:rFonts w:asciiTheme="majorHAnsi" w:hAnsiTheme="majorHAnsi"/>
        </w:rPr>
        <w:t xml:space="preserve"> informes anuales </w:t>
      </w:r>
      <w:r w:rsidR="00EF762C">
        <w:rPr>
          <w:rFonts w:asciiTheme="majorHAnsi" w:hAnsiTheme="majorHAnsi"/>
        </w:rPr>
        <w:t>del Índice Global de Terrorismo, entre otros.</w:t>
      </w:r>
    </w:p>
    <w:p w:rsidRPr="00BF5985" w:rsidR="007A3CAC" w:rsidP="007A3CAC" w:rsidRDefault="007A3CAC" w14:paraId="0E3A843B" w14:textId="77777777">
      <w:pPr>
        <w:rPr>
          <w:rFonts w:asciiTheme="majorHAnsi" w:hAnsiTheme="majorHAnsi"/>
        </w:rPr>
      </w:pPr>
    </w:p>
    <w:p w:rsidRPr="00BF5985" w:rsidR="0071134B" w:rsidP="00D26EDE" w:rsidRDefault="0071134B" w14:paraId="67D0C517" w14:textId="5753416E">
      <w:pPr>
        <w:pStyle w:val="Texto0"/>
        <w:spacing w:before="0" w:after="0" w:line="240" w:lineRule="auto"/>
        <w:rPr>
          <w:rFonts w:asciiTheme="majorHAnsi" w:hAnsiTheme="majorHAnsi"/>
          <w:sz w:val="24"/>
        </w:rPr>
      </w:pPr>
      <w:r w:rsidRPr="00BF5985">
        <w:rPr>
          <w:rFonts w:asciiTheme="majorHAnsi" w:hAnsiTheme="majorHAnsi"/>
          <w:sz w:val="24"/>
        </w:rPr>
        <w:t>Atentamente,</w:t>
      </w:r>
    </w:p>
    <w:p w:rsidRPr="00BF5985" w:rsidR="000F34AE" w:rsidP="00D26EDE" w:rsidRDefault="00640E1D" w14:paraId="4F25E583" w14:textId="0E38590F">
      <w:pPr>
        <w:spacing w:line="240" w:lineRule="auto"/>
        <w:rPr>
          <w:rFonts w:asciiTheme="majorHAnsi" w:hAnsiTheme="majorHAnsi"/>
          <w:sz w:val="24"/>
        </w:rPr>
      </w:pPr>
      <w:r w:rsidRPr="00BF5985">
        <w:rPr>
          <w:rFonts w:asciiTheme="majorHAnsi" w:hAnsiTheme="majorHAnsi"/>
          <w:noProof/>
          <w:lang w:val="es-CR" w:eastAsia="es-CR"/>
        </w:rPr>
        <w:drawing>
          <wp:anchor distT="0" distB="0" distL="114300" distR="114300" simplePos="0" relativeHeight="251658240" behindDoc="1" locked="0" layoutInCell="1" allowOverlap="1" wp14:editId="3FB7C39C" wp14:anchorId="4536A630">
            <wp:simplePos x="0" y="0"/>
            <wp:positionH relativeFrom="column">
              <wp:posOffset>-116205</wp:posOffset>
            </wp:positionH>
            <wp:positionV relativeFrom="paragraph">
              <wp:posOffset>72390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BF5985" w:rsidR="00041BDD" w:rsidP="00D26EDE" w:rsidRDefault="00041BDD" w14:paraId="41B30CFF" w14:textId="1DC4492F">
      <w:pPr>
        <w:spacing w:line="240" w:lineRule="auto"/>
        <w:rPr>
          <w:rFonts w:asciiTheme="majorHAnsi" w:hAnsiTheme="majorHAnsi"/>
          <w:sz w:val="24"/>
        </w:rPr>
      </w:pPr>
    </w:p>
    <w:p w:rsidRPr="00BF5985" w:rsidR="00640E1D" w:rsidP="0063474B" w:rsidRDefault="00640E1D" w14:paraId="42DF1C20" w14:textId="77777777">
      <w:pPr>
        <w:jc w:val="left"/>
        <w:rPr>
          <w:rFonts w:asciiTheme="majorHAnsi" w:hAnsiTheme="majorHAnsi"/>
          <w:sz w:val="24"/>
        </w:rPr>
      </w:pPr>
    </w:p>
    <w:p w:rsidRPr="00BF5985" w:rsidR="0063474B" w:rsidP="0063474B" w:rsidRDefault="0063474B" w14:paraId="0D066416" w14:textId="77777777">
      <w:pPr>
        <w:jc w:val="left"/>
        <w:rPr>
          <w:rFonts w:asciiTheme="majorHAnsi" w:hAnsiTheme="majorHAnsi"/>
          <w:sz w:val="24"/>
        </w:rPr>
      </w:pPr>
      <w:r w:rsidRPr="00BF5985">
        <w:rPr>
          <w:rFonts w:asciiTheme="majorHAnsi" w:hAnsiTheme="majorHAnsi"/>
          <w:sz w:val="24"/>
        </w:rPr>
        <w:t>Bernardo Alfaro A.</w:t>
      </w:r>
      <w:r w:rsidRPr="00BF5985">
        <w:rPr>
          <w:rFonts w:asciiTheme="majorHAnsi" w:hAnsiTheme="majorHAnsi"/>
          <w:sz w:val="24"/>
        </w:rPr>
        <w:br/>
      </w:r>
      <w:r w:rsidRPr="00BF5985">
        <w:rPr>
          <w:rFonts w:asciiTheme="majorHAnsi" w:hAnsiTheme="majorHAnsi"/>
          <w:b/>
          <w:sz w:val="24"/>
        </w:rPr>
        <w:t>Superintendente</w:t>
      </w:r>
    </w:p>
    <w:p w:rsidRPr="00BF5985" w:rsidR="00623AFE" w:rsidP="00623AFE" w:rsidRDefault="00623AFE" w14:paraId="493A647A" w14:textId="77777777">
      <w:pPr>
        <w:jc w:val="left"/>
        <w:rPr>
          <w:rFonts w:asciiTheme="majorHAnsi" w:hAnsiTheme="majorHAnsi"/>
          <w:b/>
          <w:sz w:val="24"/>
        </w:rPr>
      </w:pPr>
    </w:p>
    <w:p w:rsidRPr="00BF5985" w:rsidR="00EB4E27" w:rsidP="00EB4E27" w:rsidRDefault="00EB4E27" w14:paraId="2E19BAF9" w14:textId="5AA28609">
      <w:pPr>
        <w:rPr>
          <w:rFonts w:asciiTheme="majorHAnsi" w:hAnsiTheme="majorHAnsi"/>
        </w:rPr>
      </w:pPr>
    </w:p>
    <w:p w:rsidRPr="00BF5985" w:rsidR="000D441A" w:rsidP="000D441A" w:rsidRDefault="0071134B" w14:paraId="77D60D3B" w14:textId="79177CA9">
      <w:pPr>
        <w:pStyle w:val="Negrita"/>
        <w:rPr>
          <w:rFonts w:asciiTheme="majorHAnsi" w:hAnsiTheme="majorHAnsi"/>
          <w:b w:val="0"/>
          <w:sz w:val="20"/>
          <w:szCs w:val="20"/>
        </w:rPr>
      </w:pPr>
      <w:r w:rsidRPr="00BF5985">
        <w:rPr>
          <w:rFonts w:asciiTheme="majorHAnsi" w:hAnsiTheme="majorHAnsi"/>
          <w:b w:val="0"/>
          <w:sz w:val="20"/>
          <w:szCs w:val="20"/>
        </w:rPr>
        <w:t>C.</w:t>
      </w:r>
      <w:r w:rsidR="00626757">
        <w:rPr>
          <w:rFonts w:asciiTheme="majorHAnsi" w:hAnsiTheme="majorHAnsi"/>
          <w:b w:val="0"/>
          <w:sz w:val="20"/>
          <w:szCs w:val="20"/>
        </w:rPr>
        <w:t>c:</w:t>
      </w:r>
      <w:r w:rsidRPr="00BF5985">
        <w:rPr>
          <w:rFonts w:asciiTheme="majorHAnsi" w:hAnsiTheme="majorHAnsi"/>
          <w:b w:val="0"/>
          <w:sz w:val="20"/>
          <w:szCs w:val="20"/>
        </w:rPr>
        <w:t xml:space="preserve"> </w:t>
      </w:r>
      <w:r w:rsidRPr="00BF5985" w:rsidR="00A86C83">
        <w:rPr>
          <w:rFonts w:asciiTheme="majorHAnsi" w:hAnsiTheme="majorHAnsi"/>
          <w:b w:val="0"/>
          <w:sz w:val="20"/>
          <w:szCs w:val="20"/>
        </w:rPr>
        <w:t>SUGEVAL, SUGESE, SUPEN</w:t>
      </w:r>
      <w:r w:rsidRPr="00BF5985" w:rsidR="000D441A">
        <w:rPr>
          <w:rFonts w:asciiTheme="majorHAnsi" w:hAnsiTheme="majorHAnsi"/>
          <w:b w:val="0"/>
          <w:sz w:val="20"/>
          <w:szCs w:val="20"/>
        </w:rPr>
        <w:t xml:space="preserve"> </w:t>
      </w:r>
      <w:bookmarkStart w:name="_GoBack" w:id="0"/>
      <w:bookmarkEnd w:id="0"/>
    </w:p>
    <w:p w:rsidRPr="00BF5985" w:rsidR="000D441A" w:rsidP="000D441A" w:rsidRDefault="000D441A" w14:paraId="7F434A94" w14:textId="77777777">
      <w:pPr>
        <w:pStyle w:val="Negrita"/>
        <w:rPr>
          <w:rFonts w:asciiTheme="majorHAnsi" w:hAnsiTheme="majorHAnsi"/>
          <w:b w:val="0"/>
          <w:sz w:val="18"/>
          <w:szCs w:val="18"/>
        </w:rPr>
      </w:pPr>
    </w:p>
    <w:p w:rsidRPr="00BF5985" w:rsidR="000D441A" w:rsidP="000D441A" w:rsidRDefault="000D441A" w14:paraId="361545A6" w14:textId="5D0B2AFF">
      <w:pPr>
        <w:pStyle w:val="Negrita"/>
        <w:rPr>
          <w:rFonts w:asciiTheme="majorHAnsi" w:hAnsiTheme="majorHAnsi"/>
          <w:b w:val="0"/>
          <w:sz w:val="18"/>
          <w:szCs w:val="18"/>
        </w:rPr>
      </w:pPr>
      <w:r w:rsidRPr="00BF5985">
        <w:rPr>
          <w:rFonts w:asciiTheme="majorHAnsi" w:hAnsiTheme="majorHAnsi"/>
          <w:b w:val="0"/>
          <w:sz w:val="18"/>
          <w:szCs w:val="18"/>
        </w:rPr>
        <w:lastRenderedPageBreak/>
        <w:t>BAA/RCA/CSQ</w:t>
      </w:r>
    </w:p>
    <w:sectPr w:rsidRPr="00BF5985" w:rsidR="000D441A"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3D3F5" w14:textId="77777777" w:rsidR="007A3CAC" w:rsidRDefault="007A3CAC" w:rsidP="00D43D57">
      <w:r>
        <w:separator/>
      </w:r>
    </w:p>
  </w:endnote>
  <w:endnote w:type="continuationSeparator" w:id="0">
    <w:p w14:paraId="3D865266" w14:textId="77777777" w:rsidR="007A3CAC" w:rsidRDefault="007A3CAC"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09834687"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4F1F6752" w14:textId="77777777">
      <w:trPr>
        <w:trHeight w:val="546"/>
      </w:trPr>
      <w:tc>
        <w:tcPr>
          <w:tcW w:w="3189" w:type="dxa"/>
          <w:shd w:val="clear" w:color="auto" w:fill="FFFFFF"/>
          <w:vAlign w:val="center"/>
        </w:tcPr>
        <w:p w:rsidR="008F1461" w:rsidP="000C62BB" w:rsidRDefault="008F1461" w14:paraId="0C35673D" w14:textId="77777777">
          <w:pPr>
            <w:pStyle w:val="Piepagina"/>
          </w:pPr>
          <w:r>
            <w:rPr>
              <w:b/>
              <w:bCs/>
            </w:rPr>
            <w:t>Teléfono</w:t>
          </w:r>
          <w:r>
            <w:t xml:space="preserve">   (506) 2243-4848</w:t>
          </w:r>
        </w:p>
        <w:p w:rsidR="008F1461" w:rsidP="000C62BB" w:rsidRDefault="008F1461" w14:paraId="77C6397E"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0A9888AB" w14:textId="77777777">
          <w:pPr>
            <w:pStyle w:val="Piepagina"/>
          </w:pPr>
          <w:r>
            <w:rPr>
              <w:b/>
              <w:bCs/>
            </w:rPr>
            <w:t>Apartado</w:t>
          </w:r>
          <w:r>
            <w:t xml:space="preserve"> 2762-1000</w:t>
          </w:r>
        </w:p>
        <w:p w:rsidR="008F1461" w:rsidP="000C62BB" w:rsidRDefault="008F1461" w14:paraId="18BFBF32" w14:textId="77777777">
          <w:pPr>
            <w:pStyle w:val="Piepagina"/>
          </w:pPr>
          <w:r>
            <w:t>San José, Costa Rica</w:t>
          </w:r>
        </w:p>
      </w:tc>
      <w:tc>
        <w:tcPr>
          <w:tcW w:w="2410" w:type="dxa"/>
          <w:shd w:val="clear" w:color="auto" w:fill="FFFFFF"/>
          <w:vAlign w:val="center"/>
        </w:tcPr>
        <w:p w:rsidR="008F1461" w:rsidP="000C62BB" w:rsidRDefault="008F1461" w14:paraId="0F16A80D" w14:textId="77777777">
          <w:pPr>
            <w:pStyle w:val="Piepagina"/>
          </w:pPr>
          <w:r>
            <w:t>www.sugef.fi.cr</w:t>
          </w:r>
        </w:p>
        <w:p w:rsidR="008F1461" w:rsidP="000C62BB" w:rsidRDefault="008F1461" w14:paraId="7339A7C0" w14:textId="77777777">
          <w:pPr>
            <w:pStyle w:val="Piepagina"/>
          </w:pPr>
          <w:r>
            <w:t>sugefcr@sugef.fi.cr</w:t>
          </w:r>
        </w:p>
      </w:tc>
      <w:tc>
        <w:tcPr>
          <w:tcW w:w="260" w:type="dxa"/>
          <w:shd w:val="clear" w:color="auto" w:fill="FFFFFF"/>
        </w:tcPr>
        <w:p w:rsidR="008F1461" w:rsidP="000C62BB" w:rsidRDefault="008F1461" w14:paraId="05E57753" w14:textId="77777777">
          <w:pPr>
            <w:pStyle w:val="Piepagina"/>
          </w:pPr>
          <w:r>
            <w:fldChar w:fldCharType="begin"/>
          </w:r>
          <w:r>
            <w:instrText>PAGE   \* MERGEFORMAT</w:instrText>
          </w:r>
          <w:r>
            <w:fldChar w:fldCharType="separate"/>
          </w:r>
          <w:r w:rsidR="00C72344">
            <w:rPr>
              <w:noProof/>
            </w:rPr>
            <w:t>2</w:t>
          </w:r>
          <w:r>
            <w:fldChar w:fldCharType="end"/>
          </w:r>
        </w:p>
      </w:tc>
    </w:tr>
  </w:tbl>
  <w:p w:rsidRPr="000C62BB" w:rsidR="00590F07" w:rsidRDefault="00590F07" w14:paraId="02CB892A" w14:textId="77777777">
    <w:pPr>
      <w:pStyle w:val="Piedepgina"/>
      <w:jc w:val="right"/>
      <w:rPr>
        <w:color w:val="969696"/>
        <w:sz w:val="20"/>
        <w:szCs w:val="20"/>
      </w:rPr>
    </w:pPr>
  </w:p>
  <w:p w:rsidR="001C075B" w:rsidP="00FA54DF" w:rsidRDefault="001C075B" w14:paraId="5559B19A"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7361FCB8" w14:textId="77777777">
    <w:pPr>
      <w:pStyle w:val="Piepagina"/>
      <w:jc w:val="center"/>
    </w:pPr>
    <w:r>
      <w:rPr>
        <w:noProof/>
        <w:lang w:val="es-CR" w:eastAsia="es-CR"/>
      </w:rPr>
      <w:drawing>
        <wp:anchor distT="0" distB="0" distL="114300" distR="114300" simplePos="0" relativeHeight="251669504" behindDoc="1" locked="0" layoutInCell="1" allowOverlap="1" wp14:editId="72C24BF6" wp14:anchorId="27729B73">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4221CF9" wp14:anchorId="22E91D9F">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0BBE6FDA" w14:textId="77777777">
                          <w:pPr>
                            <w:rPr>
                              <w:color w:val="003A68"/>
                              <w:sz w:val="14"/>
                              <w:szCs w:val="14"/>
                            </w:rPr>
                          </w:pPr>
                          <w:r w:rsidRPr="00FA54DF">
                            <w:rPr>
                              <w:color w:val="003A68"/>
                              <w:sz w:val="14"/>
                              <w:szCs w:val="14"/>
                            </w:rPr>
                            <w:t xml:space="preserve">T. (506) 2243-3631   </w:t>
                          </w:r>
                        </w:p>
                        <w:p w:rsidRPr="00FA54DF" w:rsidR="001C075B" w:rsidRDefault="001C075B" w14:paraId="23D5A72F" w14:textId="77777777">
                          <w:pPr>
                            <w:rPr>
                              <w:color w:val="003A68"/>
                              <w:sz w:val="14"/>
                              <w:szCs w:val="14"/>
                            </w:rPr>
                          </w:pPr>
                          <w:r w:rsidRPr="00FA54DF">
                            <w:rPr>
                              <w:color w:val="003A68"/>
                              <w:sz w:val="14"/>
                              <w:szCs w:val="14"/>
                            </w:rPr>
                            <w:t xml:space="preserve">F. (506) 2243-4579   </w:t>
                          </w:r>
                        </w:p>
                        <w:p w:rsidR="001C075B" w:rsidRDefault="001C075B" w14:paraId="567B7743" w14:textId="77777777">
                          <w:pPr>
                            <w:rPr>
                              <w:color w:val="003A68"/>
                              <w:sz w:val="14"/>
                              <w:szCs w:val="14"/>
                            </w:rPr>
                          </w:pPr>
                          <w:r w:rsidRPr="00FA54DF">
                            <w:rPr>
                              <w:color w:val="003A68"/>
                              <w:sz w:val="14"/>
                              <w:szCs w:val="14"/>
                            </w:rPr>
                            <w:t>Apdo. 10058-1000</w:t>
                          </w:r>
                        </w:p>
                        <w:p w:rsidR="001C075B" w:rsidRDefault="001C075B" w14:paraId="599B203A" w14:textId="77777777">
                          <w:pPr>
                            <w:rPr>
                              <w:color w:val="003A68"/>
                              <w:sz w:val="14"/>
                              <w:szCs w:val="14"/>
                            </w:rPr>
                          </w:pPr>
                          <w:r w:rsidRPr="00FA54DF">
                            <w:rPr>
                              <w:color w:val="003A68"/>
                              <w:sz w:val="14"/>
                              <w:szCs w:val="14"/>
                            </w:rPr>
                            <w:t>Av. 1 y Central, Calles 2 y 4</w:t>
                          </w:r>
                        </w:p>
                        <w:p w:rsidRPr="00FA54DF" w:rsidR="001C075B" w:rsidRDefault="001C075B" w14:paraId="2F303793"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2E91D9F">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0BBE6FDA" w14:textId="77777777">
                    <w:pPr>
                      <w:rPr>
                        <w:color w:val="003A68"/>
                        <w:sz w:val="14"/>
                        <w:szCs w:val="14"/>
                      </w:rPr>
                    </w:pPr>
                    <w:r w:rsidRPr="00FA54DF">
                      <w:rPr>
                        <w:color w:val="003A68"/>
                        <w:sz w:val="14"/>
                        <w:szCs w:val="14"/>
                      </w:rPr>
                      <w:t xml:space="preserve">T. (506) 2243-3631   </w:t>
                    </w:r>
                  </w:p>
                  <w:p w:rsidRPr="00FA54DF" w:rsidR="001C075B" w:rsidRDefault="001C075B" w14:paraId="23D5A72F" w14:textId="77777777">
                    <w:pPr>
                      <w:rPr>
                        <w:color w:val="003A68"/>
                        <w:sz w:val="14"/>
                        <w:szCs w:val="14"/>
                      </w:rPr>
                    </w:pPr>
                    <w:r w:rsidRPr="00FA54DF">
                      <w:rPr>
                        <w:color w:val="003A68"/>
                        <w:sz w:val="14"/>
                        <w:szCs w:val="14"/>
                      </w:rPr>
                      <w:t xml:space="preserve">F. (506) 2243-4579   </w:t>
                    </w:r>
                  </w:p>
                  <w:p w:rsidR="001C075B" w:rsidRDefault="001C075B" w14:paraId="567B7743" w14:textId="77777777">
                    <w:pPr>
                      <w:rPr>
                        <w:color w:val="003A68"/>
                        <w:sz w:val="14"/>
                        <w:szCs w:val="14"/>
                      </w:rPr>
                    </w:pPr>
                    <w:r w:rsidRPr="00FA54DF">
                      <w:rPr>
                        <w:color w:val="003A68"/>
                        <w:sz w:val="14"/>
                        <w:szCs w:val="14"/>
                      </w:rPr>
                      <w:t>Apdo. 10058-1000</w:t>
                    </w:r>
                  </w:p>
                  <w:p w:rsidR="001C075B" w:rsidRDefault="001C075B" w14:paraId="599B203A" w14:textId="77777777">
                    <w:pPr>
                      <w:rPr>
                        <w:color w:val="003A68"/>
                        <w:sz w:val="14"/>
                        <w:szCs w:val="14"/>
                      </w:rPr>
                    </w:pPr>
                    <w:r w:rsidRPr="00FA54DF">
                      <w:rPr>
                        <w:color w:val="003A68"/>
                        <w:sz w:val="14"/>
                        <w:szCs w:val="14"/>
                      </w:rPr>
                      <w:t>Av. 1 y Central, Calles 2 y 4</w:t>
                    </w:r>
                  </w:p>
                  <w:p w:rsidRPr="00FA54DF" w:rsidR="001C075B" w:rsidRDefault="001C075B" w14:paraId="2F303793" w14:textId="77777777">
                    <w:pPr>
                      <w:rPr>
                        <w:color w:val="003A68"/>
                        <w:sz w:val="14"/>
                        <w:szCs w:val="14"/>
                      </w:rPr>
                    </w:pPr>
                  </w:p>
                </w:txbxContent>
              </v:textbox>
            </v:shape>
          </w:pict>
        </mc:Fallback>
      </mc:AlternateContent>
    </w:r>
  </w:p>
  <w:p w:rsidRPr="00D43D57" w:rsidR="001C075B" w:rsidP="008C0BF0" w:rsidRDefault="001C075B" w14:paraId="112926EB" w14:textId="77777777">
    <w:pPr>
      <w:pStyle w:val="Piepagina"/>
      <w:jc w:val="center"/>
    </w:pPr>
  </w:p>
  <w:p w:rsidR="001C075B" w:rsidRDefault="001C075B" w14:paraId="72C6B373"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0E3B6" w14:textId="77777777" w:rsidR="007A3CAC" w:rsidRDefault="007A3CAC" w:rsidP="00D43D57">
      <w:r>
        <w:separator/>
      </w:r>
    </w:p>
  </w:footnote>
  <w:footnote w:type="continuationSeparator" w:id="0">
    <w:p w14:paraId="7F393117" w14:textId="77777777" w:rsidR="007A3CAC" w:rsidRDefault="007A3CAC"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49797318" w14:textId="77777777">
    <w:pPr>
      <w:pStyle w:val="Piedepgina"/>
      <w:jc w:val="center"/>
    </w:pPr>
    <w:r>
      <w:rPr>
        <w:noProof/>
        <w:lang w:val="es-CR" w:eastAsia="es-CR"/>
      </w:rPr>
      <w:drawing>
        <wp:inline distT="0" distB="0" distL="0" distR="0" wp14:anchorId="6DE290FA" wp14:editId="27E0C813">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158504F3" w14:textId="77777777">
    <w:pPr>
      <w:pStyle w:val="Encabezado"/>
      <w:pBdr>
        <w:bottom w:val="single" w:color="auto" w:sz="4" w:space="3"/>
      </w:pBdr>
      <w:ind w:right="-1"/>
      <w:rPr>
        <w:b/>
        <w:sz w:val="20"/>
        <w:szCs w:val="20"/>
      </w:rPr>
    </w:pPr>
    <w:r>
      <w:rPr>
        <w:noProof/>
        <w:lang w:val="es-CR" w:eastAsia="es-CR"/>
      </w:rPr>
      <w:drawing>
        <wp:inline distT="0" distB="0" distL="0" distR="0" wp14:anchorId="7568411D" wp14:editId="3B96E8ED">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2B1B95A7"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2" w15:restartNumberingAfterBreak="0">
    <w:nsid w:val="59EB54B7"/>
    <w:multiLevelType w:val="hybridMultilevel"/>
    <w:tmpl w:val="EDB4C238"/>
    <w:lvl w:ilvl="0" w:tplc="9236A856">
      <w:start w:val="1"/>
      <w:numFmt w:val="lowerLetter"/>
      <w:lvlText w:val="%1)"/>
      <w:lvlJc w:val="left"/>
      <w:pPr>
        <w:ind w:left="502" w:hanging="360"/>
      </w:pPr>
      <w:rPr>
        <w:rFonts w:hint="default"/>
        <w:b w:val="0"/>
        <w:sz w:val="24"/>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4"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AC"/>
    <w:rsid w:val="000064A4"/>
    <w:rsid w:val="00007005"/>
    <w:rsid w:val="00016F39"/>
    <w:rsid w:val="000235B5"/>
    <w:rsid w:val="00026C85"/>
    <w:rsid w:val="00030100"/>
    <w:rsid w:val="00041BDD"/>
    <w:rsid w:val="000439A6"/>
    <w:rsid w:val="00060C03"/>
    <w:rsid w:val="000646DD"/>
    <w:rsid w:val="00081865"/>
    <w:rsid w:val="00082968"/>
    <w:rsid w:val="000C62BB"/>
    <w:rsid w:val="000D11BB"/>
    <w:rsid w:val="000D441A"/>
    <w:rsid w:val="000E0AC6"/>
    <w:rsid w:val="000F34AE"/>
    <w:rsid w:val="00117501"/>
    <w:rsid w:val="001322B4"/>
    <w:rsid w:val="001327EB"/>
    <w:rsid w:val="001343B4"/>
    <w:rsid w:val="0016220C"/>
    <w:rsid w:val="001653C6"/>
    <w:rsid w:val="001946F4"/>
    <w:rsid w:val="00197462"/>
    <w:rsid w:val="001A6574"/>
    <w:rsid w:val="001B70CB"/>
    <w:rsid w:val="001C075B"/>
    <w:rsid w:val="001C5806"/>
    <w:rsid w:val="001E0448"/>
    <w:rsid w:val="002247D4"/>
    <w:rsid w:val="00230C67"/>
    <w:rsid w:val="0025299F"/>
    <w:rsid w:val="002645B7"/>
    <w:rsid w:val="002C56A4"/>
    <w:rsid w:val="002E26C3"/>
    <w:rsid w:val="002E2B0A"/>
    <w:rsid w:val="002E3589"/>
    <w:rsid w:val="002E56D1"/>
    <w:rsid w:val="002E571B"/>
    <w:rsid w:val="002E6DD2"/>
    <w:rsid w:val="002F08D5"/>
    <w:rsid w:val="002F6F7C"/>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652ED"/>
    <w:rsid w:val="004822E6"/>
    <w:rsid w:val="00484F15"/>
    <w:rsid w:val="00492FE3"/>
    <w:rsid w:val="004D7F44"/>
    <w:rsid w:val="004F74E7"/>
    <w:rsid w:val="005105C4"/>
    <w:rsid w:val="0053623F"/>
    <w:rsid w:val="00540154"/>
    <w:rsid w:val="00550D78"/>
    <w:rsid w:val="00557369"/>
    <w:rsid w:val="005706D1"/>
    <w:rsid w:val="005739A8"/>
    <w:rsid w:val="005751FC"/>
    <w:rsid w:val="00577A95"/>
    <w:rsid w:val="005852CF"/>
    <w:rsid w:val="00590F07"/>
    <w:rsid w:val="0059392E"/>
    <w:rsid w:val="005A1BAC"/>
    <w:rsid w:val="005B448F"/>
    <w:rsid w:val="005C173B"/>
    <w:rsid w:val="005E07F2"/>
    <w:rsid w:val="005E39BB"/>
    <w:rsid w:val="006033C4"/>
    <w:rsid w:val="00603B3F"/>
    <w:rsid w:val="00604A3D"/>
    <w:rsid w:val="0060703F"/>
    <w:rsid w:val="00614D68"/>
    <w:rsid w:val="00620B23"/>
    <w:rsid w:val="00623AFE"/>
    <w:rsid w:val="0062633F"/>
    <w:rsid w:val="00626757"/>
    <w:rsid w:val="00630B5C"/>
    <w:rsid w:val="0063474B"/>
    <w:rsid w:val="00635AC4"/>
    <w:rsid w:val="00640202"/>
    <w:rsid w:val="00640E1D"/>
    <w:rsid w:val="00662901"/>
    <w:rsid w:val="00681F7A"/>
    <w:rsid w:val="00692661"/>
    <w:rsid w:val="006C2059"/>
    <w:rsid w:val="006E3610"/>
    <w:rsid w:val="006E4028"/>
    <w:rsid w:val="006E6F58"/>
    <w:rsid w:val="0071134B"/>
    <w:rsid w:val="00714DC4"/>
    <w:rsid w:val="00720796"/>
    <w:rsid w:val="00742018"/>
    <w:rsid w:val="0074397B"/>
    <w:rsid w:val="007455FF"/>
    <w:rsid w:val="00755896"/>
    <w:rsid w:val="00765619"/>
    <w:rsid w:val="007736D4"/>
    <w:rsid w:val="00787BA9"/>
    <w:rsid w:val="0079518D"/>
    <w:rsid w:val="007A3CAC"/>
    <w:rsid w:val="007B18D6"/>
    <w:rsid w:val="007B391D"/>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57A11"/>
    <w:rsid w:val="00962265"/>
    <w:rsid w:val="0097235C"/>
    <w:rsid w:val="00977CEE"/>
    <w:rsid w:val="00982147"/>
    <w:rsid w:val="00983CB1"/>
    <w:rsid w:val="00984A65"/>
    <w:rsid w:val="009908DE"/>
    <w:rsid w:val="009B5E5E"/>
    <w:rsid w:val="009C47FE"/>
    <w:rsid w:val="009F54CB"/>
    <w:rsid w:val="00A26E9E"/>
    <w:rsid w:val="00A34523"/>
    <w:rsid w:val="00A47E4A"/>
    <w:rsid w:val="00A76A2E"/>
    <w:rsid w:val="00A84CDB"/>
    <w:rsid w:val="00A86C83"/>
    <w:rsid w:val="00A906DD"/>
    <w:rsid w:val="00AB1CD1"/>
    <w:rsid w:val="00AB580B"/>
    <w:rsid w:val="00AC5138"/>
    <w:rsid w:val="00AC5E12"/>
    <w:rsid w:val="00AE3929"/>
    <w:rsid w:val="00AF45B7"/>
    <w:rsid w:val="00AF482D"/>
    <w:rsid w:val="00B079EC"/>
    <w:rsid w:val="00B1318C"/>
    <w:rsid w:val="00B43C40"/>
    <w:rsid w:val="00B464F6"/>
    <w:rsid w:val="00B532A7"/>
    <w:rsid w:val="00B54EDB"/>
    <w:rsid w:val="00B77CF0"/>
    <w:rsid w:val="00B80284"/>
    <w:rsid w:val="00B84E87"/>
    <w:rsid w:val="00B90216"/>
    <w:rsid w:val="00B91FDF"/>
    <w:rsid w:val="00B94DE2"/>
    <w:rsid w:val="00B96F68"/>
    <w:rsid w:val="00BA112E"/>
    <w:rsid w:val="00BA711C"/>
    <w:rsid w:val="00BB0F2F"/>
    <w:rsid w:val="00BB470C"/>
    <w:rsid w:val="00BC03D6"/>
    <w:rsid w:val="00BC7DC2"/>
    <w:rsid w:val="00BD71E9"/>
    <w:rsid w:val="00BE119A"/>
    <w:rsid w:val="00BE6A0B"/>
    <w:rsid w:val="00BE7B10"/>
    <w:rsid w:val="00BF5985"/>
    <w:rsid w:val="00BF6B99"/>
    <w:rsid w:val="00C039CE"/>
    <w:rsid w:val="00C1795E"/>
    <w:rsid w:val="00C22C6C"/>
    <w:rsid w:val="00C414C9"/>
    <w:rsid w:val="00C42047"/>
    <w:rsid w:val="00C5093E"/>
    <w:rsid w:val="00C60480"/>
    <w:rsid w:val="00C64425"/>
    <w:rsid w:val="00C71968"/>
    <w:rsid w:val="00C72344"/>
    <w:rsid w:val="00C74C75"/>
    <w:rsid w:val="00C809BA"/>
    <w:rsid w:val="00C9305E"/>
    <w:rsid w:val="00CA3FA8"/>
    <w:rsid w:val="00CB07CA"/>
    <w:rsid w:val="00CB147F"/>
    <w:rsid w:val="00CB2C11"/>
    <w:rsid w:val="00CC3F41"/>
    <w:rsid w:val="00CE3B72"/>
    <w:rsid w:val="00D03728"/>
    <w:rsid w:val="00D06E99"/>
    <w:rsid w:val="00D102F8"/>
    <w:rsid w:val="00D10AD8"/>
    <w:rsid w:val="00D2424F"/>
    <w:rsid w:val="00D26EDE"/>
    <w:rsid w:val="00D32808"/>
    <w:rsid w:val="00D36A01"/>
    <w:rsid w:val="00D43D57"/>
    <w:rsid w:val="00D44EF3"/>
    <w:rsid w:val="00D45FC0"/>
    <w:rsid w:val="00D54C08"/>
    <w:rsid w:val="00D55CA3"/>
    <w:rsid w:val="00D87C17"/>
    <w:rsid w:val="00D96D0A"/>
    <w:rsid w:val="00DB3508"/>
    <w:rsid w:val="00DB3E70"/>
    <w:rsid w:val="00DB6B85"/>
    <w:rsid w:val="00DC2193"/>
    <w:rsid w:val="00DC3B8E"/>
    <w:rsid w:val="00DE08C6"/>
    <w:rsid w:val="00DE18D9"/>
    <w:rsid w:val="00E0013C"/>
    <w:rsid w:val="00E11252"/>
    <w:rsid w:val="00E11C48"/>
    <w:rsid w:val="00E13C47"/>
    <w:rsid w:val="00E5185D"/>
    <w:rsid w:val="00E75AC8"/>
    <w:rsid w:val="00E82177"/>
    <w:rsid w:val="00EA2CDD"/>
    <w:rsid w:val="00EB4E27"/>
    <w:rsid w:val="00EB71D8"/>
    <w:rsid w:val="00EC2E48"/>
    <w:rsid w:val="00ED0FDD"/>
    <w:rsid w:val="00EE00D4"/>
    <w:rsid w:val="00EE3A47"/>
    <w:rsid w:val="00EF0C8B"/>
    <w:rsid w:val="00EF762C"/>
    <w:rsid w:val="00F10AFE"/>
    <w:rsid w:val="00F1102D"/>
    <w:rsid w:val="00F1297C"/>
    <w:rsid w:val="00F12A97"/>
    <w:rsid w:val="00F6038D"/>
    <w:rsid w:val="00F654F5"/>
    <w:rsid w:val="00F731A3"/>
    <w:rsid w:val="00F8680D"/>
    <w:rsid w:val="00FA1E58"/>
    <w:rsid w:val="00FA54DF"/>
    <w:rsid w:val="00FB79EB"/>
    <w:rsid w:val="00FC0C28"/>
    <w:rsid w:val="00FE41AC"/>
    <w:rsid w:val="00FE44E2"/>
    <w:rsid w:val="00FF3DEA"/>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1B94349"/>
  <w15:docId w15:val="{E017E535-06B5-484F-87AA-26D905E4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link w:val="PrrafodelistaCar"/>
    <w:uiPriority w:val="34"/>
    <w:qFormat/>
    <w:locked/>
    <w:rsid w:val="007A3CAC"/>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7A3CAC"/>
    <w:rPr>
      <w:rFonts w:ascii="Times New Roman" w:eastAsia="Times New Roman" w:hAnsi="Times New Roman"/>
      <w:sz w:val="24"/>
      <w:szCs w:val="24"/>
      <w:lang w:val="es-ES" w:eastAsia="es-ES"/>
    </w:rPr>
  </w:style>
  <w:style w:type="character" w:styleId="Hipervnculo">
    <w:name w:val="Hyperlink"/>
    <w:basedOn w:val="Fuentedeprrafopredeter"/>
    <w:locked/>
    <w:rsid w:val="007A3CAC"/>
    <w:rPr>
      <w:rFonts w:ascii="Times New Roman" w:hAnsi="Times New Roman" w:cs="Times New Roman" w:hint="default"/>
      <w:b w:val="0"/>
      <w:bCs w:val="0"/>
      <w:i w:val="0"/>
      <w:iCs w:val="0"/>
      <w:caps w:val="0"/>
      <w:smallCaps w:val="0"/>
      <w:color w:val="0033FF"/>
      <w:sz w:val="24"/>
      <w:szCs w:val="24"/>
      <w:u w:val="single"/>
      <w:shd w:val="clear" w:color="auto" w:fill="auto"/>
    </w:rPr>
  </w:style>
  <w:style w:type="paragraph" w:styleId="Textonotapie">
    <w:name w:val="footnote text"/>
    <w:basedOn w:val="Normal"/>
    <w:link w:val="TextonotapieCar"/>
    <w:uiPriority w:val="99"/>
    <w:semiHidden/>
    <w:unhideWhenUsed/>
    <w:locked/>
    <w:rsid w:val="007A3CAC"/>
    <w:pPr>
      <w:spacing w:line="240" w:lineRule="auto"/>
      <w:jc w:val="left"/>
    </w:pPr>
    <w:rPr>
      <w:rFonts w:ascii="Arial" w:eastAsiaTheme="minorHAnsi" w:hAnsi="Arial" w:cs="Arial"/>
      <w:sz w:val="20"/>
      <w:szCs w:val="20"/>
      <w:lang w:val="es-CR"/>
    </w:rPr>
  </w:style>
  <w:style w:type="character" w:customStyle="1" w:styleId="TextonotapieCar">
    <w:name w:val="Texto nota pie Car"/>
    <w:basedOn w:val="Fuentedeprrafopredeter"/>
    <w:link w:val="Textonotapie"/>
    <w:uiPriority w:val="99"/>
    <w:semiHidden/>
    <w:rsid w:val="007A3CAC"/>
    <w:rPr>
      <w:rFonts w:ascii="Arial" w:eastAsiaTheme="minorHAnsi" w:hAnsi="Arial" w:cs="Arial"/>
      <w:lang w:eastAsia="en-US"/>
    </w:rPr>
  </w:style>
  <w:style w:type="character" w:styleId="Hipervnculovisitado">
    <w:name w:val="FollowedHyperlink"/>
    <w:basedOn w:val="Fuentedeprrafopredeter"/>
    <w:uiPriority w:val="99"/>
    <w:semiHidden/>
    <w:unhideWhenUsed/>
    <w:locked/>
    <w:rsid w:val="00720796"/>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AC8204/Forms/Correspondencia%20Externa%20SUGEF/plantilla-SGF-AC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2FD16F9C5E45BF86FE7DEC7CC47E49"/>
        <w:category>
          <w:name w:val="General"/>
          <w:gallery w:val="placeholder"/>
        </w:category>
        <w:types>
          <w:type w:val="bbPlcHdr"/>
        </w:types>
        <w:behaviors>
          <w:behavior w:val="content"/>
        </w:behaviors>
        <w:guid w:val="{35A0D09F-7FE8-46B8-A16E-DCDA2B0F8160}"/>
      </w:docPartPr>
      <w:docPartBody>
        <w:p w:rsidR="009B78C4" w:rsidRDefault="009B78C4">
          <w:pPr>
            <w:pStyle w:val="3C2FD16F9C5E45BF86FE7DEC7CC47E49"/>
          </w:pPr>
          <w:r w:rsidRPr="001E0779">
            <w:rPr>
              <w:rStyle w:val="Textodelmarcadordeposicin"/>
            </w:rPr>
            <w:t>Haga clic aquí para escribir texto.</w:t>
          </w:r>
        </w:p>
      </w:docPartBody>
    </w:docPart>
    <w:docPart>
      <w:docPartPr>
        <w:name w:val="E53711F430EF4F2FA36F658C12695360"/>
        <w:category>
          <w:name w:val="General"/>
          <w:gallery w:val="placeholder"/>
        </w:category>
        <w:types>
          <w:type w:val="bbPlcHdr"/>
        </w:types>
        <w:behaviors>
          <w:behavior w:val="content"/>
        </w:behaviors>
        <w:guid w:val="{4E8212D1-6FFD-401C-9028-DEAE266199AA}"/>
      </w:docPartPr>
      <w:docPartBody>
        <w:p w:rsidR="009B78C4" w:rsidRDefault="009B78C4">
          <w:pPr>
            <w:pStyle w:val="E53711F430EF4F2FA36F658C1269536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C4"/>
    <w:rsid w:val="009B78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C2FD16F9C5E45BF86FE7DEC7CC47E49">
    <w:name w:val="3C2FD16F9C5E45BF86FE7DEC7CC47E49"/>
  </w:style>
  <w:style w:type="paragraph" w:customStyle="1" w:styleId="E53711F430EF4F2FA36F658C12695360">
    <w:name w:val="E53711F430EF4F2FA36F658C12695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PKY1RHQvlTf0j1PZ/MDeQdiD9Bnrg1ypwqvqLCP7BhM=</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8sSgoIZ1afCML/O0F2Vjw9lZjDECxmNSWmOxucLuLhU=</DigestValue>
    </Reference>
  </SignedInfo>
  <SignatureValue>mDxdIY+tebIuZlsxsPzvOMEY6q0Z4Ro6lmQ/ajqejqf9aWuLggBNj5stka5qgBnEDUqEWNEh2KAG
yUcywHk2vjM5Af8Oy3ZN+SO+ZLbYPCuB13B45bQO9RG/4B33cT/bSOw3avNuaCSBgn3YeSVAJmdY
r+EVvhbmi2gmK8/ZKKbR3ZOXKTizpWtx36Zd6mPbSspT4d/9mYYQD7pMd8PGIt5/TsPv5vF/quUT
q8xF+6yS9F/7I+J0FHQ3Qo4oYvYnWL5b9uvPIuhp2JKlZf/70aGAHkp5HByW3MRWf84Qxzoz+7or
QUFeMDo6+JYjcv5r3NSOcC0XE4/pe+HYMIngLw==</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u9q7Ul5JSTXDXUlQsAR2tikmpkKMOAuKLMXRK6dL9ZI=</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a/0SeP3xMihfGH4uT3OMz/z7FDIKre2WPISLqLyqqDE=</DigestValue>
      </Reference>
      <Reference URI="/word/document.xml?ContentType=application/vnd.openxmlformats-officedocument.wordprocessingml.document.main+xml">
        <DigestMethod Algorithm="http://www.w3.org/2001/04/xmlenc#sha256"/>
        <DigestValue>JXoFjIkNgEdycVBxjsZNt4CV6LogErJHovqslq5z4Mk=</DigestValue>
      </Reference>
      <Reference URI="/word/endnotes.xml?ContentType=application/vnd.openxmlformats-officedocument.wordprocessingml.endnotes+xml">
        <DigestMethod Algorithm="http://www.w3.org/2001/04/xmlenc#sha256"/>
        <DigestValue>dNE5PEWEgkVWzJ2fhhlir6J/yU16j+s5pjXWilOswhQ=</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PQ6eEKRYQct5PE3xGpBRhhwko9Vb1gQAMbL78Js7qNU=</DigestValue>
      </Reference>
      <Reference URI="/word/footer2.xml?ContentType=application/vnd.openxmlformats-officedocument.wordprocessingml.footer+xml">
        <DigestMethod Algorithm="http://www.w3.org/2001/04/xmlenc#sha256"/>
        <DigestValue>F7EM0zyqs0ZyI1KgDJRULIT6PSVz7Ng/JlsNQNOuaUA=</DigestValue>
      </Reference>
      <Reference URI="/word/footnotes.xml?ContentType=application/vnd.openxmlformats-officedocument.wordprocessingml.footnotes+xml">
        <DigestMethod Algorithm="http://www.w3.org/2001/04/xmlenc#sha256"/>
        <DigestValue>exkBbTG5BAEbHq9zv8EcXasP8ruGBed3u/z7cuqNDrs=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AKVpoXrUL0S+5WZPkTXTtOh+542LsyAYwtyFd4ojmKw=</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jW7lOybkwURLzfB3yOjxajBHUiTTeWzplomHXEBrPWU=</DigestValue>
      </Reference>
      <Reference URI="/word/glossary/styles.xml?ContentType=application/vnd.openxmlformats-officedocument.wordprocessingml.styles+xml">
        <DigestMethod Algorithm="http://www.w3.org/2001/04/xmlenc#sha256"/>
        <DigestValue>MuEM0AnV8T4iHnntH7+2WJvPzL40JZnNX7jdrv7Vd78=</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K7Ptu4XNfmG9TNO5AiLX05xa6scg8efacpvgk1JUPxE=</DigestValue>
      </Reference>
      <Reference URI="/word/header2.xml?ContentType=application/vnd.openxmlformats-officedocument.wordprocessingml.header+xml">
        <DigestMethod Algorithm="http://www.w3.org/2001/04/xmlenc#sha256"/>
        <DigestValue>zshcZp4NkjNlPmOP2sYDVzwCmO9DbFbnxNSpGx/0w88=</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yJzp28dX/3aTfWRHkbf6brj0oKl67bZLcOWpD6pZqjg=</DigestValue>
      </Reference>
      <Reference URI="/word/settings.xml?ContentType=application/vnd.openxmlformats-officedocument.wordprocessingml.settings+xml">
        <DigestMethod Algorithm="http://www.w3.org/2001/04/xmlenc#sha256"/>
        <DigestValue>h8nDRLJctL/dp8Qc1X+nzk7V8Nu56MU5Yz7b6G1iqes=</DigestValue>
      </Reference>
      <Reference URI="/word/styles.xml?ContentType=application/vnd.openxmlformats-officedocument.wordprocessingml.styles+xml">
        <DigestMethod Algorithm="http://www.w3.org/2001/04/xmlenc#sha256"/>
        <DigestValue>Cz/x60J3G8LyFO/STKDbUCX4mmm2ugbJVF/vWzBoook=</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2018-11-19T22:27:20Z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2018-11-19T22:27:20Z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b875e23b-67d9-4b2e-bdec-edacbf90b326">
      <Value>116</Value>
      <Value>98</Value>
      <Value>63</Value>
      <Value>127</Value>
      <Value>125</Value>
      <Value>3</Value>
      <Value>2</Value>
      <Value>426</Value>
    </TaxCatchAll>
    <OtraEntidadExterna xmlns="b875e23b-67d9-4b2e-bdec-edacbf90b326">A las entidades indicas en la Circular</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i:0#.w|pdc-atlantida\cotoar</DisplayName>
        <AccountId>291</AccountId>
        <AccountType/>
      </UserInfo>
      <UserInfo>
        <DisplayName>i:0#.w|pdc-atlantida\cuberocm</DisplayName>
        <AccountId>1767</AccountId>
        <AccountType/>
      </UserInfo>
      <UserInfo>
        <DisplayName>i:0#.w|pdc-atlantida\soleraqc</DisplayName>
        <AccountId>842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Circular Externa Inscripción Reglamento Acuerdo SUGEF 11-18
Se envía a las entidades indicadas en la Circular, con copia a la SUPEN, SUGEVAL y SUGESE
(Publicar en la página Sugef)</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Análisis y Cumplimiento Ley 8204</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SUGESE - Despacho</TermName>
          <TermId xmlns="http://schemas.microsoft.com/office/infopath/2007/PartnerControls">669bcd6e-2e10-45a5-b148-d6913be2b9f5</TermId>
        </TermInfo>
        <TermInfo xmlns="http://schemas.microsoft.com/office/infopath/2007/PartnerControls">
          <TermName xmlns="http://schemas.microsoft.com/office/infopath/2007/PartnerControls">SUGEVAL - Despacho</TermName>
          <TermId xmlns="http://schemas.microsoft.com/office/infopath/2007/PartnerControls">f5550e5c-41ee-4485-b696-5c4b6fa6dc08</TermId>
        </TermInfo>
        <TermInfo xmlns="http://schemas.microsoft.com/office/infopath/2007/PartnerControls">
          <TermName xmlns="http://schemas.microsoft.com/office/infopath/2007/PartnerControls">SUPEN</TermName>
          <TermId xmlns="http://schemas.microsoft.com/office/infopath/2007/PartnerControls">9d5f5258-19b9-49f7-872c-75948bc19861</TermId>
        </TermInfo>
      </Term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Inscripción Reglamento Acuerdo SUGEF 11-18 a las entidades supervisadas</Subject1>
    <Entrante_x0020_relacionado xmlns="b875e23b-67d9-4b2e-bdec-edacbf90b326">
      <Url xsi:nil="true"/>
      <Description xsi:nil="true"/>
    </Entrante_x0020_relacionado>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89CE0913-C28A-482F-BB12-5706CBE8A9B9}"/>
</file>

<file path=customXml/itemProps3.xml><?xml version="1.0" encoding="utf-8"?>
<ds:datastoreItem xmlns:ds="http://schemas.openxmlformats.org/officeDocument/2006/customXml" ds:itemID="{79767354-C28E-4D3C-AA00-0BFF102B14FC}"/>
</file>

<file path=customXml/itemProps4.xml><?xml version="1.0" encoding="utf-8"?>
<ds:datastoreItem xmlns:ds="http://schemas.openxmlformats.org/officeDocument/2006/customXml" ds:itemID="{575C202B-E807-4F1B-B042-70BA85D5B185}"/>
</file>

<file path=customXml/itemProps5.xml><?xml version="1.0" encoding="utf-8"?>
<ds:datastoreItem xmlns:ds="http://schemas.openxmlformats.org/officeDocument/2006/customXml" ds:itemID="{283BF82E-1A70-4392-8CF2-7DEAFF1953AE}"/>
</file>

<file path=customXml/itemProps6.xml><?xml version="1.0" encoding="utf-8"?>
<ds:datastoreItem xmlns:ds="http://schemas.openxmlformats.org/officeDocument/2006/customXml" ds:itemID="{BDB3C1AB-8FF0-425D-A6C2-99DDD57139F5}"/>
</file>

<file path=docProps/app.xml><?xml version="1.0" encoding="utf-8"?>
<Properties xmlns="http://schemas.openxmlformats.org/officeDocument/2006/extended-properties" xmlns:vt="http://schemas.openxmlformats.org/officeDocument/2006/docPropsVTypes">
  <Template>plantilla-SGF-ACL-13-E.dotm</Template>
  <TotalTime>142</TotalTime>
  <Pages>3</Pages>
  <Words>981</Words>
  <Characters>5396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Celenia Solera Quesada</dc:creator>
  <cp:lastModifiedBy>Alejandra Arias Alfaro</cp:lastModifiedBy>
  <cp:revision>34</cp:revision>
  <cp:lastPrinted>2015-07-30T22:36:00Z</cp:lastPrinted>
  <dcterms:created xsi:type="dcterms:W3CDTF">2018-11-08T17:29:00Z</dcterms:created>
  <dcterms:modified xsi:type="dcterms:W3CDTF">2018-11-19T19:25:00Z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426;#Circular|a95dd0af-ef18-4305-9c8d-aa79141c6059</vt:lpwstr>
  </property>
  <property fmtid="{D5CDD505-2E9C-101B-9397-08002B2CF9AE}" pid="7" name="Unidad de Destino">
    <vt:lpwstr>98;#SUGESE - Despacho|669bcd6e-2e10-45a5-b148-d6913be2b9f5;#116;#SUGEVAL - Despacho|f5550e5c-41ee-4485-b696-5c4b6fa6dc08;#125;#SUPEN|9d5f5258-19b9-49f7-872c-75948bc19861</vt:lpwstr>
  </property>
  <property fmtid="{D5CDD505-2E9C-101B-9397-08002B2CF9AE}" pid="8" name="Disponibilidad">
    <vt:lpwstr>3;#Media|3f3debfe-f918-4d91-ad3c-df12ce43024d</vt:lpwstr>
  </property>
  <property fmtid="{D5CDD505-2E9C-101B-9397-08002B2CF9AE}" pid="9" name="Confidencialidad1">
    <vt:lpwstr>127;#Propietario|172cdb65-abed-4947-8339-a6c2477d21bb</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99100</vt:r8>
  </property>
  <property fmtid="{D5CDD505-2E9C-101B-9397-08002B2CF9AE}" pid="14" name="Confidencialidad">
    <vt:lpwstr>Propietario|172cdb65-abed-4947-8339-a6c2477d21bb</vt:lpwstr>
  </property>
  <property fmtid="{D5CDD505-2E9C-101B-9397-08002B2CF9AE}" pid="15" name="WorkflowChangePath">
    <vt:lpwstr>d6c6aed4-e342-4faf-a234-cd9a4f593e49,4;cb1954ac-0595-4038-a807-eb26625a3b7c,7;cb1954ac-0595-4038-a807-eb26625a3b7c,7;</vt:lpwstr>
  </property>
</Properties>
</file>