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1588" w:rsidP="005C1588" w:rsidRDefault="005C1588" w14:paraId="2F3CD6FE" w14:textId="3318EE55">
      <w:pPr>
        <w:pStyle w:val="Texto"/>
        <w:spacing w:before="0" w:after="0" w:line="240" w:lineRule="auto"/>
        <w:jc w:val="center"/>
        <w:rPr>
          <w:sz w:val="24"/>
        </w:rPr>
      </w:pPr>
      <w:r>
        <w:rPr>
          <w:sz w:val="24"/>
        </w:rPr>
        <w:t>Circular Externa</w:t>
      </w:r>
    </w:p>
    <w:p w:rsidRPr="002E2B0A" w:rsidR="006972C9" w:rsidP="005C1588" w:rsidRDefault="00640782" w14:paraId="738BF3E4" w14:textId="5FEAF66A">
      <w:pPr>
        <w:pStyle w:val="Texto"/>
        <w:spacing w:before="0" w:after="0" w:line="240" w:lineRule="auto"/>
        <w:jc w:val="center"/>
        <w:rPr>
          <w:sz w:val="24"/>
        </w:rPr>
      </w:pPr>
      <w:r>
        <w:rPr>
          <w:sz w:val="24"/>
        </w:rPr>
        <w:t>1</w:t>
      </w:r>
      <w:r w:rsidR="00FB5CF1">
        <w:rPr>
          <w:sz w:val="24"/>
        </w:rPr>
        <w:t>3</w:t>
      </w:r>
      <w:r w:rsidRPr="002E2B0A" w:rsidR="006972C9">
        <w:rPr>
          <w:sz w:val="24"/>
        </w:rPr>
        <w:t xml:space="preserve"> de </w:t>
      </w:r>
      <w:r>
        <w:rPr>
          <w:sz w:val="24"/>
        </w:rPr>
        <w:t>diciembre</w:t>
      </w:r>
      <w:r w:rsidRPr="002E2B0A" w:rsidR="006972C9">
        <w:rPr>
          <w:sz w:val="24"/>
        </w:rPr>
        <w:t xml:space="preserve"> de </w:t>
      </w:r>
      <w:r>
        <w:rPr>
          <w:sz w:val="24"/>
        </w:rPr>
        <w:t>2021</w:t>
      </w:r>
    </w:p>
    <w:sdt>
      <w:sdtPr>
        <w:rPr>
          <w:sz w:val="24"/>
        </w:rPr>
        <w:alias w:val="Consecutivo"/>
        <w:tag w:val="Consecutivo"/>
        <w:id w:val="2052717023"/>
        <w:placeholder>
          <w:docPart w:val="1C913AFC14C6429D9EA2C21589A8480F"/>
        </w:placeholder>
        <w:text/>
      </w:sdtPr>
      <w:sdtEndPr/>
      <w:sdtContent>
        <w:p w:rsidR="006972C9" w:rsidP="005C1588" w:rsidRDefault="006972C9" w14:paraId="5B186225" w14:textId="77777777">
          <w:pPr>
            <w:tabs>
              <w:tab w:val="left" w:pos="2843"/>
            </w:tabs>
            <w:spacing w:line="240" w:lineRule="auto"/>
            <w:jc w:val="center"/>
            <w:rPr>
              <w:sz w:val="24"/>
            </w:rPr>
          </w:pPr>
          <w:r>
            <w:t>SGF-3430-2021</w:t>
          </w:r>
        </w:p>
      </w:sdtContent>
    </w:sdt>
    <w:p w:rsidR="006972C9" w:rsidP="005C1588" w:rsidRDefault="00FB5CF1" w14:paraId="517A0A12" w14:textId="58797B15">
      <w:pPr>
        <w:tabs>
          <w:tab w:val="left" w:pos="2843"/>
        </w:tabs>
        <w:spacing w:line="240" w:lineRule="auto"/>
        <w:jc w:val="center"/>
        <w:rPr>
          <w:sz w:val="24"/>
        </w:rPr>
      </w:pPr>
      <w:sdt>
        <w:sdtPr>
          <w:rPr>
            <w:sz w:val="24"/>
          </w:rPr>
          <w:alias w:val="Confidencialidad"/>
          <w:tag w:val="Confidencialidad"/>
          <w:id w:val="1447896894"/>
          <w:placeholder>
            <w:docPart w:val="3FE282957379483FBB1B537121326ABB"/>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5C1588">
            <w:rPr>
              <w:sz w:val="24"/>
            </w:rPr>
            <w:t>SGF-PUBLICO</w:t>
          </w:r>
        </w:sdtContent>
      </w:sdt>
    </w:p>
    <w:p w:rsidRPr="002E2B0A" w:rsidR="006972C9" w:rsidP="006972C9" w:rsidRDefault="006972C9" w14:paraId="51E12C34" w14:textId="77777777">
      <w:pPr>
        <w:tabs>
          <w:tab w:val="left" w:pos="2843"/>
        </w:tabs>
        <w:spacing w:line="240" w:lineRule="auto"/>
        <w:rPr>
          <w:sz w:val="24"/>
        </w:rPr>
      </w:pPr>
      <w:r w:rsidRPr="002E2B0A">
        <w:rPr>
          <w:sz w:val="24"/>
        </w:rPr>
        <w:tab/>
      </w:r>
    </w:p>
    <w:p w:rsidRPr="005C1588" w:rsidR="005C1588" w:rsidP="005C1588" w:rsidRDefault="005C1588" w14:paraId="7102CC03" w14:textId="77777777">
      <w:pPr>
        <w:spacing w:line="240" w:lineRule="auto"/>
        <w:jc w:val="left"/>
        <w:rPr>
          <w:rFonts w:eastAsia="Calibri"/>
          <w:b/>
          <w:szCs w:val="22"/>
          <w:lang w:val="es-CR"/>
        </w:rPr>
      </w:pPr>
      <w:r w:rsidRPr="005C1588">
        <w:rPr>
          <w:rFonts w:eastAsia="Calibri"/>
          <w:b/>
          <w:szCs w:val="22"/>
          <w:lang w:val="es-CR"/>
        </w:rPr>
        <w:t xml:space="preserve">Dirigida a: </w:t>
      </w:r>
    </w:p>
    <w:p w:rsidRPr="005C1588" w:rsidR="005C1588" w:rsidP="005C1588" w:rsidRDefault="005C1588" w14:paraId="135982B5" w14:textId="77777777">
      <w:pPr>
        <w:spacing w:line="240" w:lineRule="auto"/>
        <w:jc w:val="left"/>
        <w:rPr>
          <w:rFonts w:eastAsia="Calibri"/>
          <w:b/>
          <w:szCs w:val="22"/>
          <w:lang w:val="es-CR"/>
        </w:rPr>
      </w:pPr>
    </w:p>
    <w:p w:rsidRPr="005C1588" w:rsidR="005C1588" w:rsidP="005C1588" w:rsidRDefault="005C1588" w14:paraId="6BF817B8" w14:textId="77777777">
      <w:pPr>
        <w:numPr>
          <w:ilvl w:val="0"/>
          <w:numId w:val="5"/>
        </w:numPr>
        <w:spacing w:after="160" w:line="240" w:lineRule="auto"/>
        <w:jc w:val="left"/>
        <w:rPr>
          <w:rFonts w:eastAsia="Calibri"/>
          <w:b/>
          <w:szCs w:val="22"/>
          <w:lang w:val="es-CR"/>
        </w:rPr>
      </w:pPr>
      <w:r w:rsidRPr="005C1588">
        <w:rPr>
          <w:rFonts w:eastAsia="Calibri"/>
          <w:b/>
          <w:szCs w:val="22"/>
          <w:lang w:val="es-CR"/>
        </w:rPr>
        <w:t>Organizaciones Cooperativas de Ahorro y Crédito</w:t>
      </w:r>
    </w:p>
    <w:p w:rsidRPr="005C1588" w:rsidR="005C1588" w:rsidP="005C1588" w:rsidRDefault="005C1588" w14:paraId="27B2D000" w14:textId="77777777">
      <w:pPr>
        <w:numPr>
          <w:ilvl w:val="0"/>
          <w:numId w:val="5"/>
        </w:numPr>
        <w:spacing w:after="160" w:line="240" w:lineRule="auto"/>
        <w:jc w:val="left"/>
        <w:rPr>
          <w:rFonts w:eastAsia="Calibri"/>
          <w:b/>
          <w:szCs w:val="22"/>
          <w:lang w:val="es-CR"/>
        </w:rPr>
      </w:pPr>
      <w:r w:rsidRPr="005C1588">
        <w:rPr>
          <w:rFonts w:eastAsia="Calibri"/>
          <w:b/>
          <w:szCs w:val="22"/>
          <w:lang w:val="es-CR"/>
        </w:rPr>
        <w:t>Banco Popular y de Desarrollo Comunal</w:t>
      </w:r>
    </w:p>
    <w:p w:rsidRPr="005C1588" w:rsidR="005C1588" w:rsidP="005C1588" w:rsidRDefault="005C1588" w14:paraId="11E2680B" w14:textId="77777777">
      <w:pPr>
        <w:spacing w:line="240" w:lineRule="auto"/>
        <w:rPr>
          <w:rFonts w:eastAsia="Calibri"/>
          <w:b/>
          <w:szCs w:val="22"/>
          <w:lang w:val="es-CR"/>
        </w:rPr>
      </w:pPr>
    </w:p>
    <w:p w:rsidRPr="005C1588" w:rsidR="005C1588" w:rsidP="005C1588" w:rsidRDefault="005C1588" w14:paraId="35BE31E2" w14:textId="77777777">
      <w:pPr>
        <w:spacing w:line="240" w:lineRule="auto"/>
        <w:rPr>
          <w:rFonts w:eastAsia="Calibri"/>
          <w:szCs w:val="22"/>
          <w:lang w:val="es-CR"/>
        </w:rPr>
      </w:pPr>
      <w:r w:rsidRPr="005C1588">
        <w:rPr>
          <w:rFonts w:eastAsia="Calibri"/>
          <w:b/>
          <w:szCs w:val="22"/>
          <w:lang w:val="es-CR"/>
        </w:rPr>
        <w:t>Asunto:</w:t>
      </w:r>
      <w:r w:rsidRPr="005C1588">
        <w:rPr>
          <w:rFonts w:eastAsia="Calibri"/>
          <w:szCs w:val="22"/>
          <w:lang w:val="es-CR"/>
        </w:rPr>
        <w:t xml:space="preserve"> Solicitud de información para ser enviada al Fondo de Garantía de Depósitos.</w:t>
      </w:r>
    </w:p>
    <w:p w:rsidRPr="005C1588" w:rsidR="005C1588" w:rsidP="005C1588" w:rsidRDefault="005C1588" w14:paraId="5C8C744E" w14:textId="77777777">
      <w:pPr>
        <w:spacing w:line="240" w:lineRule="auto"/>
        <w:rPr>
          <w:rFonts w:eastAsia="Calibri"/>
          <w:szCs w:val="22"/>
          <w:lang w:val="es-CR"/>
        </w:rPr>
      </w:pPr>
    </w:p>
    <w:p w:rsidRPr="005C1588" w:rsidR="005C1588" w:rsidP="005C1588" w:rsidRDefault="005C1588" w14:paraId="1356BFF0" w14:textId="77777777">
      <w:pPr>
        <w:spacing w:line="240" w:lineRule="auto"/>
        <w:jc w:val="left"/>
        <w:rPr>
          <w:rFonts w:eastAsia="Calibri"/>
          <w:szCs w:val="22"/>
          <w:lang w:val="es-CR"/>
        </w:rPr>
      </w:pPr>
      <w:r w:rsidRPr="005C1588">
        <w:rPr>
          <w:rFonts w:eastAsia="Calibri"/>
          <w:szCs w:val="22"/>
          <w:lang w:val="es-CR"/>
        </w:rPr>
        <w:t>La Superintendente General de Entidades Financieras:</w:t>
      </w:r>
    </w:p>
    <w:p w:rsidRPr="005C1588" w:rsidR="005C1588" w:rsidP="005C1588" w:rsidRDefault="005C1588" w14:paraId="020E0760" w14:textId="77777777">
      <w:pPr>
        <w:spacing w:line="240" w:lineRule="auto"/>
        <w:jc w:val="left"/>
        <w:rPr>
          <w:rFonts w:eastAsia="Calibri"/>
          <w:b/>
          <w:bCs/>
          <w:szCs w:val="22"/>
          <w:lang w:val="es-CR"/>
        </w:rPr>
      </w:pPr>
    </w:p>
    <w:p w:rsidRPr="005C1588" w:rsidR="005C1588" w:rsidP="005C1588" w:rsidRDefault="005C1588" w14:paraId="6F3D8F4A" w14:textId="77777777">
      <w:pPr>
        <w:spacing w:line="240" w:lineRule="auto"/>
        <w:jc w:val="left"/>
        <w:rPr>
          <w:rFonts w:eastAsia="Calibri"/>
          <w:b/>
          <w:bCs/>
          <w:szCs w:val="22"/>
          <w:lang w:val="es-CR"/>
        </w:rPr>
      </w:pPr>
    </w:p>
    <w:p w:rsidRPr="005C1588" w:rsidR="005C1588" w:rsidP="005C1588" w:rsidRDefault="005C1588" w14:paraId="27AF0A8A" w14:textId="77777777">
      <w:pPr>
        <w:spacing w:line="240" w:lineRule="auto"/>
        <w:jc w:val="left"/>
        <w:rPr>
          <w:rFonts w:eastAsia="Calibri"/>
          <w:b/>
          <w:bCs/>
          <w:szCs w:val="22"/>
          <w:lang w:val="es-CR"/>
        </w:rPr>
      </w:pPr>
      <w:r w:rsidRPr="005C1588">
        <w:rPr>
          <w:rFonts w:eastAsia="Calibri"/>
          <w:b/>
          <w:bCs/>
          <w:szCs w:val="22"/>
          <w:lang w:val="es-CR"/>
        </w:rPr>
        <w:t>Considerando que:</w:t>
      </w:r>
    </w:p>
    <w:p w:rsidRPr="005C1588" w:rsidR="005C1588" w:rsidP="005C1588" w:rsidRDefault="005C1588" w14:paraId="013415E5" w14:textId="77777777">
      <w:pPr>
        <w:autoSpaceDE w:val="0"/>
        <w:autoSpaceDN w:val="0"/>
        <w:adjustRightInd w:val="0"/>
        <w:spacing w:line="240" w:lineRule="auto"/>
        <w:rPr>
          <w:rFonts w:eastAsia="Calibri"/>
          <w:szCs w:val="22"/>
          <w:lang w:val="es-CR"/>
        </w:rPr>
      </w:pPr>
    </w:p>
    <w:p w:rsidRPr="005C1588" w:rsidR="005C1588" w:rsidP="005C1588" w:rsidRDefault="005C1588" w14:paraId="4638A9CA" w14:textId="33404367">
      <w:pPr>
        <w:numPr>
          <w:ilvl w:val="0"/>
          <w:numId w:val="4"/>
        </w:numPr>
        <w:autoSpaceDE w:val="0"/>
        <w:autoSpaceDN w:val="0"/>
        <w:adjustRightInd w:val="0"/>
        <w:spacing w:after="160" w:line="240" w:lineRule="auto"/>
        <w:contextualSpacing/>
        <w:rPr>
          <w:rFonts w:eastAsia="Calibri"/>
          <w:szCs w:val="22"/>
          <w:lang w:val="es-CR"/>
        </w:rPr>
      </w:pPr>
      <w:r w:rsidRPr="005C1588">
        <w:rPr>
          <w:rFonts w:eastAsia="Calibri"/>
          <w:szCs w:val="22"/>
          <w:lang w:val="es-CR"/>
        </w:rPr>
        <w:t xml:space="preserve">El transitorio II de la </w:t>
      </w:r>
      <w:r w:rsidRPr="005C1588">
        <w:rPr>
          <w:rFonts w:eastAsia="Calibri"/>
          <w:i/>
          <w:iCs/>
          <w:szCs w:val="22"/>
          <w:lang w:val="es-CR"/>
        </w:rPr>
        <w:t>Ley de creación del Fondo de Garantía de Depósitos y de mecanismos de resolución de los intermediarios financieros”</w:t>
      </w:r>
      <w:r w:rsidRPr="005C1588">
        <w:rPr>
          <w:rFonts w:eastAsia="Calibri"/>
          <w:szCs w:val="22"/>
          <w:lang w:val="es-CR"/>
        </w:rPr>
        <w:t xml:space="preserve">, Ley N° 9816 publicada en febrero del 2020, determinó que </w:t>
      </w:r>
      <w:r w:rsidRPr="005C1588">
        <w:rPr>
          <w:rFonts w:eastAsia="Calibri"/>
          <w:szCs w:val="22"/>
        </w:rPr>
        <w:t xml:space="preserve">el Consejo Nacional de Supervisión del Sistema Financiero (Conassif) contaría con un plazo máximo de un año, desde la entrada en vigor de la presente ley, para emitir su reglamentación. </w:t>
      </w:r>
      <w:r w:rsidRPr="005C1588">
        <w:rPr>
          <w:rFonts w:eastAsia="Calibri"/>
          <w:szCs w:val="22"/>
          <w:lang w:val="es-CR"/>
        </w:rPr>
        <w:t>Esa reglamentación fue aprobada por el Conassif en enero del 2021 y fue divulgada en febrero del 2021.</w:t>
      </w:r>
    </w:p>
    <w:p w:rsidRPr="005C1588" w:rsidR="005C1588" w:rsidP="005C1588" w:rsidRDefault="005C1588" w14:paraId="06D67BAF" w14:textId="77777777">
      <w:pPr>
        <w:autoSpaceDE w:val="0"/>
        <w:autoSpaceDN w:val="0"/>
        <w:adjustRightInd w:val="0"/>
        <w:spacing w:after="160" w:line="240" w:lineRule="auto"/>
        <w:ind w:left="1080"/>
        <w:contextualSpacing/>
        <w:rPr>
          <w:rFonts w:eastAsia="Calibri"/>
          <w:szCs w:val="22"/>
          <w:lang w:val="es-CR"/>
        </w:rPr>
      </w:pPr>
    </w:p>
    <w:p w:rsidRPr="005C1588" w:rsidR="005C1588" w:rsidP="005C1588" w:rsidRDefault="005C1588" w14:paraId="6D53AA95" w14:textId="77777777">
      <w:pPr>
        <w:numPr>
          <w:ilvl w:val="0"/>
          <w:numId w:val="4"/>
        </w:numPr>
        <w:autoSpaceDE w:val="0"/>
        <w:autoSpaceDN w:val="0"/>
        <w:adjustRightInd w:val="0"/>
        <w:spacing w:after="160" w:line="240" w:lineRule="auto"/>
        <w:contextualSpacing/>
        <w:rPr>
          <w:rFonts w:eastAsia="Calibri"/>
          <w:szCs w:val="22"/>
          <w:lang w:val="es-CR"/>
        </w:rPr>
      </w:pPr>
      <w:r w:rsidRPr="005C1588">
        <w:rPr>
          <w:rFonts w:eastAsia="Calibri"/>
          <w:szCs w:val="22"/>
          <w:lang w:val="es-CR"/>
        </w:rPr>
        <w:t>El artículo 16 de la Ley N° 9816 estipula que una porción equivalente al 2% del total de los pasivos sujetos a encaje o a reserva de liquidez de las entidades contribuyentes, según corresponda, porcentaje que sería tomado de los requerimientos establecidos para esos regímenes; será considerado como garantía para el Fondo de Garantía de Depósitos (FGD) y se utilizarán para cubrir los depósitos garantizados o apoyar el proceso de resolución, hasta por el monto del faltante, cuando los demás recursos del respectivo compartimento del FGD sean insuficientes para ello.</w:t>
      </w:r>
    </w:p>
    <w:p w:rsidRPr="005C1588" w:rsidR="005C1588" w:rsidP="005C1588" w:rsidRDefault="005C1588" w14:paraId="3DC4174E" w14:textId="77777777">
      <w:pPr>
        <w:autoSpaceDE w:val="0"/>
        <w:autoSpaceDN w:val="0"/>
        <w:adjustRightInd w:val="0"/>
        <w:spacing w:after="160" w:line="240" w:lineRule="auto"/>
        <w:ind w:left="1080"/>
        <w:contextualSpacing/>
        <w:rPr>
          <w:rFonts w:eastAsia="Calibri"/>
          <w:szCs w:val="22"/>
          <w:lang w:val="es-CR"/>
        </w:rPr>
      </w:pPr>
    </w:p>
    <w:p w:rsidRPr="005C1588" w:rsidR="005C1588" w:rsidP="005C1588" w:rsidRDefault="005C1588" w14:paraId="26BEEADF" w14:textId="77777777">
      <w:pPr>
        <w:numPr>
          <w:ilvl w:val="0"/>
          <w:numId w:val="4"/>
        </w:numPr>
        <w:autoSpaceDE w:val="0"/>
        <w:autoSpaceDN w:val="0"/>
        <w:adjustRightInd w:val="0"/>
        <w:spacing w:after="160" w:line="240" w:lineRule="auto"/>
        <w:contextualSpacing/>
        <w:rPr>
          <w:rFonts w:eastAsia="Calibri"/>
          <w:szCs w:val="22"/>
          <w:lang w:val="es-CR"/>
        </w:rPr>
      </w:pPr>
      <w:r w:rsidRPr="005C1588">
        <w:rPr>
          <w:rFonts w:eastAsia="Calibri"/>
          <w:szCs w:val="22"/>
        </w:rPr>
        <w:t>Esa misma norma legal dispuso que para hacer líquidos los recursos de esa garantía, las entidades sujetas a la reserva de liquidez deberán mantener, en el Fideicomiso de Garantías del Sistema de Pagos del Banco Central, valores y depósitos por una cuantía equivalente al dos por ciento (2%) de los pasivos sujetos a la reserva de liquidez.</w:t>
      </w:r>
    </w:p>
    <w:p w:rsidRPr="005C1588" w:rsidR="005C1588" w:rsidP="005C1588" w:rsidRDefault="005C1588" w14:paraId="05453732" w14:textId="77777777">
      <w:pPr>
        <w:autoSpaceDE w:val="0"/>
        <w:autoSpaceDN w:val="0"/>
        <w:adjustRightInd w:val="0"/>
        <w:spacing w:line="240" w:lineRule="auto"/>
        <w:ind w:left="1080"/>
        <w:contextualSpacing/>
        <w:rPr>
          <w:rFonts w:eastAsia="Calibri"/>
          <w:szCs w:val="22"/>
          <w:lang w:val="es-CR"/>
        </w:rPr>
      </w:pPr>
    </w:p>
    <w:p w:rsidRPr="005C1588" w:rsidR="005C1588" w:rsidP="005C1588" w:rsidRDefault="005C1588" w14:paraId="4B6325E5" w14:textId="77777777">
      <w:pPr>
        <w:numPr>
          <w:ilvl w:val="0"/>
          <w:numId w:val="4"/>
        </w:numPr>
        <w:autoSpaceDE w:val="0"/>
        <w:autoSpaceDN w:val="0"/>
        <w:adjustRightInd w:val="0"/>
        <w:spacing w:after="160" w:line="240" w:lineRule="auto"/>
        <w:contextualSpacing/>
        <w:rPr>
          <w:rFonts w:eastAsia="Calibri"/>
          <w:szCs w:val="22"/>
          <w:lang w:val="es-CR"/>
        </w:rPr>
      </w:pPr>
      <w:r w:rsidRPr="005C1588">
        <w:rPr>
          <w:rFonts w:eastAsia="Calibri"/>
          <w:szCs w:val="22"/>
          <w:lang w:val="es-CR"/>
        </w:rPr>
        <w:t xml:space="preserve">También, en dicho artículo indicado supra, se dispone que el Banco Popular de Desarrollo Comunal, adicionalmente, trasladará al Fideicomiso de Garantías del Sistema de Pagos del Banco Central, valores de la mejor calidad crediticia por un monto equivalente al 2% del total de sus depósitos y captaciones, exceptuando los depósitos en cuenta corriente que están sujetos a encaje, por lo que para éstos últimos estarían sujetos al 2% de su importe para fines de la garantía supracitada al FGD, porcentaje considerado de su encaje mínimo legal. No obstante, ese Banco </w:t>
      </w:r>
      <w:r w:rsidRPr="005C1588">
        <w:rPr>
          <w:rFonts w:eastAsia="Calibri"/>
          <w:szCs w:val="22"/>
          <w:lang w:val="es-CR"/>
        </w:rPr>
        <w:lastRenderedPageBreak/>
        <w:t xml:space="preserve">tendrá 24 meses para constituir esa garantía, conforme al transitorio I del </w:t>
      </w:r>
      <w:r w:rsidRPr="005C1588">
        <w:rPr>
          <w:rFonts w:eastAsia="Calibri"/>
          <w:i/>
          <w:szCs w:val="22"/>
          <w:lang w:val="es-CR"/>
        </w:rPr>
        <w:t>Reglamento de Gestión del Fondo de Garantía de Depósitos (FGD) y de otros Fondos de Garantía (OFG)</w:t>
      </w:r>
      <w:r w:rsidRPr="005C1588">
        <w:rPr>
          <w:rFonts w:eastAsia="Calibri"/>
          <w:szCs w:val="22"/>
          <w:lang w:val="es-CR"/>
        </w:rPr>
        <w:t>, el cual se fundamenta en los transitorios I y III de la Ley N° 9816.</w:t>
      </w:r>
    </w:p>
    <w:p w:rsidRPr="005C1588" w:rsidR="005C1588" w:rsidP="005C1588" w:rsidRDefault="005C1588" w14:paraId="35B1ACE4" w14:textId="77777777">
      <w:pPr>
        <w:numPr>
          <w:ilvl w:val="0"/>
          <w:numId w:val="4"/>
        </w:numPr>
        <w:spacing w:line="240" w:lineRule="auto"/>
        <w:contextualSpacing/>
        <w:rPr>
          <w:rFonts w:eastAsia="Calibri"/>
          <w:i/>
          <w:iCs/>
          <w:szCs w:val="22"/>
          <w:lang w:val="es-CR"/>
        </w:rPr>
      </w:pPr>
      <w:r w:rsidRPr="005C1588">
        <w:rPr>
          <w:rFonts w:eastAsia="Calibri"/>
          <w:szCs w:val="22"/>
          <w:lang w:val="es-CR"/>
        </w:rPr>
        <w:t xml:space="preserve">El 22 de junio de 2021 se emite la circular externa SGF 1708-2021 sobre las directrices para el cumplimiento del artículo 16 </w:t>
      </w:r>
      <w:r w:rsidRPr="005C1588">
        <w:rPr>
          <w:rFonts w:eastAsia="Calibri"/>
          <w:i/>
          <w:iCs/>
          <w:szCs w:val="22"/>
          <w:lang w:val="es-CR"/>
        </w:rPr>
        <w:t xml:space="preserve">“Uso contingente de los recursos del encaje mínimo legal y de la reserva de liquidez para financiar el Fondo de Garantías de Depósitos” </w:t>
      </w:r>
      <w:r w:rsidRPr="005C1588">
        <w:rPr>
          <w:rFonts w:eastAsia="Calibri"/>
          <w:szCs w:val="22"/>
          <w:lang w:val="es-CR"/>
        </w:rPr>
        <w:t>de la Ley N °9816 por parte de las entidades contribuyentes.</w:t>
      </w:r>
    </w:p>
    <w:p w:rsidRPr="005C1588" w:rsidR="005C1588" w:rsidP="005C1588" w:rsidRDefault="005C1588" w14:paraId="7C42737A" w14:textId="77777777">
      <w:pPr>
        <w:ind w:left="720"/>
        <w:contextualSpacing/>
        <w:rPr>
          <w:rFonts w:eastAsia="Calibri"/>
          <w:szCs w:val="22"/>
          <w:lang w:val="es-CR"/>
        </w:rPr>
      </w:pPr>
    </w:p>
    <w:p w:rsidRPr="005C1588" w:rsidR="005C1588" w:rsidP="005C1588" w:rsidRDefault="005C1588" w14:paraId="1C55088F" w14:textId="77777777">
      <w:pPr>
        <w:numPr>
          <w:ilvl w:val="0"/>
          <w:numId w:val="4"/>
        </w:numPr>
        <w:spacing w:line="240" w:lineRule="auto"/>
        <w:contextualSpacing/>
        <w:rPr>
          <w:rFonts w:eastAsia="Calibri"/>
          <w:i/>
          <w:iCs/>
          <w:szCs w:val="22"/>
          <w:lang w:val="es-CR"/>
        </w:rPr>
      </w:pPr>
      <w:r w:rsidRPr="005C1588">
        <w:rPr>
          <w:rFonts w:eastAsia="Calibri"/>
          <w:szCs w:val="22"/>
          <w:lang w:val="es-CR"/>
        </w:rPr>
        <w:t>El 1° de julio de 2021 se emana la circular externa SGF 1816-2021</w:t>
      </w:r>
      <w:r w:rsidRPr="005C1588">
        <w:t xml:space="preserve"> </w:t>
      </w:r>
      <w:r w:rsidRPr="005C1588">
        <w:rPr>
          <w:i/>
          <w:iCs/>
        </w:rPr>
        <w:t xml:space="preserve">Aclaración de los puntos 1, 3 y 7 de la circular externa SGF-1708-2021 </w:t>
      </w:r>
      <w:r w:rsidRPr="005C1588">
        <w:rPr>
          <w:rFonts w:eastAsia="Calibri"/>
          <w:i/>
          <w:iCs/>
          <w:szCs w:val="22"/>
          <w:lang w:val="es-CR"/>
        </w:rPr>
        <w:t>Directrices para el cumplimiento del artículo 16 “Uso contingente de los recursos del encaje mínimo legal y de la reserva de liquidez para financiar el Fondo de Garantías de Depósitos” de la Ley N °9816 por parte de las entidades contribuyentes.</w:t>
      </w:r>
    </w:p>
    <w:p w:rsidRPr="005C1588" w:rsidR="005C1588" w:rsidP="005C1588" w:rsidRDefault="005C1588" w14:paraId="05360588" w14:textId="77777777">
      <w:pPr>
        <w:ind w:left="720"/>
        <w:contextualSpacing/>
        <w:rPr>
          <w:rFonts w:eastAsia="Calibri"/>
          <w:i/>
          <w:iCs/>
          <w:szCs w:val="22"/>
          <w:lang w:val="es-CR"/>
        </w:rPr>
      </w:pPr>
    </w:p>
    <w:p w:rsidRPr="005C1588" w:rsidR="005C1588" w:rsidP="005C1588" w:rsidRDefault="005C1588" w14:paraId="047EF300" w14:textId="47E617CA">
      <w:pPr>
        <w:numPr>
          <w:ilvl w:val="0"/>
          <w:numId w:val="4"/>
        </w:numPr>
        <w:spacing w:line="240" w:lineRule="auto"/>
        <w:contextualSpacing/>
        <w:rPr>
          <w:rFonts w:eastAsia="Calibri"/>
          <w:i/>
          <w:iCs/>
          <w:szCs w:val="22"/>
          <w:lang w:val="es-CR"/>
        </w:rPr>
      </w:pPr>
      <w:r w:rsidRPr="005C1588">
        <w:rPr>
          <w:rFonts w:eastAsia="Calibri"/>
          <w:szCs w:val="22"/>
          <w:lang w:val="es-CR"/>
        </w:rPr>
        <w:t>El FGD debe disponer de la información necesaria para controlar efectivamente que</w:t>
      </w:r>
      <w:r>
        <w:rPr>
          <w:rFonts w:eastAsia="Calibri"/>
          <w:szCs w:val="22"/>
          <w:lang w:val="es-CR"/>
        </w:rPr>
        <w:t>,</w:t>
      </w:r>
      <w:r w:rsidRPr="005C1588">
        <w:rPr>
          <w:rFonts w:eastAsia="Calibri"/>
          <w:szCs w:val="22"/>
          <w:lang w:val="es-CR"/>
        </w:rPr>
        <w:t xml:space="preserve"> el valor de los instrumentos financieros que deben depositar las entidades en el Fideicomiso </w:t>
      </w:r>
      <w:r w:rsidRPr="005C1588">
        <w:rPr>
          <w:rFonts w:eastAsia="Calibri"/>
          <w:szCs w:val="22"/>
        </w:rPr>
        <w:t>de Garantías del Sistema de Pagos del Banco Central de Costa Rica</w:t>
      </w:r>
      <w:r>
        <w:rPr>
          <w:rFonts w:eastAsia="Calibri"/>
          <w:szCs w:val="22"/>
        </w:rPr>
        <w:t>,</w:t>
      </w:r>
      <w:r w:rsidRPr="005C1588">
        <w:rPr>
          <w:rFonts w:eastAsia="Calibri"/>
          <w:szCs w:val="22"/>
        </w:rPr>
        <w:t xml:space="preserve"> sea igual o superior al monto del requerimiento legal supracitado.  </w:t>
      </w:r>
    </w:p>
    <w:p w:rsidRPr="005C1588" w:rsidR="005C1588" w:rsidP="005C1588" w:rsidRDefault="005C1588" w14:paraId="153CEA25" w14:textId="77777777">
      <w:pPr>
        <w:ind w:left="720"/>
        <w:contextualSpacing/>
        <w:rPr>
          <w:rFonts w:eastAsia="Calibri"/>
          <w:szCs w:val="22"/>
        </w:rPr>
      </w:pPr>
    </w:p>
    <w:p w:rsidRPr="005C1588" w:rsidR="005C1588" w:rsidP="005C1588" w:rsidRDefault="005C1588" w14:paraId="5CEF482F" w14:textId="77777777">
      <w:pPr>
        <w:autoSpaceDE w:val="0"/>
        <w:autoSpaceDN w:val="0"/>
        <w:adjustRightInd w:val="0"/>
        <w:spacing w:after="160" w:line="240" w:lineRule="auto"/>
        <w:ind w:left="1080"/>
        <w:contextualSpacing/>
        <w:rPr>
          <w:rFonts w:eastAsia="Calibri"/>
          <w:szCs w:val="22"/>
          <w:lang w:val="es-CR"/>
        </w:rPr>
      </w:pPr>
    </w:p>
    <w:p w:rsidRPr="005C1588" w:rsidR="005C1588" w:rsidP="005C1588" w:rsidRDefault="005C1588" w14:paraId="62B11C7F" w14:textId="77777777">
      <w:pPr>
        <w:spacing w:line="240" w:lineRule="auto"/>
        <w:rPr>
          <w:rFonts w:eastAsia="Calibri"/>
          <w:b/>
          <w:bCs/>
          <w:szCs w:val="22"/>
          <w:lang w:val="es-CR"/>
        </w:rPr>
      </w:pPr>
      <w:r w:rsidRPr="005C1588">
        <w:rPr>
          <w:rFonts w:eastAsia="Calibri"/>
          <w:b/>
          <w:bCs/>
          <w:szCs w:val="22"/>
          <w:lang w:val="es-CR"/>
        </w:rPr>
        <w:t>Dispone:</w:t>
      </w:r>
    </w:p>
    <w:p w:rsidRPr="005C1588" w:rsidR="005C1588" w:rsidP="005C1588" w:rsidRDefault="005C1588" w14:paraId="3F9F23C8" w14:textId="77777777">
      <w:pPr>
        <w:spacing w:line="240" w:lineRule="auto"/>
        <w:rPr>
          <w:rFonts w:eastAsia="Calibri"/>
          <w:b/>
          <w:bCs/>
          <w:szCs w:val="22"/>
          <w:lang w:val="es-CR"/>
        </w:rPr>
      </w:pPr>
    </w:p>
    <w:p w:rsidRPr="005C1588" w:rsidR="005C1588" w:rsidP="005C1588" w:rsidRDefault="005C1588" w14:paraId="572C7BDB" w14:textId="77777777">
      <w:pPr>
        <w:numPr>
          <w:ilvl w:val="0"/>
          <w:numId w:val="3"/>
        </w:numPr>
        <w:spacing w:after="160" w:line="240" w:lineRule="auto"/>
        <w:contextualSpacing/>
        <w:rPr>
          <w:rFonts w:eastAsia="Calibri"/>
          <w:szCs w:val="22"/>
          <w:lang w:val="es-CR"/>
        </w:rPr>
      </w:pPr>
      <w:r w:rsidRPr="005C1588">
        <w:rPr>
          <w:rFonts w:eastAsia="Calibri"/>
          <w:szCs w:val="22"/>
          <w:lang w:val="es-CR"/>
        </w:rPr>
        <w:t xml:space="preserve">Las entidades contribuyentes sujetas a la reserva de liquidez deberán enviar al FGD, dentro de los primeros diez días hábiles al cierre de cada mes, el monto correspondiente al 2% del total de sus pasivos sujetos a reserva de liquidez, tanto en colones como en dólares, conforme al detalle que se indica infra. </w:t>
      </w:r>
    </w:p>
    <w:p w:rsidRPr="005C1588" w:rsidR="005C1588" w:rsidP="005C1588" w:rsidRDefault="005C1588" w14:paraId="60987658" w14:textId="77777777">
      <w:pPr>
        <w:spacing w:after="160" w:line="240" w:lineRule="auto"/>
        <w:contextualSpacing/>
        <w:rPr>
          <w:rFonts w:eastAsia="Calibri"/>
          <w:szCs w:val="22"/>
          <w:lang w:val="es-CR"/>
        </w:rPr>
      </w:pPr>
    </w:p>
    <w:tbl>
      <w:tblPr>
        <w:tblStyle w:val="Tablaconcuadrcula"/>
        <w:tblW w:w="0" w:type="auto"/>
        <w:jc w:val="center"/>
        <w:tblLook w:val="04A0" w:firstRow="1" w:lastRow="0" w:firstColumn="1" w:lastColumn="0" w:noHBand="0" w:noVBand="1"/>
      </w:tblPr>
      <w:tblGrid>
        <w:gridCol w:w="2122"/>
        <w:gridCol w:w="2551"/>
      </w:tblGrid>
      <w:tr w:rsidRPr="005C1588" w:rsidR="005C1588" w:rsidTr="001D505E" w14:paraId="44E31E2D" w14:textId="77777777">
        <w:trPr>
          <w:trHeight w:val="450"/>
          <w:jc w:val="center"/>
        </w:trPr>
        <w:tc>
          <w:tcPr>
            <w:tcW w:w="4673" w:type="dxa"/>
            <w:gridSpan w:val="2"/>
          </w:tcPr>
          <w:p w:rsidRPr="005C1588" w:rsidR="005C1588" w:rsidP="005C1588" w:rsidRDefault="005C1588" w14:paraId="5400FC7D" w14:textId="77777777">
            <w:pPr>
              <w:spacing w:after="160" w:line="240" w:lineRule="auto"/>
              <w:contextualSpacing/>
              <w:jc w:val="center"/>
              <w:rPr>
                <w:rFonts w:eastAsia="Calibri"/>
                <w:b/>
                <w:bCs/>
                <w:szCs w:val="22"/>
                <w:lang w:val="es-CR"/>
              </w:rPr>
            </w:pPr>
            <w:r w:rsidRPr="005C1588">
              <w:rPr>
                <w:rFonts w:eastAsia="Calibri"/>
                <w:b/>
                <w:bCs/>
                <w:szCs w:val="22"/>
                <w:lang w:val="es-CR"/>
              </w:rPr>
              <w:t>2% Pasivos sujetos a la reserva de liquidez</w:t>
            </w:r>
          </w:p>
        </w:tc>
      </w:tr>
      <w:tr w:rsidRPr="005C1588" w:rsidR="005C1588" w:rsidTr="001D505E" w14:paraId="011E098A" w14:textId="77777777">
        <w:trPr>
          <w:trHeight w:val="416"/>
          <w:jc w:val="center"/>
        </w:trPr>
        <w:tc>
          <w:tcPr>
            <w:tcW w:w="2122" w:type="dxa"/>
          </w:tcPr>
          <w:p w:rsidRPr="005C1588" w:rsidR="005C1588" w:rsidP="005C1588" w:rsidRDefault="005C1588" w14:paraId="58098B39" w14:textId="77777777">
            <w:pPr>
              <w:spacing w:after="160" w:line="240" w:lineRule="auto"/>
              <w:contextualSpacing/>
              <w:jc w:val="center"/>
              <w:rPr>
                <w:rFonts w:eastAsia="Calibri"/>
                <w:szCs w:val="22"/>
                <w:lang w:val="es-CR"/>
              </w:rPr>
            </w:pPr>
            <w:r w:rsidRPr="005C1588">
              <w:rPr>
                <w:rFonts w:eastAsia="Calibri"/>
                <w:szCs w:val="22"/>
                <w:lang w:val="es-CR"/>
              </w:rPr>
              <w:t>Colones</w:t>
            </w:r>
          </w:p>
        </w:tc>
        <w:tc>
          <w:tcPr>
            <w:tcW w:w="2551" w:type="dxa"/>
          </w:tcPr>
          <w:p w:rsidRPr="005C1588" w:rsidR="005C1588" w:rsidP="005C1588" w:rsidRDefault="005C1588" w14:paraId="012EF29C" w14:textId="77777777">
            <w:pPr>
              <w:spacing w:after="160" w:line="240" w:lineRule="auto"/>
              <w:contextualSpacing/>
              <w:rPr>
                <w:rFonts w:eastAsia="Calibri"/>
                <w:szCs w:val="22"/>
                <w:lang w:val="es-CR"/>
              </w:rPr>
            </w:pPr>
          </w:p>
        </w:tc>
      </w:tr>
      <w:tr w:rsidRPr="005C1588" w:rsidR="005C1588" w:rsidTr="001D505E" w14:paraId="02ABA65A" w14:textId="77777777">
        <w:trPr>
          <w:trHeight w:val="408"/>
          <w:jc w:val="center"/>
        </w:trPr>
        <w:tc>
          <w:tcPr>
            <w:tcW w:w="2122" w:type="dxa"/>
          </w:tcPr>
          <w:p w:rsidRPr="005C1588" w:rsidR="005C1588" w:rsidP="005C1588" w:rsidRDefault="005C1588" w14:paraId="7860B5D1" w14:textId="77777777">
            <w:pPr>
              <w:spacing w:after="160" w:line="240" w:lineRule="auto"/>
              <w:contextualSpacing/>
              <w:jc w:val="center"/>
              <w:rPr>
                <w:rFonts w:eastAsia="Calibri"/>
                <w:szCs w:val="22"/>
                <w:lang w:val="es-CR"/>
              </w:rPr>
            </w:pPr>
            <w:r w:rsidRPr="005C1588">
              <w:rPr>
                <w:rFonts w:eastAsia="Calibri"/>
                <w:szCs w:val="22"/>
                <w:lang w:val="es-CR"/>
              </w:rPr>
              <w:t>Dólares</w:t>
            </w:r>
          </w:p>
        </w:tc>
        <w:tc>
          <w:tcPr>
            <w:tcW w:w="2551" w:type="dxa"/>
          </w:tcPr>
          <w:p w:rsidRPr="005C1588" w:rsidR="005C1588" w:rsidP="005C1588" w:rsidRDefault="005C1588" w14:paraId="312C1197" w14:textId="77777777">
            <w:pPr>
              <w:spacing w:after="160" w:line="240" w:lineRule="auto"/>
              <w:contextualSpacing/>
              <w:rPr>
                <w:rFonts w:eastAsia="Calibri"/>
                <w:szCs w:val="22"/>
                <w:lang w:val="es-CR"/>
              </w:rPr>
            </w:pPr>
          </w:p>
        </w:tc>
      </w:tr>
    </w:tbl>
    <w:p w:rsidRPr="005C1588" w:rsidR="005C1588" w:rsidP="005C1588" w:rsidRDefault="005C1588" w14:paraId="0E196BAB" w14:textId="77777777">
      <w:pPr>
        <w:spacing w:after="160" w:line="240" w:lineRule="auto"/>
        <w:ind w:left="708"/>
        <w:contextualSpacing/>
        <w:rPr>
          <w:rFonts w:eastAsia="Calibri"/>
          <w:szCs w:val="22"/>
          <w:lang w:val="es-CR"/>
        </w:rPr>
      </w:pPr>
    </w:p>
    <w:p w:rsidRPr="005C1588" w:rsidR="005C1588" w:rsidP="005C1588" w:rsidRDefault="005C1588" w14:paraId="00442F9B" w14:textId="77777777">
      <w:pPr>
        <w:spacing w:after="160" w:line="240" w:lineRule="auto"/>
        <w:ind w:left="708"/>
        <w:contextualSpacing/>
        <w:rPr>
          <w:rFonts w:eastAsia="Calibri"/>
          <w:szCs w:val="22"/>
          <w:lang w:val="es-CR"/>
        </w:rPr>
      </w:pPr>
    </w:p>
    <w:p w:rsidRPr="005C1588" w:rsidR="005C1588" w:rsidP="005C1588" w:rsidRDefault="005C1588" w14:paraId="52E3056E" w14:textId="77777777">
      <w:pPr>
        <w:spacing w:after="160" w:line="240" w:lineRule="auto"/>
        <w:ind w:left="708"/>
        <w:contextualSpacing/>
        <w:rPr>
          <w:rFonts w:eastAsia="Calibri"/>
          <w:szCs w:val="22"/>
          <w:lang w:val="es-CR"/>
        </w:rPr>
      </w:pPr>
      <w:r w:rsidRPr="005C1588">
        <w:rPr>
          <w:rFonts w:eastAsia="Calibri"/>
          <w:szCs w:val="22"/>
          <w:lang w:val="es-CR"/>
        </w:rPr>
        <w:t xml:space="preserve">Adicionalmente, la información con corte al mes de noviembre del 2021 debe ser remitida al FGD, a más tardar, el 20 de diciembre de 2021. </w:t>
      </w:r>
    </w:p>
    <w:p w:rsidRPr="005C1588" w:rsidR="005C1588" w:rsidP="005C1588" w:rsidRDefault="005C1588" w14:paraId="6A5428AC" w14:textId="77777777">
      <w:pPr>
        <w:spacing w:after="160" w:line="240" w:lineRule="auto"/>
        <w:ind w:left="708"/>
        <w:contextualSpacing/>
        <w:rPr>
          <w:rFonts w:eastAsia="Calibri"/>
          <w:szCs w:val="22"/>
          <w:lang w:val="es-CR"/>
        </w:rPr>
      </w:pPr>
    </w:p>
    <w:p w:rsidRPr="005C1588" w:rsidR="005C1588" w:rsidP="005C1588" w:rsidRDefault="005C1588" w14:paraId="39A9434C" w14:textId="77777777">
      <w:pPr>
        <w:numPr>
          <w:ilvl w:val="0"/>
          <w:numId w:val="3"/>
        </w:numPr>
        <w:spacing w:after="160" w:line="240" w:lineRule="auto"/>
        <w:contextualSpacing/>
        <w:rPr>
          <w:rFonts w:eastAsia="Calibri"/>
          <w:szCs w:val="22"/>
          <w:lang w:val="es-CR"/>
        </w:rPr>
      </w:pPr>
      <w:r w:rsidRPr="005C1588">
        <w:rPr>
          <w:rFonts w:eastAsia="Calibri"/>
          <w:szCs w:val="22"/>
          <w:lang w:val="es-CR"/>
        </w:rPr>
        <w:t>Similarmente, el Banco Popular y de Desarrollo Comunal deberá enviar al FGD, en los mismos términos anteriormente citados, el monto respectivo del 2% del total de sus depósitos y captaciones no sujetos a encaje, conforme se indica a continuación:</w:t>
      </w:r>
    </w:p>
    <w:p w:rsidRPr="005C1588" w:rsidR="005C1588" w:rsidP="005C1588" w:rsidRDefault="005C1588" w14:paraId="2D879B45" w14:textId="77777777">
      <w:pPr>
        <w:spacing w:after="160" w:line="240" w:lineRule="auto"/>
        <w:rPr>
          <w:rFonts w:eastAsia="Calibri"/>
          <w:szCs w:val="22"/>
          <w:lang w:val="es-CR"/>
        </w:rPr>
      </w:pPr>
      <w:r w:rsidRPr="005C1588">
        <w:rPr>
          <w:rFonts w:eastAsia="Calibri"/>
          <w:szCs w:val="22"/>
          <w:lang w:val="es-CR"/>
        </w:rPr>
        <w:t xml:space="preserve">  </w:t>
      </w:r>
    </w:p>
    <w:tbl>
      <w:tblPr>
        <w:tblStyle w:val="Tablaconcuadrcula"/>
        <w:tblW w:w="0" w:type="auto"/>
        <w:jc w:val="center"/>
        <w:tblLook w:val="04A0" w:firstRow="1" w:lastRow="0" w:firstColumn="1" w:lastColumn="0" w:noHBand="0" w:noVBand="1"/>
      </w:tblPr>
      <w:tblGrid>
        <w:gridCol w:w="2122"/>
        <w:gridCol w:w="2551"/>
      </w:tblGrid>
      <w:tr w:rsidRPr="005C1588" w:rsidR="005C1588" w:rsidTr="001D505E" w14:paraId="61B5A637" w14:textId="77777777">
        <w:trPr>
          <w:trHeight w:val="450"/>
          <w:jc w:val="center"/>
        </w:trPr>
        <w:tc>
          <w:tcPr>
            <w:tcW w:w="4673" w:type="dxa"/>
            <w:gridSpan w:val="2"/>
          </w:tcPr>
          <w:p w:rsidRPr="005C1588" w:rsidR="005C1588" w:rsidP="005C1588" w:rsidRDefault="005C1588" w14:paraId="465C65AE" w14:textId="77777777">
            <w:pPr>
              <w:spacing w:after="160" w:line="240" w:lineRule="auto"/>
              <w:contextualSpacing/>
              <w:jc w:val="center"/>
              <w:rPr>
                <w:rFonts w:eastAsia="Calibri"/>
                <w:b/>
                <w:bCs/>
                <w:szCs w:val="22"/>
                <w:lang w:val="es-CR"/>
              </w:rPr>
            </w:pPr>
            <w:r w:rsidRPr="005C1588">
              <w:rPr>
                <w:rFonts w:eastAsia="Calibri"/>
                <w:b/>
                <w:bCs/>
                <w:szCs w:val="22"/>
                <w:lang w:val="es-CR"/>
              </w:rPr>
              <w:t>2% Depósitos y captaciones no sujetos a encaje</w:t>
            </w:r>
          </w:p>
        </w:tc>
      </w:tr>
      <w:tr w:rsidRPr="005C1588" w:rsidR="005C1588" w:rsidTr="001D505E" w14:paraId="6A689FF4" w14:textId="77777777">
        <w:trPr>
          <w:trHeight w:val="416"/>
          <w:jc w:val="center"/>
        </w:trPr>
        <w:tc>
          <w:tcPr>
            <w:tcW w:w="2122" w:type="dxa"/>
          </w:tcPr>
          <w:p w:rsidRPr="005C1588" w:rsidR="005C1588" w:rsidP="005C1588" w:rsidRDefault="005C1588" w14:paraId="10B67C4D" w14:textId="77777777">
            <w:pPr>
              <w:spacing w:after="160" w:line="240" w:lineRule="auto"/>
              <w:contextualSpacing/>
              <w:jc w:val="center"/>
              <w:rPr>
                <w:rFonts w:eastAsia="Calibri"/>
                <w:szCs w:val="22"/>
                <w:lang w:val="es-CR"/>
              </w:rPr>
            </w:pPr>
            <w:r w:rsidRPr="005C1588">
              <w:rPr>
                <w:rFonts w:eastAsia="Calibri"/>
                <w:szCs w:val="22"/>
                <w:lang w:val="es-CR"/>
              </w:rPr>
              <w:t>Colones</w:t>
            </w:r>
          </w:p>
        </w:tc>
        <w:tc>
          <w:tcPr>
            <w:tcW w:w="2551" w:type="dxa"/>
          </w:tcPr>
          <w:p w:rsidRPr="005C1588" w:rsidR="005C1588" w:rsidP="005C1588" w:rsidRDefault="005C1588" w14:paraId="43CB542A" w14:textId="77777777">
            <w:pPr>
              <w:spacing w:after="160" w:line="240" w:lineRule="auto"/>
              <w:contextualSpacing/>
              <w:rPr>
                <w:rFonts w:eastAsia="Calibri"/>
                <w:szCs w:val="22"/>
                <w:lang w:val="es-CR"/>
              </w:rPr>
            </w:pPr>
          </w:p>
        </w:tc>
      </w:tr>
      <w:tr w:rsidRPr="005C1588" w:rsidR="005C1588" w:rsidTr="001D505E" w14:paraId="2790D85A" w14:textId="77777777">
        <w:trPr>
          <w:trHeight w:val="408"/>
          <w:jc w:val="center"/>
        </w:trPr>
        <w:tc>
          <w:tcPr>
            <w:tcW w:w="2122" w:type="dxa"/>
          </w:tcPr>
          <w:p w:rsidRPr="005C1588" w:rsidR="005C1588" w:rsidP="005C1588" w:rsidRDefault="005C1588" w14:paraId="4ACD4588" w14:textId="77777777">
            <w:pPr>
              <w:spacing w:after="160" w:line="240" w:lineRule="auto"/>
              <w:contextualSpacing/>
              <w:jc w:val="center"/>
              <w:rPr>
                <w:rFonts w:eastAsia="Calibri"/>
                <w:szCs w:val="22"/>
                <w:lang w:val="es-CR"/>
              </w:rPr>
            </w:pPr>
            <w:r w:rsidRPr="005C1588">
              <w:rPr>
                <w:rFonts w:eastAsia="Calibri"/>
                <w:szCs w:val="22"/>
                <w:lang w:val="es-CR"/>
              </w:rPr>
              <w:t>Dólares</w:t>
            </w:r>
          </w:p>
        </w:tc>
        <w:tc>
          <w:tcPr>
            <w:tcW w:w="2551" w:type="dxa"/>
          </w:tcPr>
          <w:p w:rsidRPr="005C1588" w:rsidR="005C1588" w:rsidP="005C1588" w:rsidRDefault="005C1588" w14:paraId="3FF14FD8" w14:textId="77777777">
            <w:pPr>
              <w:spacing w:after="160" w:line="240" w:lineRule="auto"/>
              <w:contextualSpacing/>
              <w:rPr>
                <w:rFonts w:eastAsia="Calibri"/>
                <w:szCs w:val="22"/>
                <w:lang w:val="es-CR"/>
              </w:rPr>
            </w:pPr>
          </w:p>
        </w:tc>
      </w:tr>
    </w:tbl>
    <w:p w:rsidRPr="005C1588" w:rsidR="005C1588" w:rsidP="005C1588" w:rsidRDefault="005C1588" w14:paraId="7AC8C816" w14:textId="77777777">
      <w:pPr>
        <w:spacing w:after="160" w:line="240" w:lineRule="auto"/>
        <w:rPr>
          <w:rFonts w:eastAsia="Calibri"/>
          <w:szCs w:val="22"/>
          <w:lang w:val="es-CR"/>
        </w:rPr>
      </w:pPr>
    </w:p>
    <w:p w:rsidRPr="005C1588" w:rsidR="005C1588" w:rsidP="005C1588" w:rsidRDefault="005C1588" w14:paraId="03B0FA91" w14:textId="77777777">
      <w:pPr>
        <w:spacing w:after="160" w:line="240" w:lineRule="auto"/>
        <w:ind w:left="708"/>
        <w:rPr>
          <w:rFonts w:eastAsia="Calibri"/>
          <w:szCs w:val="22"/>
          <w:lang w:val="es-CR"/>
        </w:rPr>
      </w:pPr>
      <w:r w:rsidRPr="005C1588">
        <w:rPr>
          <w:rFonts w:eastAsia="Calibri"/>
          <w:szCs w:val="22"/>
          <w:lang w:val="es-CR"/>
        </w:rPr>
        <w:lastRenderedPageBreak/>
        <w:t>Se hace la aclaración que, para esa Entidad, se considerará el plazo establecido en los transitorios de la Ley N° 9816 y su reglamentación conexa, para la constitución de la garantía contingente asociada a esos pasivos.</w:t>
      </w:r>
    </w:p>
    <w:p w:rsidRPr="005C1588" w:rsidR="005C1588" w:rsidP="005C1588" w:rsidRDefault="005C1588" w14:paraId="378948D8" w14:textId="77777777">
      <w:pPr>
        <w:numPr>
          <w:ilvl w:val="0"/>
          <w:numId w:val="3"/>
        </w:numPr>
        <w:spacing w:before="240" w:after="160" w:line="240" w:lineRule="auto"/>
        <w:contextualSpacing/>
        <w:rPr>
          <w:rFonts w:eastAsia="Calibri"/>
          <w:szCs w:val="22"/>
          <w:lang w:val="es-CR"/>
        </w:rPr>
      </w:pPr>
      <w:r w:rsidRPr="005C1588">
        <w:rPr>
          <w:rFonts w:eastAsia="Calibri"/>
          <w:szCs w:val="22"/>
          <w:lang w:val="es-CR"/>
        </w:rPr>
        <w:t xml:space="preserve">Esos datos deben ser enviados al correo electrónico: </w:t>
      </w:r>
      <w:hyperlink w:history="1" r:id="rId13">
        <w:r w:rsidRPr="005C1588">
          <w:rPr>
            <w:rFonts w:eastAsia="Calibri"/>
            <w:color w:val="0563C1"/>
            <w:szCs w:val="22"/>
            <w:u w:val="single"/>
            <w:lang w:val="es-CR"/>
          </w:rPr>
          <w:t>Fondodegarantiacr@bccr.fi.cr</w:t>
        </w:r>
      </w:hyperlink>
      <w:r w:rsidRPr="005C1588">
        <w:rPr>
          <w:rFonts w:eastAsia="Calibri"/>
          <w:szCs w:val="22"/>
          <w:lang w:val="es-CR"/>
        </w:rPr>
        <w:t xml:space="preserve"> </w:t>
      </w:r>
    </w:p>
    <w:p w:rsidR="005C1588" w:rsidP="006972C9" w:rsidRDefault="005C1588" w14:paraId="6DFF76EC" w14:textId="77777777">
      <w:pPr>
        <w:pStyle w:val="Texto"/>
        <w:spacing w:before="0" w:after="0" w:line="240" w:lineRule="auto"/>
        <w:rPr>
          <w:sz w:val="24"/>
          <w:lang w:val="es-CR"/>
        </w:rPr>
      </w:pPr>
    </w:p>
    <w:p w:rsidRPr="002E2B0A" w:rsidR="006972C9" w:rsidP="006972C9" w:rsidRDefault="006972C9" w14:paraId="4976EFA4" w14:textId="309F6557">
      <w:pPr>
        <w:pStyle w:val="Texto"/>
        <w:spacing w:before="0" w:after="0" w:line="240" w:lineRule="auto"/>
        <w:rPr>
          <w:sz w:val="24"/>
        </w:rPr>
      </w:pPr>
      <w:r w:rsidRPr="002E2B0A">
        <w:rPr>
          <w:sz w:val="24"/>
        </w:rPr>
        <w:t>Atentamente,</w:t>
      </w:r>
    </w:p>
    <w:p w:rsidRPr="002E2B0A" w:rsidR="006972C9" w:rsidP="006972C9" w:rsidRDefault="005C1588" w14:paraId="72D42FA1" w14:textId="147487A6">
      <w:pPr>
        <w:spacing w:line="240" w:lineRule="auto"/>
        <w:rPr>
          <w:sz w:val="24"/>
        </w:rPr>
      </w:pPr>
      <w:r>
        <w:rPr>
          <w:noProof/>
          <w:lang w:val="es-CR" w:eastAsia="es-CR"/>
        </w:rPr>
        <w:drawing>
          <wp:anchor distT="0" distB="0" distL="114300" distR="114300" simplePos="0" relativeHeight="251659264" behindDoc="1" locked="0" layoutInCell="1" allowOverlap="1" wp14:editId="376E3300" wp14:anchorId="42601135">
            <wp:simplePos x="0" y="0"/>
            <wp:positionH relativeFrom="column">
              <wp:posOffset>-163830</wp:posOffset>
            </wp:positionH>
            <wp:positionV relativeFrom="paragraph">
              <wp:posOffset>54610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DB50AF" w:rsidP="006972C9" w:rsidRDefault="00DB50AF" w14:paraId="51343783" w14:textId="4B54EF7E">
      <w:pPr>
        <w:pStyle w:val="Negrita"/>
        <w:jc w:val="left"/>
        <w:rPr>
          <w:b w:val="0"/>
          <w:sz w:val="24"/>
        </w:rPr>
      </w:pPr>
    </w:p>
    <w:p w:rsidRPr="00111293" w:rsidR="008B3362" w:rsidP="008B3362" w:rsidRDefault="008B3362" w14:paraId="5B427887" w14:textId="1FD08FB7">
      <w:pPr>
        <w:jc w:val="left"/>
        <w:rPr>
          <w:sz w:val="24"/>
        </w:rPr>
      </w:pPr>
      <w:r w:rsidRPr="00111293">
        <w:rPr>
          <w:sz w:val="24"/>
        </w:rPr>
        <w:t>Rocío Aguilar Montoya</w:t>
      </w:r>
      <w:r w:rsidRPr="00111293">
        <w:rPr>
          <w:sz w:val="24"/>
        </w:rPr>
        <w:br/>
      </w:r>
      <w:r w:rsidRPr="00111293">
        <w:rPr>
          <w:b/>
          <w:bCs/>
          <w:sz w:val="24"/>
        </w:rPr>
        <w:t>Superintendente General</w:t>
      </w:r>
    </w:p>
    <w:p w:rsidR="006972C9" w:rsidP="006972C9" w:rsidRDefault="006972C9" w14:paraId="63AC8004" w14:textId="7415E6AE">
      <w:pPr>
        <w:pStyle w:val="Negrita"/>
      </w:pPr>
    </w:p>
    <w:p w:rsidR="005C1588" w:rsidP="005C1588" w:rsidRDefault="005C1588" w14:paraId="7571C698" w14:textId="77777777">
      <w:pPr>
        <w:jc w:val="left"/>
        <w:rPr>
          <w:sz w:val="18"/>
          <w:szCs w:val="18"/>
        </w:rPr>
      </w:pPr>
    </w:p>
    <w:p w:rsidRPr="005C1588" w:rsidR="005C1588" w:rsidP="005C1588" w:rsidRDefault="005C1588" w14:paraId="762B29AA" w14:textId="04E8E3A4">
      <w:pPr>
        <w:jc w:val="left"/>
        <w:rPr>
          <w:sz w:val="18"/>
          <w:szCs w:val="18"/>
        </w:rPr>
      </w:pPr>
      <w:r w:rsidRPr="005C1588">
        <w:rPr>
          <w:sz w:val="18"/>
          <w:szCs w:val="18"/>
        </w:rPr>
        <w:t>MHA/MAC/pjp</w:t>
      </w:r>
    </w:p>
    <w:p w:rsidRPr="006972C9" w:rsidR="006972C9" w:rsidP="006972C9" w:rsidRDefault="006972C9" w14:paraId="6E3B320C" w14:textId="77777777"/>
    <w:p w:rsidRPr="006972C9" w:rsidR="006972C9" w:rsidP="006972C9" w:rsidRDefault="006972C9" w14:paraId="6FFBDD4F" w14:textId="77777777"/>
    <w:p w:rsidRPr="006972C9" w:rsidR="006972C9" w:rsidP="006972C9" w:rsidRDefault="006972C9" w14:paraId="2C660FB8" w14:textId="77777777"/>
    <w:p w:rsidRPr="006972C9" w:rsidR="006972C9" w:rsidP="006972C9" w:rsidRDefault="006972C9" w14:paraId="6275CE99" w14:textId="77777777"/>
    <w:p w:rsidRPr="006972C9" w:rsidR="00AF06C5" w:rsidP="006972C9" w:rsidRDefault="006972C9" w14:paraId="5C83ABBB" w14:textId="77777777">
      <w:pPr>
        <w:tabs>
          <w:tab w:val="left" w:pos="7187"/>
        </w:tabs>
      </w:pPr>
      <w:r>
        <w:tab/>
      </w:r>
    </w:p>
    <w:sectPr w:rsidRPr="006972C9" w:rsidR="00AF06C5">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EBFC9" w14:textId="77777777" w:rsidR="00F22689" w:rsidRDefault="00F22689" w:rsidP="009349F3">
      <w:pPr>
        <w:spacing w:line="240" w:lineRule="auto"/>
      </w:pPr>
      <w:r>
        <w:separator/>
      </w:r>
    </w:p>
  </w:endnote>
  <w:endnote w:type="continuationSeparator" w:id="0">
    <w:p w14:paraId="69E2241E" w14:textId="77777777" w:rsidR="00F22689" w:rsidRDefault="00F2268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51748940"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73BA758" w14:textId="77777777">
      <w:tc>
        <w:tcPr>
          <w:tcW w:w="2942" w:type="dxa"/>
        </w:tcPr>
        <w:p w:rsidR="00517D62" w:rsidRDefault="00517D62" w14:paraId="7D2030D3"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D530BE">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6FE0377"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D530BE">
            <w:rPr>
              <w:b/>
              <w:color w:val="7F7F7F" w:themeColor="text1" w:themeTint="80"/>
              <w:sz w:val="16"/>
              <w:szCs w:val="16"/>
            </w:rPr>
            <w:t>-4849</w:t>
          </w:r>
        </w:p>
        <w:p w:rsidRPr="009349F3" w:rsidR="00517D62" w:rsidRDefault="00517D62" w14:paraId="69D7CCF6" w14:textId="77777777">
          <w:pPr>
            <w:pStyle w:val="Piedepgina"/>
            <w:rPr>
              <w:b/>
              <w:color w:val="7F7F7F" w:themeColor="text1" w:themeTint="80"/>
              <w:sz w:val="16"/>
              <w:szCs w:val="16"/>
            </w:rPr>
          </w:pPr>
        </w:p>
      </w:tc>
      <w:tc>
        <w:tcPr>
          <w:tcW w:w="2943" w:type="dxa"/>
        </w:tcPr>
        <w:p w:rsidRPr="009349F3" w:rsidR="00517D62" w:rsidP="00855792" w:rsidRDefault="00517D62" w14:paraId="16DEE651"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003668F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4264FC9B"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D530BE">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068FA57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67F9BE0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8570" w14:textId="77777777" w:rsidR="00F22689" w:rsidRDefault="00F22689" w:rsidP="009349F3">
      <w:pPr>
        <w:spacing w:line="240" w:lineRule="auto"/>
      </w:pPr>
      <w:r>
        <w:separator/>
      </w:r>
    </w:p>
  </w:footnote>
  <w:footnote w:type="continuationSeparator" w:id="0">
    <w:p w14:paraId="1A86CCFE" w14:textId="77777777" w:rsidR="00F22689" w:rsidRDefault="00F2268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7ACFF07A"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1D05EE64" w14:textId="77777777">
    <w:pPr>
      <w:pStyle w:val="Encabezado"/>
    </w:pPr>
    <w:r>
      <w:ptab w:alignment="center" w:relativeTo="margin" w:leader="none"/>
    </w:r>
    <w:r>
      <w:rPr>
        <w:noProof/>
        <w:lang w:val="es-CR" w:eastAsia="es-CR"/>
      </w:rPr>
      <w:drawing>
        <wp:inline distT="0" distB="0" distL="0" distR="0" wp14:anchorId="2F786A27" wp14:editId="398D1E0E">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485F" w:rsidRDefault="0051485F" w14:paraId="38348AD1"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569B3"/>
    <w:multiLevelType w:val="hybridMultilevel"/>
    <w:tmpl w:val="6FBE5926"/>
    <w:lvl w:ilvl="0" w:tplc="60088920">
      <w:start w:val="1"/>
      <w:numFmt w:val="decimal"/>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1F80EF1"/>
    <w:multiLevelType w:val="hybridMultilevel"/>
    <w:tmpl w:val="C72A23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473459E4"/>
    <w:multiLevelType w:val="hybridMultilevel"/>
    <w:tmpl w:val="0C72D342"/>
    <w:lvl w:ilvl="0" w:tplc="7A7423CA">
      <w:start w:val="1"/>
      <w:numFmt w:val="upperRoman"/>
      <w:lvlText w:val="%1."/>
      <w:lvlJc w:val="left"/>
      <w:pPr>
        <w:ind w:left="1080" w:hanging="72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89"/>
    <w:rsid w:val="00043F58"/>
    <w:rsid w:val="00155519"/>
    <w:rsid w:val="0051485F"/>
    <w:rsid w:val="00517D62"/>
    <w:rsid w:val="005545BC"/>
    <w:rsid w:val="005C1588"/>
    <w:rsid w:val="00640782"/>
    <w:rsid w:val="006972C9"/>
    <w:rsid w:val="007938DD"/>
    <w:rsid w:val="008200B7"/>
    <w:rsid w:val="00855792"/>
    <w:rsid w:val="008B3362"/>
    <w:rsid w:val="00900B79"/>
    <w:rsid w:val="009349F3"/>
    <w:rsid w:val="00AF06C5"/>
    <w:rsid w:val="00B00D3C"/>
    <w:rsid w:val="00B7752A"/>
    <w:rsid w:val="00D530BE"/>
    <w:rsid w:val="00DB50AF"/>
    <w:rsid w:val="00DD402E"/>
    <w:rsid w:val="00DE2D06"/>
    <w:rsid w:val="00F22689"/>
    <w:rsid w:val="00FB5CF1"/>
    <w:rsid w:val="00FC4D4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FEAA7A"/>
  <w15:chartTrackingRefBased/>
  <w15:docId w15:val="{ED105B38-56AB-4BB5-969E-D626144F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043F5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F5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ondodegarantiacr@bccr.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empresas_financiera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913AFC14C6429D9EA2C21589A8480F"/>
        <w:category>
          <w:name w:val="General"/>
          <w:gallery w:val="placeholder"/>
        </w:category>
        <w:types>
          <w:type w:val="bbPlcHdr"/>
        </w:types>
        <w:behaviors>
          <w:behavior w:val="content"/>
        </w:behaviors>
        <w:guid w:val="{B8BC1C5C-0068-4681-B093-88ADD36D7A06}"/>
      </w:docPartPr>
      <w:docPartBody>
        <w:p w:rsidR="00C24403" w:rsidRDefault="00C24403">
          <w:pPr>
            <w:pStyle w:val="1C913AFC14C6429D9EA2C21589A8480F"/>
          </w:pPr>
          <w:r w:rsidRPr="001E0779">
            <w:rPr>
              <w:rStyle w:val="Textodelmarcadordeposicin"/>
            </w:rPr>
            <w:t>Haga clic aquí para escribir texto.</w:t>
          </w:r>
        </w:p>
      </w:docPartBody>
    </w:docPart>
    <w:docPart>
      <w:docPartPr>
        <w:name w:val="3FE282957379483FBB1B537121326ABB"/>
        <w:category>
          <w:name w:val="General"/>
          <w:gallery w:val="placeholder"/>
        </w:category>
        <w:types>
          <w:type w:val="bbPlcHdr"/>
        </w:types>
        <w:behaviors>
          <w:behavior w:val="content"/>
        </w:behaviors>
        <w:guid w:val="{4661C61E-F4CF-4FC9-9442-2A336BE032A3}"/>
      </w:docPartPr>
      <w:docPartBody>
        <w:p w:rsidR="00C24403" w:rsidRDefault="00C24403">
          <w:pPr>
            <w:pStyle w:val="3FE282957379483FBB1B537121326ABB"/>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03"/>
    <w:rsid w:val="00C244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1C913AFC14C6429D9EA2C21589A8480F">
    <w:name w:val="1C913AFC14C6429D9EA2C21589A8480F"/>
  </w:style>
  <w:style w:type="paragraph" w:customStyle="1" w:styleId="3FE282957379483FBB1B537121326ABB">
    <w:name w:val="3FE282957379483FBB1B537121326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22Up/m7nrMcXb91cS2GGkIg68G4EpYC1hWfva/sDF6g=</DigestValue>
    </Reference>
    <Reference Type="http://www.w3.org/2000/09/xmldsig#Object" URI="#idOfficeObject">
      <DigestMethod Algorithm="http://www.w3.org/2001/04/xmlenc#sha256"/>
      <DigestValue>0ZPXYZXacVSpqZ7KOuuDjLUGb36RaqAJqZV6Y1pDrgE=</DigestValue>
    </Reference>
    <Reference Type="http://uri.etsi.org/01903#SignedProperties" URI="#idSignedProperties">
      <Transforms>
        <Transform Algorithm="http://www.w3.org/TR/2001/REC-xml-c14n-20010315"/>
      </Transforms>
      <DigestMethod Algorithm="http://www.w3.org/2001/04/xmlenc#sha256"/>
      <DigestValue>s7GDndPeFmspwifbxdyqA7EvcWEYeWDXi0qmV5yckhE=</DigestValue>
    </Reference>
  </SignedInfo>
  <SignatureValue>EA9teKcERL8LVM7ZlY0SeS6Xi8DWlgduR2+vXSddtN16gi5MveRUqP2qtTNdgl8lnZtcb38llKpO
8O40K5HL9wzBN42lu/3aEN4KWWy1bJOIB9mblFJrI+FcrDy5W/pyesGVXpZXpUTebVxdoYDT48bn
vRjrusJ+wjPddwWMdNI5g5/nbOTNXweIpGm8sbP1p58AxapPCI6clgz6uugtJO5/d+smRmsEPxLV
DYv4fBe6WYdoJKFMln6G4dCrcKCtSCMQ2QH2MWdb78Ko8UrKurbKmlhKzQKYKDmQ9KTqBTln4Mcm
Ch8QjU7QzR7iCHvbgHOqGQAIeOtwSSptshETrQ==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k1vesCp1h01LAjZW3k2RA7adlKQmNe+W2PE0hSSg6Ps=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bTD1dOPfPl6bGmxC3IxfT28ZBT86dWUMTtAl8Cld960=</DigestValue>
      </Reference>
      <Reference URI="/word/document.xml?ContentType=application/vnd.openxmlformats-officedocument.wordprocessingml.document.main+xml">
        <DigestMethod Algorithm="http://www.w3.org/2001/04/xmlenc#sha256"/>
        <DigestValue>W2dtWM5yAh9pteYT6LtL+yzCPee4p9cF0+gbGZwAfPU=</DigestValue>
      </Reference>
      <Reference URI="/word/endnotes.xml?ContentType=application/vnd.openxmlformats-officedocument.wordprocessingml.endnotes+xml">
        <DigestMethod Algorithm="http://www.w3.org/2001/04/xmlenc#sha256"/>
        <DigestValue>fRIAcn1KZpf6av+EBWVHb1uRQaDn2iqZg1I06I5UOTY=</DigestValue>
      </Reference>
      <Reference URI="/word/fontTable.xml?ContentType=application/vnd.openxmlformats-officedocument.wordprocessingml.fontTable+xml">
        <DigestMethod Algorithm="http://www.w3.org/2001/04/xmlenc#sha256"/>
        <DigestValue>wbI2ty4QTpki1qtLqHubQM20uV3KglGpVxezz4vtScI=</DigestValue>
      </Reference>
      <Reference URI="/word/footer1.xml?ContentType=application/vnd.openxmlformats-officedocument.wordprocessingml.footer+xml">
        <DigestMethod Algorithm="http://www.w3.org/2001/04/xmlenc#sha256"/>
        <DigestValue>1qyeD6fNk0liY26dBglXDZaG49XrSavWhcUo3gabnqc=</DigestValue>
      </Reference>
      <Reference URI="/word/footer2.xml?ContentType=application/vnd.openxmlformats-officedocument.wordprocessingml.footer+xml">
        <DigestMethod Algorithm="http://www.w3.org/2001/04/xmlenc#sha256"/>
        <DigestValue>C6t7GttRhbe9hkYKx+iHQMN30LNdmoXhlS6HINoM1kI=</DigestValue>
      </Reference>
      <Reference URI="/word/footer3.xml?ContentType=application/vnd.openxmlformats-officedocument.wordprocessingml.footer+xml">
        <DigestMethod Algorithm="http://www.w3.org/2001/04/xmlenc#sha256"/>
        <DigestValue>hqqQOkzHnZ2+6rvOAoyyFoSYh80nxAIhtE22Ot2ghHM=</DigestValue>
      </Reference>
      <Reference URI="/word/footnotes.xml?ContentType=application/vnd.openxmlformats-officedocument.wordprocessingml.footnotes+xml">
        <DigestMethod Algorithm="http://www.w3.org/2001/04/xmlenc#sha256"/>
        <DigestValue>+5QQIB6cwPIP6eXe4oh1Yh++SNc4cqzi1wDrNEM0QOs=</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LTrLcRX3+bcgOc8LD2QKPAeu7T20x65bBMzzmAlc9X0=</DigestValue>
      </Reference>
      <Reference URI="/word/glossary/fontTable.xml?ContentType=application/vnd.openxmlformats-officedocument.wordprocessingml.fontTable+xml">
        <DigestMethod Algorithm="http://www.w3.org/2001/04/xmlenc#sha256"/>
        <DigestValue>wbI2ty4QTpki1qtLqHubQM20uV3KglGpVxezz4vtScI=</DigestValue>
      </Reference>
      <Reference URI="/word/glossary/settings.xml?ContentType=application/vnd.openxmlformats-officedocument.wordprocessingml.settings+xml">
        <DigestMethod Algorithm="http://www.w3.org/2001/04/xmlenc#sha256"/>
        <DigestValue>LcgRdrZqq+nkXgvTcNrIANGZQWfCEZOe71UltkXYhZA=</DigestValue>
      </Reference>
      <Reference URI="/word/glossary/styles.xml?ContentType=application/vnd.openxmlformats-officedocument.wordprocessingml.styles+xml">
        <DigestMethod Algorithm="http://www.w3.org/2001/04/xmlenc#sha256"/>
        <DigestValue>xOl91Ay/xRIALDkBtCDGJ6NSDllntY27XlV6M7ULeLg=</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BS2wInKFlU5JbJ9JP+Sq/b3qrR7HBNwLY5kLKIqstzM=</DigestValue>
      </Reference>
      <Reference URI="/word/header2.xml?ContentType=application/vnd.openxmlformats-officedocument.wordprocessingml.header+xml">
        <DigestMethod Algorithm="http://www.w3.org/2001/04/xmlenc#sha256"/>
        <DigestValue>Bjcolw0egtrQi1s5egkU79J3GDeoJo8fFnT1jrV5T2c=</DigestValue>
      </Reference>
      <Reference URI="/word/header3.xml?ContentType=application/vnd.openxmlformats-officedocument.wordprocessingml.header+xml">
        <DigestMethod Algorithm="http://www.w3.org/2001/04/xmlenc#sha256"/>
        <DigestValue>5zxyudB8mLRLn4PQieEVdZRmnZ/QWk9hegHgMnOTTc0=</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B8NytlMqRb48L/4e48l2USnpUi4YufcS0uvTvPjcYZk=</DigestValue>
      </Reference>
      <Reference URI="/word/settings.xml?ContentType=application/vnd.openxmlformats-officedocument.wordprocessingml.settings+xml">
        <DigestMethod Algorithm="http://www.w3.org/2001/04/xmlenc#sha256"/>
        <DigestValue>D3kLQKQYoHZkUbGxKVKFdx86RHr5VutRTp4HmK5szgE=</DigestValue>
      </Reference>
      <Reference URI="/word/styles.xml?ContentType=application/vnd.openxmlformats-officedocument.wordprocessingml.styles+xml">
        <DigestMethod Algorithm="http://www.w3.org/2001/04/xmlenc#sha256"/>
        <DigestValue>Jl7bXd7LExmBWc2hSm/PvIj8SV07YivqBgGqzOE9kyA=</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tzzJd2ICh3ppQ54eU/5HIahTfmzmhF8T/tKABdBSy0E=</DigestValue>
      </Reference>
    </Manifest>
    <SignatureProperties>
      <SignatureProperty Id="idSignatureTime" Target="#idPackageSignature">
        <mdssi:SignatureTime xmlns:mdssi="http://schemas.openxmlformats.org/package/2006/digital-signature">
          <mdssi:Format>YYYY-MM-DDThh:mm:ssTZD</mdssi:Format>
          <mdssi:Value>2021-12-14T00:49:26Z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2021-12-14T00:49:26Z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wiZNwonj6h/dKRrqp2nHZwJ54n5I+9be+5mSo3UkN+sCBA19q0UYDzIwMjExMjE0MDA0O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</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f4aouQeXNewF0B3+tm1B64t++2w=</xd:ByKey>
                  </xd:ResponderID>
                  <xd:ProducedAt>2021-12-14T00:28:44Z</xd:ProducedAt>
                </xd:OCSPIdentifier>
                <xd:DigestAlgAndValue>
                  <DigestMethod Algorithm="http://www.w3.org/2001/04/xmlenc#sha256"/>
                  <DigestValue>2/OcKQyOOXyO4fuo6g9I77EF3y8+ljAUSQ2RUCLEo1g=</DigestValue>
                </xd:DigestAlgAndValue>
              </xd:OCSPRef>
            </xd:OCSPRefs>
            <xd:CRLRefs>
              <xd:CRLRef>
                <xd:DigestAlgAndValue>
                  <DigestMethod Algorithm="http://www.w3.org/2001/04/xmlenc#sha256"/>
                  <DigestValue>9rTNRsl0juuvweYxJIF8SNCtsYn1uJEnWRaX6mdn6fo=</DigestValue>
                </xd:DigestAlgAndValue>
                <xd:CRLIdentifier>
                  <xd:Issuer>CN=CA POLITICA PERSONA FISICA - COSTA RICA v2, OU=DCFD, O=MICITT, C=CR, SERIALNUMBER=CPJ-2-100-098311</xd:Issuer>
                  <xd:IssueTime>2021-12-10T15:57:16Z</xd:IssueTime>
                </xd:CRLIdentifier>
              </xd:CRLRef>
              <xd:CRLRef>
                <xd:DigestAlgAndValue>
                  <DigestMethod Algorithm="http://www.w3.org/2001/04/xmlenc#sha256"/>
                  <DigestValue>Z14GX6ROkOQCoKKL80YlJPoZyEpotB/wLKYYQOAzkYo=</DigestValue>
                </xd:DigestAlgAndValue>
                <xd:CRLIdentifier>
                  <xd:Issuer>CN=CA RAIZ NACIONAL - COSTA RICA v2, C=CR, O=MICITT, OU=DCFD, SERIALNUMBER=CPJ-2-100-098311</xd:Issuer>
                  <xd:IssueTime>2021-10-21T16:32:40Z</xd:IssueTime>
                </xd:CRLIdentifier>
              </xd:CRLRef>
            </xd:CRLRefs>
          </xd:CompleteRevocationRefs>
          <xd:RevocationValues>
            <xd:OCSPValues>
              <xd:EncapsulatedOCSPValue>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</xd:EncapsulatedCRLValue>
              <xd:EncapsulatedCRLValue>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M5HNcSLkf7r2GOvDU21Oaf5h20U0BwYJK+qoDji0iH0CBA19q0cYDzIwMjExMjE0MDA0OTI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</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9" ma:contentTypeDescription="Crear nuevo documento." ma:contentTypeScope="" ma:versionID="454ecb6f0565b8d71cc0589911977c7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 xsi:nil="true"/>
    <Firmado xmlns="b875e23b-67d9-4b2e-bdec-edacbf90b326">true</Firmado>
    <Responsable xmlns="b875e23b-67d9-4b2e-bdec-edacbf90b326">
      <UserInfo>
        <DisplayName>HERNANDEZ AVILA MARCO</DisplayName>
        <AccountId>307</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i:0#.w|pdc-atlantida\hernandezam</DisplayName>
        <AccountId>307</AccountId>
        <AccountType/>
      </UserInfo>
      <UserInfo>
        <DisplayName>COPIA EMPRESAS FINANCIERAS</DisplayName>
        <AccountId>1617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Circular externa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Notificado el 14/12/2021</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2021-12-13T06:00:00+00:00</FechaDocumento>
    <RemitenteOriginal xmlns="b875e23b-67d9-4b2e-bdec-edacbf90b326">División Supervisión de Empresas Financieras y Cooperativas</RemitenteOriginal>
    <Secretaria xmlns="b875e23b-67d9-4b2e-bdec-edacbf90b326">
      <UserInfo>
        <DisplayName>JOVEL PINEDA PATRICIA</DisplayName>
        <AccountId>2454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Solicitud de información a las cooperativas y al Banco Popular para que sea enviada al FGD para efectos de sus controles en relación con la garantía contingentes que esas entidades deben constituir conforme al artículo 16 de la Ley 9816.</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Props1.xml><?xml version="1.0" encoding="utf-8"?>
<ds:datastoreItem xmlns:ds="http://schemas.openxmlformats.org/officeDocument/2006/customXml" ds:itemID="{0055D22C-273F-4852-BF0D-FA433FC378EF}">
  <ds:schemaRefs>
    <ds:schemaRef ds:uri="Microsoft.SharePoint.Taxonomy.ContentTypeSync"/>
  </ds:schemaRefs>
</ds:datastoreItem>
</file>

<file path=customXml/itemProps2.xml><?xml version="1.0" encoding="utf-8"?>
<ds:datastoreItem xmlns:ds="http://schemas.openxmlformats.org/officeDocument/2006/customXml" ds:itemID="{729A5FDC-A4F1-4209-A65B-5D9976447DEE}">
  <ds:schemaRefs>
    <ds:schemaRef ds:uri="office.server.policy"/>
  </ds:schemaRefs>
</ds:datastoreItem>
</file>

<file path=customXml/itemProps3.xml><?xml version="1.0" encoding="utf-8"?>
<ds:datastoreItem xmlns:ds="http://schemas.openxmlformats.org/officeDocument/2006/customXml" ds:itemID="{2FBC3345-9673-4625-A6E3-F30342674F60}">
  <ds:schemaRefs>
    <ds:schemaRef ds:uri="http://schemas.microsoft.com/sharepoint/v3/contenttype/forms"/>
  </ds:schemaRefs>
</ds:datastoreItem>
</file>

<file path=customXml/itemProps4.xml><?xml version="1.0" encoding="utf-8"?>
<ds:datastoreItem xmlns:ds="http://schemas.openxmlformats.org/officeDocument/2006/customXml" ds:itemID="{9D01975C-CA0E-45A8-8957-EE2EACB9E417}">
  <ds:schemaRefs>
    <ds:schemaRef ds:uri="http://schemas.microsoft.com/sharepoint/events"/>
  </ds:schemaRefs>
</ds:datastoreItem>
</file>

<file path=customXml/itemProps5.xml><?xml version="1.0" encoding="utf-8"?>
<ds:datastoreItem xmlns:ds="http://schemas.openxmlformats.org/officeDocument/2006/customXml" ds:itemID="{33E9E6EB-8076-4039-8FB3-5AA2F8EEE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20FF79-F144-4426-9143-29134E26A2A9}">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b875e23b-67d9-4b2e-bdec-edacbf90b326"/>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plantillas-SGF-13</Template>
  <TotalTime>7</TotalTime>
  <Pages>3</Pages>
  <Words>752</Words>
  <Characters>4141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AVILA MARCO</dc:creator>
  <cp:keywords/>
  <dc:description/>
  <cp:lastModifiedBy>JOVEL PINEDA PATRICIA DE LOS ANGE</cp:lastModifiedBy>
  <cp:revision>5</cp:revision>
  <dcterms:created xsi:type="dcterms:W3CDTF">2021-12-10T23:55:00Z</dcterms:created>
  <dcterms:modified xsi:type="dcterms:W3CDTF">2021-12-13T16:47:00Z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Tipo Documental">
    <vt:lpwstr>426;#Circular|a95dd0af-ef18-4305-9c8d-aa79141c6059</vt:lpwstr>
  </property>
  <property fmtid="{D5CDD505-2E9C-101B-9397-08002B2CF9AE}" pid="4" name="Unidad de Destino">
    <vt:lpwstr/>
  </property>
  <property fmtid="{D5CDD505-2E9C-101B-9397-08002B2CF9AE}" pid="5" name="Confidencialidad1">
    <vt:lpwstr/>
  </property>
  <property fmtid="{D5CDD505-2E9C-101B-9397-08002B2CF9AE}" pid="6" name="Unidad Remitente">
    <vt:lpwstr>63;#SUGEF - Despacho|2d490573-c91c-4a7c-9f31-5076771b6476</vt:lpwstr>
  </property>
  <property fmtid="{D5CDD505-2E9C-101B-9397-08002B2CF9AE}" pid="7" name="Dirigido a (entidad externa)">
    <vt:lpwstr/>
  </property>
  <property fmtid="{D5CDD505-2E9C-101B-9397-08002B2CF9AE}" pid="8" name="Disponibilidad">
    <vt:lpwstr>161;#Alta|7fca731c-4c62-4f1c-9061-e9f164c964b2</vt:lpwstr>
  </property>
  <property fmtid="{D5CDD505-2E9C-101B-9397-08002B2CF9AE}" pid="9" name="Integridad">
    <vt:lpwstr>128;#Alta|0fd17ec2-e5d0-4d9f-8e18-466324d0fdd4</vt:lpwstr>
  </property>
  <property fmtid="{D5CDD505-2E9C-101B-9397-08002B2CF9AE}" pid="10" name="ConfidencialidadNueva">
    <vt:lpwstr>1;#Público|99c2402f-8ec3-4ca8-8024-be52e4e7f629</vt:lpwstr>
  </property>
  <property fmtid="{D5CDD505-2E9C-101B-9397-08002B2CF9AE}" pid="11" name="Order">
    <vt:r8>192400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58129e4d-2a7c-4442-ab86-f4288b01d5ff,6;7dedacbb-5c77-4a35-8847-40abd1245d4d,8;</vt:lpwstr>
  </property>
</Properties>
</file>