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5615B" w:rsidR="0005615B" w:rsidP="0005615B" w:rsidRDefault="0005615B" w14:paraId="69AE8CE7" w14:textId="77777777">
      <w:pPr>
        <w:pStyle w:val="Texto0"/>
        <w:spacing w:before="0" w:after="0" w:line="240" w:lineRule="auto"/>
        <w:jc w:val="center"/>
        <w:rPr>
          <w:b/>
          <w:sz w:val="24"/>
        </w:rPr>
      </w:pPr>
      <w:r w:rsidRPr="0005615B">
        <w:rPr>
          <w:b/>
          <w:sz w:val="24"/>
        </w:rPr>
        <w:t>Circular Externa</w:t>
      </w:r>
    </w:p>
    <w:p w:rsidRPr="002E2B0A" w:rsidR="003554C5" w:rsidP="0005615B" w:rsidRDefault="00DC06C6" w14:paraId="68606669" w14:textId="548CFD58">
      <w:pPr>
        <w:pStyle w:val="Texto0"/>
        <w:spacing w:before="0" w:after="0" w:line="240" w:lineRule="auto"/>
        <w:jc w:val="center"/>
        <w:rPr>
          <w:sz w:val="24"/>
        </w:rPr>
      </w:pPr>
      <w:r>
        <w:rPr>
          <w:sz w:val="24"/>
        </w:rPr>
        <w:t>05</w:t>
      </w:r>
      <w:bookmarkStart w:name="_GoBack" w:id="0"/>
      <w:bookmarkEnd w:id="0"/>
      <w:r w:rsidR="0005615B">
        <w:rPr>
          <w:sz w:val="24"/>
        </w:rPr>
        <w:t xml:space="preserve"> de </w:t>
      </w:r>
      <w:r w:rsidR="00B9415A">
        <w:rPr>
          <w:sz w:val="24"/>
        </w:rPr>
        <w:t>octubre</w:t>
      </w:r>
      <w:r w:rsidR="0005615B">
        <w:rPr>
          <w:sz w:val="24"/>
        </w:rPr>
        <w:t xml:space="preserve"> 2018</w:t>
      </w:r>
    </w:p>
    <w:sdt>
      <w:sdtPr>
        <w:rPr>
          <w:sz w:val="24"/>
        </w:rPr>
        <w:alias w:val="Consecutivo"/>
        <w:tag w:val="Consecutivo"/>
        <w:id w:val="2052717023"/>
        <w:placeholder>
          <w:docPart w:val="14AE4835AFEF4DBAAD169E60446258BD"/>
        </w:placeholder>
        <w:text/>
      </w:sdtPr>
      <w:sdtEndPr/>
      <w:sdtContent>
        <w:p w:rsidR="00E0013C" w:rsidP="0005615B" w:rsidRDefault="00DB7D64" w14:paraId="5545CAF2" w14:textId="77777777">
          <w:pPr>
            <w:tabs>
              <w:tab w:val="left" w:pos="2843"/>
            </w:tabs>
            <w:spacing w:line="240" w:lineRule="auto"/>
            <w:jc w:val="center"/>
            <w:rPr>
              <w:sz w:val="24"/>
            </w:rPr>
          </w:pPr>
          <w:r>
            <w:t>SGF-3052-2018</w:t>
          </w:r>
        </w:p>
      </w:sdtContent>
    </w:sdt>
    <w:p w:rsidR="002A14D5" w:rsidP="0005615B" w:rsidRDefault="00DC06C6" w14:paraId="718788F7" w14:textId="77777777">
      <w:pPr>
        <w:tabs>
          <w:tab w:val="left" w:pos="2843"/>
        </w:tabs>
        <w:spacing w:line="240" w:lineRule="auto"/>
        <w:jc w:val="center"/>
        <w:rPr>
          <w:sz w:val="24"/>
        </w:rPr>
      </w:pPr>
      <w:sdt>
        <w:sdtPr>
          <w:rPr>
            <w:sz w:val="24"/>
          </w:rPr>
          <w:alias w:val="Confidencialidad"/>
          <w:tag w:val="Confidencialidad"/>
          <w:id w:val="1447896894"/>
          <w:placeholder>
            <w:docPart w:val="3E42BBB9258345B691FC58C3974CF59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5615B">
            <w:rPr>
              <w:sz w:val="24"/>
            </w:rPr>
            <w:t>SGF-PUBLICO</w:t>
          </w:r>
        </w:sdtContent>
      </w:sdt>
    </w:p>
    <w:p w:rsidRPr="002E2B0A" w:rsidR="003554C5" w:rsidP="00D26EDE" w:rsidRDefault="008F1461" w14:paraId="779E70E0" w14:textId="77777777">
      <w:pPr>
        <w:tabs>
          <w:tab w:val="left" w:pos="2843"/>
        </w:tabs>
        <w:spacing w:line="240" w:lineRule="auto"/>
        <w:rPr>
          <w:sz w:val="24"/>
        </w:rPr>
      </w:pPr>
      <w:r w:rsidRPr="002E2B0A">
        <w:rPr>
          <w:sz w:val="24"/>
        </w:rPr>
        <w:tab/>
      </w:r>
    </w:p>
    <w:p w:rsidR="005C16F5" w:rsidP="005C16F5" w:rsidRDefault="005C16F5" w14:paraId="0C010CAD" w14:textId="77777777">
      <w:pPr>
        <w:widowControl w:val="0"/>
        <w:spacing w:line="240" w:lineRule="auto"/>
        <w:ind w:left="34" w:right="86"/>
        <w:outlineLvl w:val="0"/>
        <w:rPr>
          <w:rFonts w:asciiTheme="majorHAnsi" w:hAnsiTheme="majorHAnsi"/>
          <w:b/>
          <w:sz w:val="24"/>
          <w:lang w:val="es-CR"/>
        </w:rPr>
      </w:pPr>
    </w:p>
    <w:p w:rsidR="005C16F5" w:rsidP="005C16F5" w:rsidRDefault="005C16F5" w14:paraId="6E9351D0" w14:textId="1F4FF535">
      <w:pPr>
        <w:widowControl w:val="0"/>
        <w:spacing w:line="240" w:lineRule="auto"/>
        <w:ind w:left="34" w:right="86"/>
        <w:outlineLvl w:val="0"/>
        <w:rPr>
          <w:rFonts w:asciiTheme="majorHAnsi" w:hAnsiTheme="majorHAnsi"/>
          <w:b/>
          <w:sz w:val="24"/>
          <w:lang w:val="es-CR"/>
        </w:rPr>
      </w:pPr>
      <w:r>
        <w:rPr>
          <w:rFonts w:asciiTheme="majorHAnsi" w:hAnsiTheme="majorHAnsi"/>
          <w:b/>
          <w:sz w:val="24"/>
          <w:lang w:val="es-CR"/>
        </w:rPr>
        <w:t>Dirigida a</w:t>
      </w:r>
      <w:r w:rsidRPr="002018D1">
        <w:rPr>
          <w:rFonts w:asciiTheme="majorHAnsi" w:hAnsiTheme="majorHAnsi"/>
          <w:b/>
          <w:sz w:val="24"/>
          <w:lang w:val="es-CR"/>
        </w:rPr>
        <w:t>:</w:t>
      </w:r>
      <w:r>
        <w:rPr>
          <w:rFonts w:asciiTheme="majorHAnsi" w:hAnsiTheme="majorHAnsi"/>
          <w:b/>
          <w:sz w:val="24"/>
          <w:lang w:val="es-CR"/>
        </w:rPr>
        <w:t xml:space="preserve"> </w:t>
      </w:r>
    </w:p>
    <w:p w:rsidR="005C16F5" w:rsidP="005C16F5" w:rsidRDefault="005C16F5" w14:paraId="24B67D91" w14:textId="77777777">
      <w:pPr>
        <w:widowControl w:val="0"/>
        <w:spacing w:line="240" w:lineRule="auto"/>
        <w:ind w:left="34" w:right="86"/>
        <w:outlineLvl w:val="0"/>
        <w:rPr>
          <w:rFonts w:asciiTheme="majorHAnsi" w:hAnsiTheme="majorHAnsi"/>
          <w:b/>
          <w:sz w:val="24"/>
          <w:lang w:val="es-CR"/>
        </w:rPr>
      </w:pPr>
    </w:p>
    <w:p w:rsidR="005C16F5" w:rsidP="005C16F5" w:rsidRDefault="005C16F5" w14:paraId="07FBF7D3" w14:textId="77777777">
      <w:pPr>
        <w:widowControl w:val="0"/>
        <w:numPr>
          <w:ilvl w:val="0"/>
          <w:numId w:val="13"/>
        </w:numPr>
        <w:spacing w:after="200" w:line="240" w:lineRule="auto"/>
        <w:ind w:left="567" w:right="86" w:hanging="567"/>
        <w:contextualSpacing/>
        <w:rPr>
          <w:b/>
          <w:sz w:val="24"/>
          <w:lang w:val="es-CR" w:eastAsia="es-ES"/>
        </w:rPr>
      </w:pPr>
      <w:r w:rsidRPr="00C256B9">
        <w:rPr>
          <w:b/>
          <w:sz w:val="24"/>
          <w:lang w:val="es-CR" w:eastAsia="es-ES"/>
        </w:rPr>
        <w:t xml:space="preserve">Bancos </w:t>
      </w:r>
      <w:r>
        <w:rPr>
          <w:b/>
          <w:sz w:val="24"/>
          <w:lang w:val="es-CR" w:eastAsia="es-ES"/>
        </w:rPr>
        <w:t>Comerciales del Estado</w:t>
      </w:r>
    </w:p>
    <w:p w:rsidR="005C16F5" w:rsidP="005C16F5" w:rsidRDefault="005C16F5" w14:paraId="685F0C74" w14:textId="77777777">
      <w:pPr>
        <w:widowControl w:val="0"/>
        <w:numPr>
          <w:ilvl w:val="0"/>
          <w:numId w:val="13"/>
        </w:numPr>
        <w:spacing w:after="200" w:line="240" w:lineRule="auto"/>
        <w:ind w:left="567" w:right="86" w:hanging="567"/>
        <w:contextualSpacing/>
        <w:rPr>
          <w:b/>
          <w:sz w:val="24"/>
          <w:lang w:val="es-CR" w:eastAsia="es-ES"/>
        </w:rPr>
      </w:pPr>
      <w:r>
        <w:rPr>
          <w:b/>
          <w:sz w:val="24"/>
          <w:lang w:val="es-CR" w:eastAsia="es-ES"/>
        </w:rPr>
        <w:t>Bancos Creados por Leyes Especiales</w:t>
      </w:r>
    </w:p>
    <w:p w:rsidR="005C16F5" w:rsidP="005C16F5" w:rsidRDefault="005C16F5" w14:paraId="216D9DD4" w14:textId="77777777">
      <w:pPr>
        <w:widowControl w:val="0"/>
        <w:numPr>
          <w:ilvl w:val="0"/>
          <w:numId w:val="13"/>
        </w:numPr>
        <w:spacing w:after="200" w:line="240" w:lineRule="auto"/>
        <w:ind w:left="567" w:right="86" w:hanging="567"/>
        <w:contextualSpacing/>
        <w:rPr>
          <w:b/>
          <w:sz w:val="24"/>
          <w:lang w:val="es-CR" w:eastAsia="es-ES"/>
        </w:rPr>
      </w:pPr>
      <w:r>
        <w:rPr>
          <w:b/>
          <w:sz w:val="24"/>
          <w:lang w:val="es-CR" w:eastAsia="es-ES"/>
        </w:rPr>
        <w:t>Bancos Privados</w:t>
      </w:r>
    </w:p>
    <w:p w:rsidR="005C16F5" w:rsidP="005C16F5" w:rsidRDefault="005C16F5" w14:paraId="054C7FC6" w14:textId="77777777">
      <w:pPr>
        <w:widowControl w:val="0"/>
        <w:numPr>
          <w:ilvl w:val="0"/>
          <w:numId w:val="13"/>
        </w:numPr>
        <w:spacing w:after="200" w:line="240" w:lineRule="auto"/>
        <w:ind w:left="567" w:right="86" w:hanging="567"/>
        <w:contextualSpacing/>
        <w:rPr>
          <w:b/>
          <w:sz w:val="24"/>
          <w:lang w:val="es-CR" w:eastAsia="es-ES"/>
        </w:rPr>
      </w:pPr>
      <w:r>
        <w:rPr>
          <w:b/>
          <w:sz w:val="24"/>
          <w:lang w:val="es-CR" w:eastAsia="es-ES"/>
        </w:rPr>
        <w:t>Empresas Financieras no Bancarias</w:t>
      </w:r>
    </w:p>
    <w:p w:rsidR="005C16F5" w:rsidP="005C16F5" w:rsidRDefault="005C16F5" w14:paraId="62CE736B" w14:textId="77777777">
      <w:pPr>
        <w:widowControl w:val="0"/>
        <w:numPr>
          <w:ilvl w:val="0"/>
          <w:numId w:val="13"/>
        </w:numPr>
        <w:spacing w:after="200" w:line="240" w:lineRule="auto"/>
        <w:ind w:left="567" w:right="86" w:hanging="567"/>
        <w:contextualSpacing/>
        <w:rPr>
          <w:b/>
          <w:sz w:val="24"/>
          <w:lang w:val="es-CR" w:eastAsia="es-ES"/>
        </w:rPr>
      </w:pPr>
      <w:r>
        <w:rPr>
          <w:b/>
          <w:sz w:val="24"/>
          <w:lang w:val="es-CR" w:eastAsia="es-ES"/>
        </w:rPr>
        <w:t>Organizaciones Cooperativas de Ahorro y Crédito</w:t>
      </w:r>
    </w:p>
    <w:p w:rsidR="005C16F5" w:rsidP="005C16F5" w:rsidRDefault="005C16F5" w14:paraId="252EBB52" w14:textId="77777777">
      <w:pPr>
        <w:widowControl w:val="0"/>
        <w:numPr>
          <w:ilvl w:val="0"/>
          <w:numId w:val="13"/>
        </w:numPr>
        <w:spacing w:after="200" w:line="240" w:lineRule="auto"/>
        <w:ind w:left="567" w:right="86" w:hanging="567"/>
        <w:contextualSpacing/>
        <w:rPr>
          <w:b/>
          <w:sz w:val="24"/>
          <w:lang w:val="es-CR" w:eastAsia="es-ES"/>
        </w:rPr>
      </w:pPr>
      <w:r>
        <w:rPr>
          <w:b/>
          <w:sz w:val="24"/>
          <w:lang w:val="es-CR" w:eastAsia="es-ES"/>
        </w:rPr>
        <w:t>Entidades Autorizadas del Sistema Financiera Nacional para la Vivienda</w:t>
      </w:r>
    </w:p>
    <w:p w:rsidR="005C16F5" w:rsidP="005C16F5" w:rsidRDefault="005C16F5" w14:paraId="0CD4FE67" w14:textId="77777777">
      <w:pPr>
        <w:widowControl w:val="0"/>
        <w:numPr>
          <w:ilvl w:val="0"/>
          <w:numId w:val="13"/>
        </w:numPr>
        <w:spacing w:after="200" w:line="240" w:lineRule="auto"/>
        <w:ind w:left="567" w:right="86" w:hanging="567"/>
        <w:contextualSpacing/>
        <w:rPr>
          <w:b/>
          <w:sz w:val="24"/>
          <w:lang w:val="es-CR" w:eastAsia="es-ES"/>
        </w:rPr>
      </w:pPr>
      <w:r>
        <w:rPr>
          <w:b/>
          <w:sz w:val="24"/>
          <w:lang w:val="es-CR" w:eastAsia="es-ES"/>
        </w:rPr>
        <w:t>Otras Entidades Financieras</w:t>
      </w:r>
    </w:p>
    <w:p w:rsidRPr="00D26B6D" w:rsidR="0005615B" w:rsidP="0005615B" w:rsidRDefault="0005615B" w14:paraId="0A81D645" w14:textId="77777777">
      <w:pPr>
        <w:pStyle w:val="NormalWeb"/>
        <w:spacing w:before="0" w:beforeAutospacing="0" w:after="0" w:afterAutospacing="0"/>
        <w:jc w:val="both"/>
        <w:rPr>
          <w:rFonts w:ascii="Cambria" w:hAnsi="Cambria"/>
          <w:sz w:val="24"/>
          <w:szCs w:val="24"/>
        </w:rPr>
      </w:pPr>
      <w:r w:rsidRPr="00D26B6D">
        <w:rPr>
          <w:rFonts w:ascii="Cambria" w:hAnsi="Cambria"/>
          <w:b/>
          <w:sz w:val="24"/>
          <w:szCs w:val="24"/>
        </w:rPr>
        <w:t>Asunto:</w:t>
      </w:r>
      <w:r w:rsidRPr="00D26B6D">
        <w:rPr>
          <w:rFonts w:ascii="Cambria" w:hAnsi="Cambria"/>
          <w:sz w:val="24"/>
          <w:szCs w:val="24"/>
        </w:rPr>
        <w:t xml:space="preserve"> </w:t>
      </w:r>
      <w:r>
        <w:rPr>
          <w:rFonts w:ascii="Cambria" w:hAnsi="Cambria"/>
          <w:sz w:val="24"/>
          <w:szCs w:val="24"/>
        </w:rPr>
        <w:t xml:space="preserve">Actualización de la Clase de Datos ICL, Capítulo ICL, del </w:t>
      </w:r>
      <w:r w:rsidRPr="0033320A">
        <w:rPr>
          <w:rFonts w:ascii="Cambria" w:hAnsi="Cambria"/>
          <w:sz w:val="24"/>
          <w:szCs w:val="24"/>
        </w:rPr>
        <w:t>Manual de In</w:t>
      </w:r>
      <w:r>
        <w:rPr>
          <w:rFonts w:ascii="Cambria" w:hAnsi="Cambria"/>
          <w:sz w:val="24"/>
          <w:szCs w:val="24"/>
        </w:rPr>
        <w:t>formación de SICVECA</w:t>
      </w:r>
      <w:r w:rsidRPr="0046637C">
        <w:rPr>
          <w:rFonts w:ascii="Cambria" w:hAnsi="Cambria"/>
          <w:sz w:val="24"/>
          <w:szCs w:val="24"/>
        </w:rPr>
        <w:t>.</w:t>
      </w:r>
    </w:p>
    <w:p w:rsidRPr="00D26B6D" w:rsidR="0005615B" w:rsidP="0005615B" w:rsidRDefault="0005615B" w14:paraId="3205CCAA" w14:textId="77777777">
      <w:pPr>
        <w:pStyle w:val="NormalWeb"/>
        <w:spacing w:before="0" w:beforeAutospacing="0" w:after="0" w:afterAutospacing="0"/>
        <w:jc w:val="both"/>
        <w:rPr>
          <w:rFonts w:ascii="Cambria" w:hAnsi="Cambria"/>
          <w:sz w:val="24"/>
          <w:szCs w:val="24"/>
        </w:rPr>
      </w:pPr>
    </w:p>
    <w:p w:rsidRPr="00D26B6D" w:rsidR="0005615B" w:rsidP="0005615B" w:rsidRDefault="0005615B" w14:paraId="2389670F" w14:textId="77777777">
      <w:pPr>
        <w:pStyle w:val="NormalWeb"/>
        <w:spacing w:before="0" w:beforeAutospacing="0" w:after="0" w:afterAutospacing="0"/>
        <w:jc w:val="both"/>
        <w:rPr>
          <w:rFonts w:ascii="Cambria" w:hAnsi="Cambria"/>
          <w:b/>
          <w:sz w:val="24"/>
          <w:szCs w:val="24"/>
        </w:rPr>
      </w:pPr>
      <w:r>
        <w:rPr>
          <w:rFonts w:ascii="Cambria" w:hAnsi="Cambria"/>
          <w:b/>
          <w:sz w:val="24"/>
          <w:szCs w:val="24"/>
        </w:rPr>
        <w:t>El</w:t>
      </w:r>
      <w:r w:rsidRPr="00D26B6D">
        <w:rPr>
          <w:rFonts w:ascii="Cambria" w:hAnsi="Cambria"/>
          <w:b/>
          <w:sz w:val="24"/>
          <w:szCs w:val="24"/>
        </w:rPr>
        <w:t xml:space="preserve"> Superintendente Gener</w:t>
      </w:r>
      <w:r>
        <w:rPr>
          <w:rFonts w:ascii="Cambria" w:hAnsi="Cambria"/>
          <w:b/>
          <w:sz w:val="24"/>
          <w:szCs w:val="24"/>
        </w:rPr>
        <w:t>al de Entidades Financieras</w:t>
      </w:r>
      <w:r w:rsidRPr="00D26B6D">
        <w:rPr>
          <w:rFonts w:ascii="Cambria" w:hAnsi="Cambria"/>
          <w:b/>
          <w:sz w:val="24"/>
          <w:szCs w:val="24"/>
        </w:rPr>
        <w:t>,</w:t>
      </w:r>
    </w:p>
    <w:p w:rsidRPr="00D26B6D" w:rsidR="0005615B" w:rsidP="0005615B" w:rsidRDefault="0005615B" w14:paraId="694360FF" w14:textId="77777777">
      <w:pPr>
        <w:pStyle w:val="NormalWeb"/>
        <w:spacing w:before="0" w:beforeAutospacing="0" w:after="0" w:afterAutospacing="0"/>
        <w:jc w:val="both"/>
        <w:rPr>
          <w:rFonts w:ascii="Cambria" w:hAnsi="Cambria"/>
          <w:sz w:val="24"/>
          <w:szCs w:val="24"/>
        </w:rPr>
      </w:pPr>
    </w:p>
    <w:p w:rsidRPr="00D019E9" w:rsidR="0005615B" w:rsidP="0005615B" w:rsidRDefault="0005615B" w14:paraId="58ECF977" w14:textId="77777777">
      <w:pPr>
        <w:spacing w:before="120" w:after="120" w:line="240" w:lineRule="auto"/>
        <w:ind w:left="33"/>
        <w:rPr>
          <w:rFonts w:asciiTheme="majorHAnsi" w:hAnsiTheme="majorHAnsi"/>
          <w:sz w:val="24"/>
        </w:rPr>
      </w:pPr>
      <w:r w:rsidRPr="00D019E9">
        <w:rPr>
          <w:rFonts w:asciiTheme="majorHAnsi" w:hAnsiTheme="majorHAnsi"/>
          <w:b/>
          <w:sz w:val="24"/>
        </w:rPr>
        <w:t>Considerando que</w:t>
      </w:r>
      <w:r w:rsidRPr="00D019E9">
        <w:rPr>
          <w:rFonts w:asciiTheme="majorHAnsi" w:hAnsiTheme="majorHAnsi"/>
          <w:sz w:val="24"/>
        </w:rPr>
        <w:t>:</w:t>
      </w:r>
    </w:p>
    <w:p w:rsidRPr="00D019E9" w:rsidR="0005615B" w:rsidP="0005615B" w:rsidRDefault="0005615B" w14:paraId="162B3A7A" w14:textId="77777777">
      <w:pPr>
        <w:spacing w:before="120" w:after="120" w:line="240" w:lineRule="auto"/>
        <w:ind w:left="33"/>
        <w:rPr>
          <w:rFonts w:asciiTheme="majorHAnsi" w:hAnsiTheme="majorHAnsi"/>
          <w:b/>
          <w:sz w:val="24"/>
        </w:rPr>
      </w:pPr>
    </w:p>
    <w:p w:rsidRPr="00121560" w:rsidR="0005615B" w:rsidP="0005615B" w:rsidRDefault="0005615B" w14:paraId="136F118C" w14:textId="77777777">
      <w:pPr>
        <w:pStyle w:val="Prrafodelista"/>
        <w:numPr>
          <w:ilvl w:val="0"/>
          <w:numId w:val="14"/>
        </w:numPr>
        <w:spacing w:before="120" w:after="120" w:line="240" w:lineRule="auto"/>
        <w:jc w:val="both"/>
        <w:rPr>
          <w:rFonts w:ascii="Cambria" w:hAnsi="Cambria"/>
          <w:sz w:val="24"/>
          <w:szCs w:val="24"/>
        </w:rPr>
      </w:pPr>
      <w:r w:rsidRPr="00121560">
        <w:rPr>
          <w:rFonts w:ascii="Cambria" w:hAnsi="Cambria"/>
          <w:sz w:val="24"/>
          <w:szCs w:val="24"/>
        </w:rPr>
        <w:t xml:space="preserve">El Consejo Nacional de Supervisión del Sistema Financiero aprobó mediante Artículo 7, del Acta de la Sesión 1058-2013, del 19 de agosto del 2013 el </w:t>
      </w:r>
      <w:r w:rsidRPr="00121560">
        <w:rPr>
          <w:rFonts w:ascii="Cambria" w:hAnsi="Cambria"/>
          <w:i/>
          <w:sz w:val="24"/>
          <w:szCs w:val="24"/>
        </w:rPr>
        <w:t>Reglamento sobre administración del riesgo de liquidez</w:t>
      </w:r>
      <w:r w:rsidRPr="00121560">
        <w:rPr>
          <w:rFonts w:ascii="Cambria" w:hAnsi="Cambria"/>
          <w:sz w:val="24"/>
          <w:szCs w:val="24"/>
        </w:rPr>
        <w:t>, Acuerdo SUGEF 17-13. Publicado en el Diario Oficial La Gaceta N° 166 del 30 de agosto del 2013.</w:t>
      </w:r>
    </w:p>
    <w:p w:rsidRPr="00121560" w:rsidR="0005615B" w:rsidP="0005615B" w:rsidRDefault="0005615B" w14:paraId="2700D651" w14:textId="77777777">
      <w:pPr>
        <w:pStyle w:val="Prrafodelista"/>
        <w:spacing w:before="120" w:after="120" w:line="240" w:lineRule="auto"/>
        <w:jc w:val="both"/>
        <w:rPr>
          <w:rFonts w:ascii="Cambria" w:hAnsi="Cambria"/>
          <w:sz w:val="24"/>
          <w:szCs w:val="24"/>
        </w:rPr>
      </w:pPr>
    </w:p>
    <w:p w:rsidRPr="00121560" w:rsidR="0005615B" w:rsidP="0005615B" w:rsidRDefault="0005615B" w14:paraId="662AAC94" w14:textId="77777777">
      <w:pPr>
        <w:pStyle w:val="Prrafodelista"/>
        <w:numPr>
          <w:ilvl w:val="0"/>
          <w:numId w:val="14"/>
        </w:numPr>
        <w:spacing w:before="120" w:after="120" w:line="240" w:lineRule="auto"/>
        <w:jc w:val="both"/>
        <w:rPr>
          <w:rFonts w:ascii="Cambria" w:hAnsi="Cambria"/>
          <w:sz w:val="24"/>
          <w:szCs w:val="24"/>
        </w:rPr>
      </w:pPr>
      <w:r w:rsidRPr="00121560">
        <w:rPr>
          <w:rFonts w:ascii="Cambria" w:hAnsi="Cambria"/>
          <w:sz w:val="24"/>
          <w:szCs w:val="24"/>
        </w:rPr>
        <w:t xml:space="preserve">Mediante Circular Externa SUGEF 2856-2014 del 21 de noviembre del 2014, la SUGEF comunicó a las instituciones financieras la creación de una </w:t>
      </w:r>
      <w:r w:rsidRPr="00121560">
        <w:rPr>
          <w:rFonts w:ascii="Cambria" w:hAnsi="Cambria"/>
          <w:sz w:val="24"/>
          <w:szCs w:val="24"/>
          <w:lang w:val="es-ES"/>
        </w:rPr>
        <w:t>Nueva Clase de Datos ICL dentro del Sistema de Captura, Verificación y Carga de Datos (SICVECA), mediante la cual éstas envían el detalle y resultado del Indicador de Cobertura de Liquidez.</w:t>
      </w:r>
    </w:p>
    <w:p w:rsidRPr="00121560" w:rsidR="0005615B" w:rsidP="0005615B" w:rsidRDefault="0005615B" w14:paraId="0E2B8ABA" w14:textId="77777777">
      <w:pPr>
        <w:pStyle w:val="Prrafodelista"/>
        <w:rPr>
          <w:rFonts w:ascii="Cambria" w:hAnsi="Cambria"/>
          <w:sz w:val="24"/>
          <w:szCs w:val="24"/>
        </w:rPr>
      </w:pPr>
    </w:p>
    <w:p w:rsidRPr="00121560" w:rsidR="0005615B" w:rsidP="0005615B" w:rsidRDefault="0005615B" w14:paraId="3775B6B2" w14:textId="77777777">
      <w:pPr>
        <w:pStyle w:val="Prrafodelista"/>
        <w:numPr>
          <w:ilvl w:val="0"/>
          <w:numId w:val="14"/>
        </w:numPr>
        <w:spacing w:before="120" w:after="120" w:line="240" w:lineRule="auto"/>
        <w:jc w:val="both"/>
        <w:rPr>
          <w:rFonts w:ascii="Cambria" w:hAnsi="Cambria"/>
          <w:sz w:val="24"/>
          <w:szCs w:val="24"/>
          <w:lang w:val="es-ES"/>
        </w:rPr>
      </w:pPr>
      <w:r w:rsidRPr="00121560">
        <w:rPr>
          <w:rFonts w:ascii="Cambria" w:hAnsi="Cambria"/>
          <w:sz w:val="24"/>
          <w:szCs w:val="24"/>
          <w:lang w:val="es-ES"/>
        </w:rPr>
        <w:lastRenderedPageBreak/>
        <w:t>Mediante Circular Externa SUGEF 0180-2015 de 27 de enero del 2015, la SUGEF comunicó a las instituciones financieras el periodo de pruebas de la Clase de Datos ICL dentro del SICVECA, mediante la cual éstas envían el detalle y resultado del Indicador de Cobertura de Liquidez.</w:t>
      </w:r>
    </w:p>
    <w:p w:rsidRPr="00121560" w:rsidR="0005615B" w:rsidP="0005615B" w:rsidRDefault="0005615B" w14:paraId="39EE9C30" w14:textId="77777777">
      <w:pPr>
        <w:pStyle w:val="Prrafodelista"/>
        <w:spacing w:before="120" w:after="120" w:line="240" w:lineRule="auto"/>
        <w:jc w:val="both"/>
        <w:rPr>
          <w:rFonts w:ascii="Cambria" w:hAnsi="Cambria"/>
          <w:sz w:val="24"/>
          <w:szCs w:val="24"/>
        </w:rPr>
      </w:pPr>
    </w:p>
    <w:p w:rsidRPr="00121560" w:rsidR="0005615B" w:rsidP="0005615B" w:rsidRDefault="0005615B" w14:paraId="11EAA8E5" w14:textId="77777777">
      <w:pPr>
        <w:pStyle w:val="Prrafodelista"/>
        <w:numPr>
          <w:ilvl w:val="0"/>
          <w:numId w:val="14"/>
        </w:numPr>
        <w:spacing w:before="120" w:after="120" w:line="240" w:lineRule="auto"/>
        <w:contextualSpacing w:val="0"/>
        <w:jc w:val="both"/>
        <w:rPr>
          <w:rFonts w:ascii="Cambria" w:hAnsi="Cambria"/>
          <w:sz w:val="24"/>
          <w:szCs w:val="24"/>
        </w:rPr>
      </w:pPr>
      <w:r w:rsidRPr="00121560">
        <w:rPr>
          <w:rFonts w:ascii="Cambria" w:hAnsi="Cambria"/>
          <w:sz w:val="24"/>
          <w:szCs w:val="24"/>
          <w:lang w:val="es-ES"/>
        </w:rPr>
        <w:t>El inciso b) artículo 131 de la Ley Orgánica del Banco Central de Costa Rica, Ley N° 7558 dispone que le corresponde al Superintendente General de Entidades Financieras tomar las medidas necesarias para ejecutar los acuerdos del Consejo Nacional de Supervisión del Sistema Financiero.</w:t>
      </w:r>
    </w:p>
    <w:p w:rsidRPr="00121560" w:rsidR="0005615B" w:rsidP="0005615B" w:rsidRDefault="0005615B" w14:paraId="725E094B" w14:textId="77777777">
      <w:pPr>
        <w:pStyle w:val="Prrafodelista"/>
        <w:numPr>
          <w:ilvl w:val="0"/>
          <w:numId w:val="14"/>
        </w:numPr>
        <w:spacing w:before="120" w:after="120" w:line="240" w:lineRule="auto"/>
        <w:jc w:val="both"/>
        <w:rPr>
          <w:rFonts w:ascii="Cambria" w:hAnsi="Cambria"/>
          <w:sz w:val="24"/>
          <w:szCs w:val="24"/>
        </w:rPr>
      </w:pPr>
      <w:r w:rsidRPr="00121560">
        <w:rPr>
          <w:rFonts w:ascii="Cambria" w:hAnsi="Cambria"/>
          <w:bCs/>
          <w:sz w:val="24"/>
          <w:szCs w:val="24"/>
          <w:lang w:val="es-ES"/>
        </w:rPr>
        <w:t xml:space="preserve">Mediante Artículo 6 del Acta de sesión 1433-2018 del 30 de julio del 2018, el CONASSIF aprobó una reforma al cálculo del Indicador de Cobertura de Liquidez contenido en el </w:t>
      </w:r>
      <w:r w:rsidRPr="00121560">
        <w:rPr>
          <w:rFonts w:ascii="Cambria" w:hAnsi="Cambria"/>
          <w:i/>
          <w:sz w:val="24"/>
          <w:szCs w:val="24"/>
        </w:rPr>
        <w:t>Reglamento sobre administración del riesgo de liquidez</w:t>
      </w:r>
      <w:r w:rsidRPr="00121560">
        <w:rPr>
          <w:rFonts w:ascii="Cambria" w:hAnsi="Cambria"/>
          <w:sz w:val="24"/>
          <w:szCs w:val="24"/>
        </w:rPr>
        <w:t xml:space="preserve">, Acuerdo SUGEF 17-13. Publicado en el Alcance </w:t>
      </w:r>
      <w:r w:rsidRPr="00121560">
        <w:rPr>
          <w:rFonts w:ascii="Cambria" w:hAnsi="Cambria"/>
          <w:sz w:val="24"/>
          <w:szCs w:val="24"/>
          <w:lang w:val="es-ES"/>
        </w:rPr>
        <w:t xml:space="preserve">N° </w:t>
      </w:r>
      <w:r w:rsidRPr="00121560">
        <w:rPr>
          <w:rFonts w:ascii="Cambria" w:hAnsi="Cambria"/>
          <w:sz w:val="24"/>
          <w:szCs w:val="24"/>
        </w:rPr>
        <w:t xml:space="preserve">148 a La Gaceta </w:t>
      </w:r>
      <w:r w:rsidRPr="00121560">
        <w:rPr>
          <w:rFonts w:ascii="Cambria" w:hAnsi="Cambria"/>
          <w:sz w:val="24"/>
          <w:szCs w:val="24"/>
          <w:lang w:val="es-ES"/>
        </w:rPr>
        <w:t xml:space="preserve">N° </w:t>
      </w:r>
      <w:r w:rsidRPr="00121560">
        <w:rPr>
          <w:rFonts w:ascii="Cambria" w:hAnsi="Cambria"/>
          <w:sz w:val="24"/>
          <w:szCs w:val="24"/>
        </w:rPr>
        <w:t xml:space="preserve">152 del miércoles 22 de agosto del 2018. </w:t>
      </w:r>
    </w:p>
    <w:p w:rsidRPr="00121560" w:rsidR="0005615B" w:rsidP="0005615B" w:rsidRDefault="0005615B" w14:paraId="1C97739D" w14:textId="77777777">
      <w:pPr>
        <w:pStyle w:val="Prrafodelista"/>
        <w:spacing w:before="120" w:after="120" w:line="240" w:lineRule="auto"/>
        <w:jc w:val="both"/>
        <w:rPr>
          <w:rFonts w:ascii="Cambria" w:hAnsi="Cambria"/>
          <w:sz w:val="24"/>
          <w:szCs w:val="24"/>
        </w:rPr>
      </w:pPr>
    </w:p>
    <w:p w:rsidRPr="00121560" w:rsidR="0005615B" w:rsidP="0005615B" w:rsidRDefault="0005615B" w14:paraId="793B2121" w14:textId="77777777">
      <w:pPr>
        <w:pStyle w:val="Prrafodelista"/>
        <w:numPr>
          <w:ilvl w:val="0"/>
          <w:numId w:val="14"/>
        </w:numPr>
        <w:spacing w:before="120" w:after="120" w:line="240" w:lineRule="auto"/>
        <w:jc w:val="both"/>
        <w:rPr>
          <w:rFonts w:ascii="Cambria" w:hAnsi="Cambria"/>
          <w:bCs/>
          <w:sz w:val="24"/>
          <w:szCs w:val="24"/>
          <w:lang w:val="es-ES"/>
        </w:rPr>
      </w:pPr>
      <w:r w:rsidRPr="00121560">
        <w:rPr>
          <w:rFonts w:ascii="Cambria" w:hAnsi="Cambria"/>
          <w:bCs/>
          <w:sz w:val="24"/>
          <w:szCs w:val="24"/>
          <w:lang w:val="es-ES"/>
        </w:rPr>
        <w:t xml:space="preserve">Que es responsabilidad de las entidades supervisadas, cumplir con el envío oportuno de la información, de conformidad con los plazos de vigencia establecidos en el </w:t>
      </w:r>
      <w:r w:rsidRPr="00121560">
        <w:rPr>
          <w:rFonts w:ascii="Cambria" w:hAnsi="Cambria"/>
          <w:bCs/>
          <w:i/>
          <w:sz w:val="24"/>
          <w:szCs w:val="24"/>
          <w:lang w:val="es-ES"/>
        </w:rPr>
        <w:t>Reglamento sobre la administración del riesgo de liquidez</w:t>
      </w:r>
      <w:r w:rsidRPr="00121560">
        <w:rPr>
          <w:rFonts w:ascii="Cambria" w:hAnsi="Cambria"/>
          <w:bCs/>
          <w:sz w:val="24"/>
          <w:szCs w:val="24"/>
          <w:lang w:val="es-ES"/>
        </w:rPr>
        <w:t>, Acuerdo SUGEF 17-13.</w:t>
      </w:r>
    </w:p>
    <w:p w:rsidRPr="00121560" w:rsidR="0005615B" w:rsidP="0005615B" w:rsidRDefault="0005615B" w14:paraId="6C72D9AF" w14:textId="77777777">
      <w:pPr>
        <w:pStyle w:val="Prrafodelista"/>
        <w:spacing w:before="120" w:after="120" w:line="240" w:lineRule="auto"/>
        <w:jc w:val="both"/>
        <w:rPr>
          <w:rFonts w:ascii="Cambria" w:hAnsi="Cambria"/>
          <w:bCs/>
          <w:sz w:val="24"/>
          <w:szCs w:val="24"/>
          <w:lang w:val="es-ES"/>
        </w:rPr>
      </w:pPr>
    </w:p>
    <w:p w:rsidRPr="00121560" w:rsidR="0005615B" w:rsidP="0005615B" w:rsidRDefault="0005615B" w14:paraId="0D160198" w14:textId="77777777">
      <w:pPr>
        <w:pStyle w:val="Prrafodelista"/>
        <w:numPr>
          <w:ilvl w:val="0"/>
          <w:numId w:val="14"/>
        </w:numPr>
        <w:spacing w:before="120" w:after="120" w:line="240" w:lineRule="auto"/>
        <w:jc w:val="both"/>
        <w:rPr>
          <w:rFonts w:ascii="Cambria" w:hAnsi="Cambria"/>
          <w:bCs/>
          <w:sz w:val="24"/>
          <w:szCs w:val="24"/>
          <w:lang w:val="es-ES"/>
        </w:rPr>
      </w:pPr>
      <w:r w:rsidRPr="00121560">
        <w:rPr>
          <w:rFonts w:ascii="Cambria" w:hAnsi="Cambria"/>
          <w:bCs/>
          <w:sz w:val="24"/>
          <w:szCs w:val="24"/>
          <w:lang w:val="es-ES"/>
        </w:rPr>
        <w:t>Los eventuales resultados del ICL por debajo del nivel mínimo regulatorio, serán canalizados mediante acciones supervisoras enfocadas a la definición, diseño y ejecución de planes de acción por parte de las entidades, con plazos y actividades claramente identificadas.</w:t>
      </w:r>
    </w:p>
    <w:p w:rsidRPr="00C74A40" w:rsidR="0005615B" w:rsidP="0005615B" w:rsidRDefault="0005615B" w14:paraId="2047D0CE" w14:textId="77777777">
      <w:pPr>
        <w:rPr>
          <w:sz w:val="24"/>
        </w:rPr>
      </w:pPr>
      <w:r w:rsidRPr="00CF6EFC">
        <w:rPr>
          <w:b/>
          <w:sz w:val="24"/>
        </w:rPr>
        <w:t>Dispone</w:t>
      </w:r>
      <w:r w:rsidRPr="00C74A40">
        <w:rPr>
          <w:sz w:val="24"/>
        </w:rPr>
        <w:t>:</w:t>
      </w:r>
    </w:p>
    <w:p w:rsidRPr="00C74A40" w:rsidR="0005615B" w:rsidP="0005615B" w:rsidRDefault="0005615B" w14:paraId="7E22253B" w14:textId="77777777">
      <w:pPr>
        <w:pStyle w:val="Prrafodelista"/>
        <w:ind w:left="0"/>
        <w:jc w:val="both"/>
        <w:rPr>
          <w:rFonts w:ascii="Cambria" w:hAnsi="Cambria"/>
          <w:b/>
          <w:sz w:val="24"/>
          <w:szCs w:val="24"/>
        </w:rPr>
      </w:pPr>
    </w:p>
    <w:p w:rsidRPr="001362F2" w:rsidR="0005615B" w:rsidP="001362F2" w:rsidRDefault="001362F2" w14:paraId="0860AF80" w14:textId="0F609EA0">
      <w:pPr>
        <w:pStyle w:val="Prrafodelista"/>
        <w:numPr>
          <w:ilvl w:val="0"/>
          <w:numId w:val="15"/>
        </w:numPr>
        <w:spacing w:after="0" w:line="240" w:lineRule="auto"/>
        <w:contextualSpacing w:val="0"/>
        <w:jc w:val="both"/>
        <w:rPr>
          <w:sz w:val="24"/>
        </w:rPr>
      </w:pPr>
      <w:r>
        <w:rPr>
          <w:rFonts w:ascii="Cambria" w:hAnsi="Cambria"/>
          <w:color w:val="181818"/>
          <w:sz w:val="24"/>
          <w:szCs w:val="24"/>
        </w:rPr>
        <w:t>Derogar</w:t>
      </w:r>
      <w:r w:rsidRPr="00C74A40" w:rsidR="0005615B">
        <w:rPr>
          <w:rFonts w:ascii="Cambria" w:hAnsi="Cambria"/>
          <w:color w:val="181818"/>
          <w:sz w:val="24"/>
          <w:szCs w:val="24"/>
        </w:rPr>
        <w:t xml:space="preserve"> la Circular Externa SUGEF 0180-2015 del 27 de enero del 2015</w:t>
      </w:r>
      <w:r w:rsidR="00B9415A">
        <w:rPr>
          <w:rFonts w:ascii="Cambria" w:hAnsi="Cambria"/>
          <w:color w:val="181818"/>
          <w:sz w:val="24"/>
          <w:szCs w:val="24"/>
        </w:rPr>
        <w:t xml:space="preserve"> </w:t>
      </w:r>
    </w:p>
    <w:p w:rsidRPr="00121560" w:rsidR="001362F2" w:rsidP="001362F2" w:rsidRDefault="001362F2" w14:paraId="2E91185E" w14:textId="77777777">
      <w:pPr>
        <w:pStyle w:val="Prrafodelista"/>
        <w:spacing w:after="0" w:line="240" w:lineRule="auto"/>
        <w:contextualSpacing w:val="0"/>
        <w:jc w:val="both"/>
        <w:rPr>
          <w:sz w:val="24"/>
        </w:rPr>
      </w:pPr>
    </w:p>
    <w:p w:rsidRPr="00C74A40" w:rsidR="0005615B" w:rsidP="0005615B" w:rsidRDefault="0005615B" w14:paraId="00397F05" w14:textId="77777777">
      <w:pPr>
        <w:pStyle w:val="Prrafodelista"/>
        <w:numPr>
          <w:ilvl w:val="0"/>
          <w:numId w:val="15"/>
        </w:numPr>
        <w:spacing w:after="0" w:line="240" w:lineRule="auto"/>
        <w:contextualSpacing w:val="0"/>
        <w:jc w:val="both"/>
        <w:rPr>
          <w:rFonts w:ascii="Cambria" w:hAnsi="Cambria"/>
          <w:sz w:val="24"/>
          <w:szCs w:val="24"/>
        </w:rPr>
      </w:pPr>
      <w:r w:rsidRPr="00C74A40">
        <w:rPr>
          <w:rFonts w:ascii="Cambria" w:hAnsi="Cambria"/>
          <w:color w:val="181818"/>
          <w:sz w:val="24"/>
          <w:szCs w:val="24"/>
        </w:rPr>
        <w:lastRenderedPageBreak/>
        <w:t>Definir el periodo de pruebas de la Clase de datos ICL:</w:t>
      </w:r>
    </w:p>
    <w:p w:rsidRPr="00C74A40" w:rsidR="0005615B" w:rsidP="0005615B" w:rsidRDefault="0005615B" w14:paraId="38CA9B2A" w14:textId="77777777">
      <w:pPr>
        <w:rPr>
          <w:sz w:val="24"/>
        </w:rPr>
      </w:pPr>
    </w:p>
    <w:tbl>
      <w:tblPr>
        <w:tblStyle w:val="Tablaconcuadrcula"/>
        <w:tblW w:w="0" w:type="auto"/>
        <w:tblInd w:w="720" w:type="dxa"/>
        <w:tblLook w:val="04A0" w:firstRow="1" w:lastRow="0" w:firstColumn="1" w:lastColumn="0" w:noHBand="0" w:noVBand="1"/>
      </w:tblPr>
      <w:tblGrid>
        <w:gridCol w:w="4014"/>
        <w:gridCol w:w="3810"/>
      </w:tblGrid>
      <w:tr w:rsidRPr="00C74A40" w:rsidR="0005615B" w:rsidTr="00D72668" w14:paraId="73E60769" w14:textId="77777777">
        <w:tc>
          <w:tcPr>
            <w:tcW w:w="4076" w:type="dxa"/>
          </w:tcPr>
          <w:p w:rsidRPr="00C74A40" w:rsidR="0005615B" w:rsidP="00D72668" w:rsidRDefault="0005615B" w14:paraId="4FAF6483" w14:textId="77777777">
            <w:pPr>
              <w:pStyle w:val="Prrafodelista"/>
              <w:ind w:left="0"/>
              <w:rPr>
                <w:rFonts w:ascii="Cambria" w:hAnsi="Cambria"/>
                <w:b/>
                <w:color w:val="181818"/>
                <w:sz w:val="24"/>
                <w:szCs w:val="24"/>
              </w:rPr>
            </w:pPr>
            <w:r w:rsidRPr="00C74A40">
              <w:rPr>
                <w:rFonts w:ascii="Cambria" w:hAnsi="Cambria"/>
                <w:b/>
                <w:color w:val="181818"/>
                <w:sz w:val="24"/>
                <w:szCs w:val="24"/>
              </w:rPr>
              <w:t>Clase de Datos</w:t>
            </w:r>
          </w:p>
        </w:tc>
        <w:tc>
          <w:tcPr>
            <w:tcW w:w="4032" w:type="dxa"/>
          </w:tcPr>
          <w:p w:rsidRPr="00C74A40" w:rsidR="0005615B" w:rsidP="00D72668" w:rsidRDefault="0005615B" w14:paraId="16AFDE0B" w14:textId="77777777">
            <w:pPr>
              <w:pStyle w:val="Prrafodelista"/>
              <w:ind w:left="0"/>
              <w:rPr>
                <w:rFonts w:ascii="Cambria" w:hAnsi="Cambria"/>
                <w:b/>
                <w:color w:val="181818"/>
                <w:sz w:val="24"/>
                <w:szCs w:val="24"/>
              </w:rPr>
            </w:pPr>
            <w:r w:rsidRPr="00C74A40">
              <w:rPr>
                <w:rFonts w:ascii="Cambria" w:hAnsi="Cambria"/>
                <w:b/>
                <w:color w:val="181818"/>
                <w:sz w:val="24"/>
                <w:szCs w:val="24"/>
              </w:rPr>
              <w:t>Fechas</w:t>
            </w:r>
          </w:p>
        </w:tc>
      </w:tr>
      <w:tr w:rsidRPr="00C74A40" w:rsidR="0005615B" w:rsidTr="00D72668" w14:paraId="7E209D0B" w14:textId="77777777">
        <w:tc>
          <w:tcPr>
            <w:tcW w:w="4076" w:type="dxa"/>
          </w:tcPr>
          <w:p w:rsidRPr="00C74A40" w:rsidR="0005615B" w:rsidP="00D72668" w:rsidRDefault="0005615B" w14:paraId="5AB748EB" w14:textId="77777777">
            <w:pPr>
              <w:pStyle w:val="Prrafodelista"/>
              <w:ind w:left="0"/>
              <w:rPr>
                <w:rFonts w:ascii="Cambria" w:hAnsi="Cambria"/>
                <w:color w:val="181818"/>
                <w:sz w:val="24"/>
                <w:szCs w:val="24"/>
              </w:rPr>
            </w:pPr>
            <w:r w:rsidRPr="00C74A40">
              <w:rPr>
                <w:rFonts w:ascii="Cambria" w:hAnsi="Cambria"/>
                <w:color w:val="181818"/>
                <w:sz w:val="24"/>
                <w:szCs w:val="24"/>
              </w:rPr>
              <w:t>Clase de Datos ICL</w:t>
            </w:r>
          </w:p>
          <w:p w:rsidRPr="00C74A40" w:rsidR="0005615B" w:rsidP="00D72668" w:rsidRDefault="0005615B" w14:paraId="4475504A" w14:textId="77777777">
            <w:pPr>
              <w:pStyle w:val="Prrafodelista"/>
              <w:ind w:left="0"/>
              <w:rPr>
                <w:rFonts w:ascii="Cambria" w:hAnsi="Cambria"/>
                <w:color w:val="181818"/>
                <w:sz w:val="24"/>
                <w:szCs w:val="24"/>
              </w:rPr>
            </w:pPr>
          </w:p>
          <w:p w:rsidR="0005615B" w:rsidP="00D72668" w:rsidRDefault="0005615B" w14:paraId="6395F674" w14:textId="77777777">
            <w:pPr>
              <w:pStyle w:val="Prrafodelista"/>
              <w:ind w:left="0"/>
              <w:rPr>
                <w:rFonts w:ascii="Cambria" w:hAnsi="Cambria"/>
                <w:b/>
                <w:color w:val="181818"/>
                <w:sz w:val="24"/>
                <w:szCs w:val="24"/>
              </w:rPr>
            </w:pPr>
          </w:p>
          <w:p w:rsidRPr="00C74A40" w:rsidR="0005615B" w:rsidP="00D72668" w:rsidRDefault="0005615B" w14:paraId="0B1CBC9A" w14:textId="77777777">
            <w:pPr>
              <w:pStyle w:val="Prrafodelista"/>
              <w:ind w:left="0"/>
              <w:rPr>
                <w:rFonts w:ascii="Cambria" w:hAnsi="Cambria"/>
                <w:color w:val="181818"/>
                <w:sz w:val="24"/>
                <w:szCs w:val="24"/>
              </w:rPr>
            </w:pPr>
            <w:r w:rsidRPr="00C74A40">
              <w:rPr>
                <w:rFonts w:ascii="Cambria" w:hAnsi="Cambria"/>
                <w:b/>
                <w:color w:val="181818"/>
                <w:sz w:val="24"/>
                <w:szCs w:val="24"/>
              </w:rPr>
              <w:t>Responsables</w:t>
            </w:r>
            <w:r w:rsidRPr="00C74A40">
              <w:rPr>
                <w:rFonts w:ascii="Cambria" w:hAnsi="Cambria"/>
                <w:color w:val="181818"/>
                <w:sz w:val="24"/>
                <w:szCs w:val="24"/>
              </w:rPr>
              <w:t>:</w:t>
            </w:r>
          </w:p>
          <w:p w:rsidRPr="00C74A40" w:rsidR="0005615B" w:rsidP="0005615B" w:rsidRDefault="0005615B" w14:paraId="687C081B" w14:textId="77777777">
            <w:pPr>
              <w:pStyle w:val="Prrafodelista"/>
              <w:numPr>
                <w:ilvl w:val="0"/>
                <w:numId w:val="16"/>
              </w:numPr>
              <w:spacing w:after="0" w:line="240" w:lineRule="auto"/>
              <w:rPr>
                <w:rFonts w:ascii="Cambria" w:hAnsi="Cambria"/>
                <w:color w:val="181818"/>
                <w:sz w:val="24"/>
                <w:szCs w:val="24"/>
              </w:rPr>
            </w:pPr>
            <w:r w:rsidRPr="00C74A40">
              <w:rPr>
                <w:rFonts w:ascii="Cambria" w:hAnsi="Cambria"/>
                <w:color w:val="181818"/>
                <w:sz w:val="24"/>
                <w:szCs w:val="24"/>
              </w:rPr>
              <w:t>Arnoldo Bustos López (</w:t>
            </w:r>
            <w:hyperlink w:history="1" r:id="rId13">
              <w:r w:rsidRPr="00C74A40">
                <w:rPr>
                  <w:rStyle w:val="Hipervnculo"/>
                  <w:rFonts w:ascii="Cambria" w:hAnsi="Cambria"/>
                  <w:sz w:val="24"/>
                  <w:szCs w:val="24"/>
                </w:rPr>
                <w:t>abustos@sugef.fi.cr</w:t>
              </w:r>
            </w:hyperlink>
            <w:r w:rsidRPr="00C74A40">
              <w:rPr>
                <w:rFonts w:ascii="Cambria" w:hAnsi="Cambria"/>
                <w:color w:val="181818"/>
                <w:sz w:val="24"/>
                <w:szCs w:val="24"/>
              </w:rPr>
              <w:t xml:space="preserve">) </w:t>
            </w:r>
          </w:p>
          <w:p w:rsidRPr="00C74A40" w:rsidR="0005615B" w:rsidP="0005615B" w:rsidRDefault="0005615B" w14:paraId="794FDB6E" w14:textId="77777777">
            <w:pPr>
              <w:pStyle w:val="Prrafodelista"/>
              <w:numPr>
                <w:ilvl w:val="0"/>
                <w:numId w:val="16"/>
              </w:numPr>
              <w:spacing w:after="0" w:line="240" w:lineRule="auto"/>
              <w:rPr>
                <w:rFonts w:ascii="Cambria" w:hAnsi="Cambria"/>
                <w:color w:val="181818"/>
                <w:sz w:val="24"/>
                <w:szCs w:val="24"/>
              </w:rPr>
            </w:pPr>
            <w:r w:rsidRPr="00C74A40">
              <w:rPr>
                <w:rFonts w:ascii="Cambria" w:hAnsi="Cambria"/>
                <w:color w:val="181818"/>
                <w:sz w:val="24"/>
                <w:szCs w:val="24"/>
              </w:rPr>
              <w:t>Deyma Margeri Camacho Valerio (</w:t>
            </w:r>
            <w:hyperlink w:history="1" r:id="rId14">
              <w:r w:rsidRPr="00C74A40">
                <w:rPr>
                  <w:rStyle w:val="Hipervnculo"/>
                  <w:rFonts w:ascii="Cambria" w:hAnsi="Cambria"/>
                  <w:sz w:val="24"/>
                  <w:szCs w:val="24"/>
                </w:rPr>
                <w:t>dcamacho@sugef.fi.cr</w:t>
              </w:r>
            </w:hyperlink>
            <w:r w:rsidRPr="00C74A40">
              <w:rPr>
                <w:rFonts w:ascii="Cambria" w:hAnsi="Cambria"/>
                <w:color w:val="181818"/>
                <w:sz w:val="24"/>
                <w:szCs w:val="24"/>
              </w:rPr>
              <w:t>)</w:t>
            </w:r>
          </w:p>
        </w:tc>
        <w:tc>
          <w:tcPr>
            <w:tcW w:w="4032" w:type="dxa"/>
          </w:tcPr>
          <w:p w:rsidRPr="00C74A40" w:rsidR="0005615B" w:rsidP="00D72668" w:rsidRDefault="0005615B" w14:paraId="07A2132F" w14:textId="6DB80590">
            <w:pPr>
              <w:pStyle w:val="Prrafodelista"/>
              <w:ind w:left="0"/>
              <w:jc w:val="both"/>
              <w:rPr>
                <w:rFonts w:ascii="Cambria" w:hAnsi="Cambria"/>
                <w:color w:val="181818"/>
                <w:sz w:val="24"/>
                <w:szCs w:val="24"/>
              </w:rPr>
            </w:pPr>
            <w:r w:rsidRPr="00C74A40">
              <w:rPr>
                <w:rFonts w:ascii="Cambria" w:hAnsi="Cambria"/>
                <w:color w:val="181818"/>
                <w:sz w:val="24"/>
                <w:szCs w:val="24"/>
              </w:rPr>
              <w:t xml:space="preserve">Periodo de pruebas: del 1º  al 9 de </w:t>
            </w:r>
            <w:r w:rsidR="0061593C">
              <w:rPr>
                <w:rFonts w:ascii="Cambria" w:hAnsi="Cambria"/>
                <w:color w:val="181818"/>
                <w:sz w:val="24"/>
                <w:szCs w:val="24"/>
              </w:rPr>
              <w:t>diciembre</w:t>
            </w:r>
            <w:r w:rsidRPr="00C74A40">
              <w:rPr>
                <w:rFonts w:ascii="Cambria" w:hAnsi="Cambria"/>
                <w:color w:val="181818"/>
                <w:sz w:val="24"/>
                <w:szCs w:val="24"/>
              </w:rPr>
              <w:t xml:space="preserve"> del 2018.</w:t>
            </w:r>
          </w:p>
          <w:p w:rsidRPr="00C74A40" w:rsidR="0005615B" w:rsidP="00D72668" w:rsidRDefault="0005615B" w14:paraId="6FC6AE3D" w14:textId="77777777">
            <w:pPr>
              <w:pStyle w:val="Prrafodelista"/>
              <w:ind w:left="0"/>
              <w:rPr>
                <w:rFonts w:ascii="Cambria" w:hAnsi="Cambria"/>
                <w:sz w:val="24"/>
                <w:szCs w:val="24"/>
              </w:rPr>
            </w:pPr>
          </w:p>
          <w:p w:rsidRPr="00121560" w:rsidR="0005615B" w:rsidP="001716F5" w:rsidRDefault="0005615B" w14:paraId="341754E5" w14:textId="0A40F737">
            <w:pPr>
              <w:pStyle w:val="Prrafodelista"/>
              <w:spacing w:before="100" w:beforeAutospacing="1" w:after="0"/>
              <w:ind w:left="0"/>
              <w:jc w:val="both"/>
              <w:rPr>
                <w:rFonts w:ascii="Cambria" w:hAnsi="Cambria"/>
                <w:sz w:val="24"/>
                <w:szCs w:val="24"/>
              </w:rPr>
            </w:pPr>
            <w:r w:rsidRPr="00C74A40">
              <w:rPr>
                <w:rFonts w:ascii="Cambria" w:hAnsi="Cambria"/>
                <w:sz w:val="24"/>
                <w:szCs w:val="24"/>
              </w:rPr>
              <w:t xml:space="preserve">La información sobre el Indicador de Cobertura de Liquidez (ICL) deberá enviarse en el plazo de 8 días hábiles, contados a partir del último día natural de cada mes, siendo que la información de </w:t>
            </w:r>
            <w:r w:rsidR="001716F5">
              <w:rPr>
                <w:rFonts w:ascii="Cambria" w:hAnsi="Cambria"/>
                <w:sz w:val="24"/>
                <w:szCs w:val="24"/>
              </w:rPr>
              <w:t>noviembre</w:t>
            </w:r>
            <w:r w:rsidRPr="00C74A40">
              <w:rPr>
                <w:rFonts w:ascii="Cambria" w:hAnsi="Cambria"/>
                <w:sz w:val="24"/>
                <w:szCs w:val="24"/>
              </w:rPr>
              <w:t xml:space="preserve"> 2018 ingresará a más tardar el 12 de </w:t>
            </w:r>
            <w:r w:rsidR="0061593C">
              <w:rPr>
                <w:rFonts w:ascii="Cambria" w:hAnsi="Cambria"/>
                <w:sz w:val="24"/>
                <w:szCs w:val="24"/>
              </w:rPr>
              <w:t>diciembre</w:t>
            </w:r>
            <w:r w:rsidRPr="00C74A40">
              <w:rPr>
                <w:rFonts w:ascii="Cambria" w:hAnsi="Cambria"/>
                <w:sz w:val="24"/>
                <w:szCs w:val="24"/>
              </w:rPr>
              <w:t xml:space="preserve"> del 2018.</w:t>
            </w:r>
          </w:p>
        </w:tc>
      </w:tr>
    </w:tbl>
    <w:p w:rsidRPr="00C74A40" w:rsidR="0005615B" w:rsidP="0005615B" w:rsidRDefault="0005615B" w14:paraId="4435B69E" w14:textId="77777777">
      <w:pPr>
        <w:pStyle w:val="Prrafodelista"/>
        <w:rPr>
          <w:rFonts w:ascii="Cambria" w:hAnsi="Cambria"/>
          <w:color w:val="181818"/>
          <w:sz w:val="24"/>
          <w:szCs w:val="24"/>
        </w:rPr>
      </w:pPr>
    </w:p>
    <w:p w:rsidRPr="0005615B" w:rsidR="0005615B" w:rsidP="0005615B" w:rsidRDefault="0005615B" w14:paraId="5BAB9C8B" w14:textId="77777777">
      <w:pPr>
        <w:pStyle w:val="Prrafodelista"/>
        <w:contextualSpacing w:val="0"/>
        <w:jc w:val="both"/>
        <w:rPr>
          <w:rFonts w:ascii="Cambria" w:hAnsi="Cambria"/>
          <w:color w:val="181818"/>
        </w:rPr>
      </w:pPr>
      <w:r w:rsidRPr="00C74A40">
        <w:rPr>
          <w:rFonts w:ascii="Cambria" w:hAnsi="Cambria"/>
          <w:color w:val="181818"/>
          <w:sz w:val="24"/>
          <w:szCs w:val="24"/>
        </w:rPr>
        <w:t xml:space="preserve">Se informa que en el sitio </w:t>
      </w:r>
      <w:r>
        <w:rPr>
          <w:rFonts w:ascii="Cambria" w:hAnsi="Cambria"/>
          <w:color w:val="181818"/>
          <w:sz w:val="24"/>
          <w:szCs w:val="24"/>
        </w:rPr>
        <w:t>web</w:t>
      </w:r>
      <w:r w:rsidRPr="00C74A40">
        <w:rPr>
          <w:rFonts w:ascii="Cambria" w:hAnsi="Cambria"/>
          <w:color w:val="181818"/>
          <w:sz w:val="24"/>
          <w:szCs w:val="24"/>
        </w:rPr>
        <w:t xml:space="preserve"> de la Superintendencia</w:t>
      </w:r>
      <w:r>
        <w:rPr>
          <w:rFonts w:ascii="Cambria" w:hAnsi="Cambria"/>
          <w:color w:val="181818"/>
          <w:sz w:val="24"/>
          <w:szCs w:val="24"/>
        </w:rPr>
        <w:t>,</w:t>
      </w:r>
      <w:r w:rsidRPr="00C74A40">
        <w:rPr>
          <w:rFonts w:ascii="Cambria" w:hAnsi="Cambria"/>
          <w:color w:val="181818"/>
          <w:sz w:val="24"/>
          <w:szCs w:val="24"/>
        </w:rPr>
        <w:t xml:space="preserve"> </w:t>
      </w:r>
      <w:hyperlink w:history="1" r:id="rId15">
        <w:r w:rsidRPr="00C74A40">
          <w:rPr>
            <w:rStyle w:val="Hipervnculo"/>
            <w:rFonts w:ascii="Cambria" w:hAnsi="Cambria"/>
            <w:sz w:val="24"/>
            <w:szCs w:val="24"/>
          </w:rPr>
          <w:t>www.sugef.fi.cr</w:t>
        </w:r>
      </w:hyperlink>
      <w:r w:rsidRPr="00C74A40">
        <w:rPr>
          <w:rFonts w:ascii="Cambria" w:hAnsi="Cambria"/>
          <w:color w:val="181818"/>
          <w:sz w:val="24"/>
          <w:szCs w:val="24"/>
        </w:rPr>
        <w:t>, en el apartado Manuales, sección Manual de Información de SICVECA, Capítulo ICL, se public</w:t>
      </w:r>
      <w:r>
        <w:rPr>
          <w:rFonts w:ascii="Cambria" w:hAnsi="Cambria"/>
          <w:color w:val="181818"/>
          <w:sz w:val="24"/>
          <w:szCs w:val="24"/>
        </w:rPr>
        <w:t>ó</w:t>
      </w:r>
      <w:r w:rsidRPr="00C74A40">
        <w:rPr>
          <w:rFonts w:ascii="Cambria" w:hAnsi="Cambria"/>
          <w:color w:val="181818"/>
          <w:sz w:val="24"/>
          <w:szCs w:val="24"/>
        </w:rPr>
        <w:t xml:space="preserve"> la Versión 2 del Manual de la clase de datos ICL.</w:t>
      </w:r>
    </w:p>
    <w:p w:rsidRPr="007C6866" w:rsidR="0005615B" w:rsidP="0005615B" w:rsidRDefault="0005615B" w14:paraId="61A175D5" w14:textId="77777777">
      <w:pPr>
        <w:tabs>
          <w:tab w:val="left" w:pos="2843"/>
        </w:tabs>
        <w:spacing w:line="240" w:lineRule="auto"/>
        <w:rPr>
          <w:rFonts w:asciiTheme="majorHAnsi" w:hAnsiTheme="majorHAnsi"/>
          <w:sz w:val="24"/>
        </w:rPr>
      </w:pPr>
      <w:r w:rsidRPr="00C74A40">
        <w:rPr>
          <w:rFonts w:eastAsia="Calibri"/>
          <w:color w:val="181818"/>
          <w:sz w:val="24"/>
          <w:lang w:val="es-CR"/>
        </w:rPr>
        <w:t xml:space="preserve">En caso de consultas generales, remitirlas al correo electrónico </w:t>
      </w:r>
      <w:hyperlink w:history="1" r:id="rId16">
        <w:r w:rsidRPr="00C74A40">
          <w:rPr>
            <w:rFonts w:eastAsia="Calibri"/>
            <w:b/>
            <w:color w:val="181818"/>
            <w:sz w:val="24"/>
          </w:rPr>
          <w:t>sugefcr@sugef.fi.cr</w:t>
        </w:r>
      </w:hyperlink>
    </w:p>
    <w:p w:rsidRPr="003C6303" w:rsidR="0005615B" w:rsidP="0005615B" w:rsidRDefault="0005615B" w14:paraId="0A325774" w14:textId="77777777">
      <w:pPr>
        <w:pStyle w:val="NormalWeb"/>
        <w:spacing w:before="0" w:beforeAutospacing="0" w:after="0" w:afterAutospacing="0"/>
        <w:ind w:left="708"/>
        <w:contextualSpacing/>
        <w:jc w:val="both"/>
        <w:rPr>
          <w:rFonts w:ascii="Cambria" w:hAnsi="Cambria"/>
          <w:color w:val="auto"/>
          <w:sz w:val="24"/>
          <w:szCs w:val="24"/>
        </w:rPr>
      </w:pPr>
    </w:p>
    <w:p w:rsidRPr="003C6303" w:rsidR="0005615B" w:rsidP="0005615B" w:rsidRDefault="0005615B" w14:paraId="4851C645" w14:textId="77777777">
      <w:pPr>
        <w:pStyle w:val="Texto0"/>
        <w:spacing w:before="0" w:after="0" w:line="240" w:lineRule="auto"/>
        <w:rPr>
          <w:sz w:val="24"/>
          <w:lang w:eastAsia="es-ES"/>
        </w:rPr>
      </w:pPr>
      <w:r w:rsidRPr="003C6303">
        <w:rPr>
          <w:sz w:val="24"/>
          <w:lang w:eastAsia="es-ES"/>
        </w:rPr>
        <w:t>Atentamente,</w:t>
      </w:r>
    </w:p>
    <w:p w:rsidRPr="003C6303" w:rsidR="0005615B" w:rsidP="0005615B" w:rsidRDefault="0005615B" w14:paraId="043029B3" w14:textId="77777777">
      <w:pPr>
        <w:pStyle w:val="Negrita"/>
        <w:rPr>
          <w:b w:val="0"/>
          <w:sz w:val="24"/>
          <w:lang w:eastAsia="es-ES"/>
        </w:rPr>
      </w:pPr>
      <w:r w:rsidRPr="003C6303">
        <w:rPr>
          <w:b w:val="0"/>
          <w:noProof/>
          <w:sz w:val="24"/>
          <w:lang w:val="es-CR" w:eastAsia="es-CR"/>
        </w:rPr>
        <w:drawing>
          <wp:anchor distT="0" distB="0" distL="114300" distR="114300" simplePos="0" relativeHeight="251660288" behindDoc="1" locked="0" layoutInCell="1" allowOverlap="1" wp14:editId="0C4611E0" wp14:anchorId="199BE252">
            <wp:simplePos x="0" y="0"/>
            <wp:positionH relativeFrom="column">
              <wp:posOffset>0</wp:posOffset>
            </wp:positionH>
            <wp:positionV relativeFrom="paragraph">
              <wp:posOffset>47338</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3C6303" w:rsidR="0005615B" w:rsidP="0005615B" w:rsidRDefault="0005615B" w14:paraId="46BC6955" w14:textId="77777777">
      <w:pPr>
        <w:pStyle w:val="Negrita"/>
        <w:spacing w:line="240" w:lineRule="auto"/>
        <w:rPr>
          <w:b w:val="0"/>
          <w:sz w:val="24"/>
          <w:lang w:eastAsia="es-ES"/>
        </w:rPr>
      </w:pPr>
    </w:p>
    <w:p w:rsidRPr="003C6303" w:rsidR="0005615B" w:rsidP="0005615B" w:rsidRDefault="0005615B" w14:paraId="4521A949" w14:textId="77777777">
      <w:pPr>
        <w:pStyle w:val="Negrita"/>
        <w:spacing w:line="240" w:lineRule="auto"/>
        <w:rPr>
          <w:b w:val="0"/>
          <w:sz w:val="24"/>
          <w:lang w:eastAsia="es-ES"/>
        </w:rPr>
      </w:pPr>
      <w:r>
        <w:rPr>
          <w:b w:val="0"/>
          <w:sz w:val="24"/>
          <w:lang w:eastAsia="es-ES"/>
        </w:rPr>
        <w:t>Bernardo Alfaro</w:t>
      </w:r>
    </w:p>
    <w:p w:rsidRPr="00AF499C" w:rsidR="0005615B" w:rsidP="0005615B" w:rsidRDefault="0005615B" w14:paraId="37683355" w14:textId="77777777">
      <w:pPr>
        <w:pStyle w:val="Negrita"/>
        <w:spacing w:line="240" w:lineRule="auto"/>
        <w:rPr>
          <w:sz w:val="24"/>
          <w:lang w:eastAsia="es-ES"/>
        </w:rPr>
      </w:pPr>
      <w:r w:rsidRPr="00AF499C">
        <w:rPr>
          <w:sz w:val="24"/>
          <w:lang w:eastAsia="es-ES"/>
        </w:rPr>
        <w:t>Superintendente</w:t>
      </w:r>
    </w:p>
    <w:p w:rsidRPr="003C6303" w:rsidR="0005615B" w:rsidP="0005615B" w:rsidRDefault="0005615B" w14:paraId="3386073E" w14:textId="77777777">
      <w:pPr>
        <w:pStyle w:val="CC"/>
        <w:rPr>
          <w:sz w:val="24"/>
          <w:szCs w:val="24"/>
          <w:lang w:eastAsia="es-ES"/>
        </w:rPr>
      </w:pPr>
    </w:p>
    <w:p w:rsidRPr="00AF499C" w:rsidR="0005615B" w:rsidP="0005615B" w:rsidRDefault="005C16F5" w14:paraId="37D09450" w14:textId="1216B3EC">
      <w:pPr>
        <w:pStyle w:val="CC"/>
        <w:rPr>
          <w:b/>
          <w:sz w:val="20"/>
          <w:szCs w:val="24"/>
          <w:lang w:eastAsia="es-ES"/>
        </w:rPr>
      </w:pPr>
      <w:r>
        <w:rPr>
          <w:b/>
          <w:sz w:val="20"/>
          <w:szCs w:val="24"/>
          <w:lang w:eastAsia="es-ES"/>
        </w:rPr>
        <w:t>CGM/</w:t>
      </w:r>
      <w:r w:rsidRPr="00AF499C" w:rsidR="0005615B">
        <w:rPr>
          <w:b/>
          <w:sz w:val="20"/>
          <w:szCs w:val="24"/>
          <w:lang w:eastAsia="es-ES"/>
        </w:rPr>
        <w:t>GAA/gvl*</w:t>
      </w:r>
    </w:p>
    <w:p w:rsidRPr="0085692C" w:rsidR="00A26E9E" w:rsidP="00590F07" w:rsidRDefault="00A26E9E" w14:paraId="57D6A324" w14:textId="77777777">
      <w:pPr>
        <w:pStyle w:val="CC"/>
      </w:pPr>
    </w:p>
    <w:sectPr w:rsidRPr="0085692C" w:rsidR="00A26E9E" w:rsidSect="005739A8">
      <w:headerReference w:type="default"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646E3" w14:textId="77777777" w:rsidR="0005615B" w:rsidRDefault="0005615B" w:rsidP="00D43D57">
      <w:r>
        <w:separator/>
      </w:r>
    </w:p>
  </w:endnote>
  <w:endnote w:type="continuationSeparator" w:id="0">
    <w:p w14:paraId="465A2EC0" w14:textId="77777777" w:rsidR="0005615B" w:rsidRDefault="0005615B"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0E66059"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765D16D5" w14:textId="77777777">
      <w:trPr>
        <w:trHeight w:val="546"/>
      </w:trPr>
      <w:tc>
        <w:tcPr>
          <w:tcW w:w="3189" w:type="dxa"/>
          <w:shd w:val="clear" w:color="auto" w:fill="FFFFFF"/>
          <w:vAlign w:val="center"/>
        </w:tcPr>
        <w:p w:rsidR="008F1461" w:rsidP="000C62BB" w:rsidRDefault="008F1461" w14:paraId="210AD74D" w14:textId="77777777">
          <w:pPr>
            <w:pStyle w:val="Piepagina"/>
          </w:pPr>
          <w:r>
            <w:rPr>
              <w:b/>
              <w:bCs/>
            </w:rPr>
            <w:t>Teléfono</w:t>
          </w:r>
          <w:r>
            <w:t xml:space="preserve">   (506) 2243-4848</w:t>
          </w:r>
        </w:p>
        <w:p w:rsidR="008F1461" w:rsidP="000C62BB" w:rsidRDefault="008F1461" w14:paraId="37F27BD1"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6C84D3E8" w14:textId="77777777">
          <w:pPr>
            <w:pStyle w:val="Piepagina"/>
          </w:pPr>
          <w:r>
            <w:rPr>
              <w:b/>
              <w:bCs/>
            </w:rPr>
            <w:t>Apartado</w:t>
          </w:r>
          <w:r>
            <w:t xml:space="preserve"> 2762-1000</w:t>
          </w:r>
        </w:p>
        <w:p w:rsidR="008F1461" w:rsidP="000C62BB" w:rsidRDefault="008F1461" w14:paraId="3EC25EAC" w14:textId="77777777">
          <w:pPr>
            <w:pStyle w:val="Piepagina"/>
          </w:pPr>
          <w:r>
            <w:t>San José, Costa Rica</w:t>
          </w:r>
        </w:p>
      </w:tc>
      <w:tc>
        <w:tcPr>
          <w:tcW w:w="2410" w:type="dxa"/>
          <w:shd w:val="clear" w:color="auto" w:fill="FFFFFF"/>
          <w:vAlign w:val="center"/>
        </w:tcPr>
        <w:p w:rsidR="008F1461" w:rsidP="000C62BB" w:rsidRDefault="008F1461" w14:paraId="41B6BBD5" w14:textId="77777777">
          <w:pPr>
            <w:pStyle w:val="Piepagina"/>
          </w:pPr>
          <w:r>
            <w:t>www.sugef.fi.cr</w:t>
          </w:r>
        </w:p>
        <w:p w:rsidR="008F1461" w:rsidP="000C62BB" w:rsidRDefault="008F1461" w14:paraId="1A50C1EF" w14:textId="77777777">
          <w:pPr>
            <w:pStyle w:val="Piepagina"/>
          </w:pPr>
          <w:r>
            <w:t>sugefcr@sugef.fi.cr</w:t>
          </w:r>
        </w:p>
      </w:tc>
      <w:tc>
        <w:tcPr>
          <w:tcW w:w="260" w:type="dxa"/>
          <w:shd w:val="clear" w:color="auto" w:fill="FFFFFF"/>
        </w:tcPr>
        <w:p w:rsidR="008F1461" w:rsidP="000C62BB" w:rsidRDefault="008F1461" w14:paraId="272CA25A" w14:textId="77777777">
          <w:pPr>
            <w:pStyle w:val="Piepagina"/>
          </w:pPr>
          <w:r>
            <w:fldChar w:fldCharType="begin"/>
          </w:r>
          <w:r>
            <w:instrText>PAGE   \* MERGEFORMAT</w:instrText>
          </w:r>
          <w:r>
            <w:fldChar w:fldCharType="separate"/>
          </w:r>
          <w:r w:rsidR="00DC06C6">
            <w:rPr>
              <w:noProof/>
            </w:rPr>
            <w:t>1</w:t>
          </w:r>
          <w:r>
            <w:fldChar w:fldCharType="end"/>
          </w:r>
        </w:p>
      </w:tc>
    </w:tr>
  </w:tbl>
  <w:p w:rsidRPr="000C62BB" w:rsidR="00590F07" w:rsidRDefault="00590F07" w14:paraId="6C41D5CC" w14:textId="77777777">
    <w:pPr>
      <w:pStyle w:val="Piedepgina"/>
      <w:jc w:val="right"/>
      <w:rPr>
        <w:color w:val="969696"/>
        <w:sz w:val="20"/>
        <w:szCs w:val="20"/>
      </w:rPr>
    </w:pPr>
  </w:p>
  <w:p w:rsidR="001C075B" w:rsidP="00FA54DF" w:rsidRDefault="001C075B" w14:paraId="34B3ED05"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20A58CF3" w14:textId="77777777">
    <w:pPr>
      <w:pStyle w:val="Piepagina"/>
      <w:jc w:val="center"/>
    </w:pPr>
    <w:r>
      <w:rPr>
        <w:noProof/>
        <w:lang w:val="es-CR" w:eastAsia="es-CR"/>
      </w:rPr>
      <w:drawing>
        <wp:anchor distT="0" distB="0" distL="114300" distR="114300" simplePos="0" relativeHeight="251669504" behindDoc="1" locked="0" layoutInCell="1" allowOverlap="1" wp14:editId="69ACD868" wp14:anchorId="65BB9E17">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B90545E" wp14:anchorId="26F6F7E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1B018DFD" w14:textId="77777777">
                          <w:pPr>
                            <w:rPr>
                              <w:color w:val="003A68"/>
                              <w:sz w:val="14"/>
                              <w:szCs w:val="14"/>
                            </w:rPr>
                          </w:pPr>
                          <w:r w:rsidRPr="00FA54DF">
                            <w:rPr>
                              <w:color w:val="003A68"/>
                              <w:sz w:val="14"/>
                              <w:szCs w:val="14"/>
                            </w:rPr>
                            <w:t xml:space="preserve">T. (506) 2243-3631   </w:t>
                          </w:r>
                        </w:p>
                        <w:p w:rsidRPr="00FA54DF" w:rsidR="001C075B" w:rsidRDefault="001C075B" w14:paraId="25B0F5DC" w14:textId="77777777">
                          <w:pPr>
                            <w:rPr>
                              <w:color w:val="003A68"/>
                              <w:sz w:val="14"/>
                              <w:szCs w:val="14"/>
                            </w:rPr>
                          </w:pPr>
                          <w:r w:rsidRPr="00FA54DF">
                            <w:rPr>
                              <w:color w:val="003A68"/>
                              <w:sz w:val="14"/>
                              <w:szCs w:val="14"/>
                            </w:rPr>
                            <w:t xml:space="preserve">F. (506) 2243-4579   </w:t>
                          </w:r>
                        </w:p>
                        <w:p w:rsidR="001C075B" w:rsidRDefault="001C075B" w14:paraId="10D4AF53" w14:textId="77777777">
                          <w:pPr>
                            <w:rPr>
                              <w:color w:val="003A68"/>
                              <w:sz w:val="14"/>
                              <w:szCs w:val="14"/>
                            </w:rPr>
                          </w:pPr>
                          <w:r w:rsidRPr="00FA54DF">
                            <w:rPr>
                              <w:color w:val="003A68"/>
                              <w:sz w:val="14"/>
                              <w:szCs w:val="14"/>
                            </w:rPr>
                            <w:t>Apdo. 10058-1000</w:t>
                          </w:r>
                        </w:p>
                        <w:p w:rsidR="001C075B" w:rsidRDefault="001C075B" w14:paraId="4A56B1AF" w14:textId="77777777">
                          <w:pPr>
                            <w:rPr>
                              <w:color w:val="003A68"/>
                              <w:sz w:val="14"/>
                              <w:szCs w:val="14"/>
                            </w:rPr>
                          </w:pPr>
                          <w:r w:rsidRPr="00FA54DF">
                            <w:rPr>
                              <w:color w:val="003A68"/>
                              <w:sz w:val="14"/>
                              <w:szCs w:val="14"/>
                            </w:rPr>
                            <w:t>Av. 1 y Central, Calles 2 y 4</w:t>
                          </w:r>
                        </w:p>
                        <w:p w:rsidRPr="00FA54DF" w:rsidR="001C075B" w:rsidRDefault="001C075B" w14:paraId="7AEB58B1"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6F6F7E2">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B018DFD" w14:textId="77777777">
                    <w:pPr>
                      <w:rPr>
                        <w:color w:val="003A68"/>
                        <w:sz w:val="14"/>
                        <w:szCs w:val="14"/>
                      </w:rPr>
                    </w:pPr>
                    <w:r w:rsidRPr="00FA54DF">
                      <w:rPr>
                        <w:color w:val="003A68"/>
                        <w:sz w:val="14"/>
                        <w:szCs w:val="14"/>
                      </w:rPr>
                      <w:t xml:space="preserve">T. (506) 2243-3631   </w:t>
                    </w:r>
                  </w:p>
                  <w:p w:rsidRPr="00FA54DF" w:rsidR="001C075B" w:rsidRDefault="001C075B" w14:paraId="25B0F5DC" w14:textId="77777777">
                    <w:pPr>
                      <w:rPr>
                        <w:color w:val="003A68"/>
                        <w:sz w:val="14"/>
                        <w:szCs w:val="14"/>
                      </w:rPr>
                    </w:pPr>
                    <w:r w:rsidRPr="00FA54DF">
                      <w:rPr>
                        <w:color w:val="003A68"/>
                        <w:sz w:val="14"/>
                        <w:szCs w:val="14"/>
                      </w:rPr>
                      <w:t xml:space="preserve">F. (506) 2243-4579   </w:t>
                    </w:r>
                  </w:p>
                  <w:p w:rsidR="001C075B" w:rsidRDefault="001C075B" w14:paraId="10D4AF53" w14:textId="77777777">
                    <w:pPr>
                      <w:rPr>
                        <w:color w:val="003A68"/>
                        <w:sz w:val="14"/>
                        <w:szCs w:val="14"/>
                      </w:rPr>
                    </w:pPr>
                    <w:r w:rsidRPr="00FA54DF">
                      <w:rPr>
                        <w:color w:val="003A68"/>
                        <w:sz w:val="14"/>
                        <w:szCs w:val="14"/>
                      </w:rPr>
                      <w:t>Apdo. 10058-1000</w:t>
                    </w:r>
                  </w:p>
                  <w:p w:rsidR="001C075B" w:rsidRDefault="001C075B" w14:paraId="4A56B1AF" w14:textId="77777777">
                    <w:pPr>
                      <w:rPr>
                        <w:color w:val="003A68"/>
                        <w:sz w:val="14"/>
                        <w:szCs w:val="14"/>
                      </w:rPr>
                    </w:pPr>
                    <w:r w:rsidRPr="00FA54DF">
                      <w:rPr>
                        <w:color w:val="003A68"/>
                        <w:sz w:val="14"/>
                        <w:szCs w:val="14"/>
                      </w:rPr>
                      <w:t>Av. 1 y Central, Calles 2 y 4</w:t>
                    </w:r>
                  </w:p>
                  <w:p w:rsidRPr="00FA54DF" w:rsidR="001C075B" w:rsidRDefault="001C075B" w14:paraId="7AEB58B1" w14:textId="77777777">
                    <w:pPr>
                      <w:rPr>
                        <w:color w:val="003A68"/>
                        <w:sz w:val="14"/>
                        <w:szCs w:val="14"/>
                      </w:rPr>
                    </w:pPr>
                  </w:p>
                </w:txbxContent>
              </v:textbox>
            </v:shape>
          </w:pict>
        </mc:Fallback>
      </mc:AlternateContent>
    </w:r>
  </w:p>
  <w:p w:rsidRPr="00D43D57" w:rsidR="001C075B" w:rsidP="008C0BF0" w:rsidRDefault="001C075B" w14:paraId="0A1D0B71" w14:textId="77777777">
    <w:pPr>
      <w:pStyle w:val="Piepagina"/>
      <w:jc w:val="center"/>
    </w:pPr>
  </w:p>
  <w:p w:rsidR="001C075B" w:rsidRDefault="001C075B" w14:paraId="174C9444"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E4167" w14:textId="77777777" w:rsidR="0005615B" w:rsidRDefault="0005615B" w:rsidP="00D43D57">
      <w:r>
        <w:separator/>
      </w:r>
    </w:p>
  </w:footnote>
  <w:footnote w:type="continuationSeparator" w:id="0">
    <w:p w14:paraId="59110795" w14:textId="77777777" w:rsidR="0005615B" w:rsidRDefault="0005615B"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48C8BD3A" w14:textId="77777777">
    <w:pPr>
      <w:pStyle w:val="Piedepgina"/>
      <w:jc w:val="center"/>
    </w:pPr>
    <w:r>
      <w:rPr>
        <w:noProof/>
        <w:lang w:val="es-CR" w:eastAsia="es-CR"/>
      </w:rPr>
      <w:drawing>
        <wp:inline distT="0" distB="0" distL="0" distR="0" wp14:anchorId="575F6759" wp14:editId="020C969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7B58C7BD" w14:textId="77777777">
    <w:pPr>
      <w:pStyle w:val="Encabezado"/>
      <w:pBdr>
        <w:bottom w:val="single" w:color="auto" w:sz="4" w:space="3"/>
      </w:pBdr>
      <w:ind w:right="-1"/>
      <w:rPr>
        <w:b/>
        <w:sz w:val="20"/>
        <w:szCs w:val="20"/>
      </w:rPr>
    </w:pPr>
    <w:r>
      <w:rPr>
        <w:noProof/>
        <w:lang w:val="es-CR" w:eastAsia="es-CR"/>
      </w:rPr>
      <w:drawing>
        <wp:inline distT="0" distB="0" distL="0" distR="0" wp14:anchorId="37FA608C" wp14:editId="1B56A318">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17F3952C"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40000CC3"/>
    <w:multiLevelType w:val="hybridMultilevel"/>
    <w:tmpl w:val="F24252C0"/>
    <w:lvl w:ilvl="0" w:tplc="140A0013">
      <w:start w:val="1"/>
      <w:numFmt w:val="upp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02C11B3"/>
    <w:multiLevelType w:val="multilevel"/>
    <w:tmpl w:val="4CAE0116"/>
    <w:lvl w:ilvl="0">
      <w:start w:val="1"/>
      <w:numFmt w:val="decimal"/>
      <w:lvlText w:val="%1."/>
      <w:lvlJc w:val="left"/>
      <w:pPr>
        <w:tabs>
          <w:tab w:val="num" w:pos="720"/>
        </w:tabs>
        <w:ind w:left="720" w:hanging="360"/>
      </w:pPr>
      <w:rPr>
        <w:lang w:val="es-ES"/>
      </w:r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590027F5"/>
    <w:multiLevelType w:val="hybridMultilevel"/>
    <w:tmpl w:val="8B165B7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5B"/>
    <w:rsid w:val="000064A4"/>
    <w:rsid w:val="000235B5"/>
    <w:rsid w:val="00026C85"/>
    <w:rsid w:val="00041BDD"/>
    <w:rsid w:val="000439A6"/>
    <w:rsid w:val="0005615B"/>
    <w:rsid w:val="00060C03"/>
    <w:rsid w:val="000646DD"/>
    <w:rsid w:val="00081865"/>
    <w:rsid w:val="00082968"/>
    <w:rsid w:val="000C2932"/>
    <w:rsid w:val="000C62BB"/>
    <w:rsid w:val="000E0AC6"/>
    <w:rsid w:val="000F34AE"/>
    <w:rsid w:val="001052E8"/>
    <w:rsid w:val="00117501"/>
    <w:rsid w:val="001322B4"/>
    <w:rsid w:val="001327EB"/>
    <w:rsid w:val="001362F2"/>
    <w:rsid w:val="0016220C"/>
    <w:rsid w:val="001653C6"/>
    <w:rsid w:val="001716F5"/>
    <w:rsid w:val="001946F4"/>
    <w:rsid w:val="001A6574"/>
    <w:rsid w:val="001C075B"/>
    <w:rsid w:val="001C5806"/>
    <w:rsid w:val="001E0448"/>
    <w:rsid w:val="00230C67"/>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92FE3"/>
    <w:rsid w:val="004C7711"/>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6F5"/>
    <w:rsid w:val="005C173B"/>
    <w:rsid w:val="005E07F2"/>
    <w:rsid w:val="005E39BB"/>
    <w:rsid w:val="006033C4"/>
    <w:rsid w:val="00603B3F"/>
    <w:rsid w:val="00604A3D"/>
    <w:rsid w:val="0060703F"/>
    <w:rsid w:val="00614D68"/>
    <w:rsid w:val="0061593C"/>
    <w:rsid w:val="00620B23"/>
    <w:rsid w:val="0062633F"/>
    <w:rsid w:val="00630B5C"/>
    <w:rsid w:val="00635AC4"/>
    <w:rsid w:val="00640202"/>
    <w:rsid w:val="00662901"/>
    <w:rsid w:val="00681F7A"/>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47FE"/>
    <w:rsid w:val="009F54CB"/>
    <w:rsid w:val="00A23019"/>
    <w:rsid w:val="00A26E9E"/>
    <w:rsid w:val="00A34523"/>
    <w:rsid w:val="00A76A2E"/>
    <w:rsid w:val="00A84CDB"/>
    <w:rsid w:val="00A906DD"/>
    <w:rsid w:val="00AC5138"/>
    <w:rsid w:val="00AC5E12"/>
    <w:rsid w:val="00AD7B1E"/>
    <w:rsid w:val="00AE3929"/>
    <w:rsid w:val="00AF45B7"/>
    <w:rsid w:val="00B079EC"/>
    <w:rsid w:val="00B1318C"/>
    <w:rsid w:val="00B43C40"/>
    <w:rsid w:val="00B464F6"/>
    <w:rsid w:val="00B77CF0"/>
    <w:rsid w:val="00B80284"/>
    <w:rsid w:val="00B84E87"/>
    <w:rsid w:val="00B90216"/>
    <w:rsid w:val="00B9415A"/>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06C6"/>
    <w:rsid w:val="00DC2193"/>
    <w:rsid w:val="00DC3B8E"/>
    <w:rsid w:val="00DE08C6"/>
    <w:rsid w:val="00E0013C"/>
    <w:rsid w:val="00E11252"/>
    <w:rsid w:val="00E1160B"/>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3277"/>
    <w:rsid w:val="00F6038D"/>
    <w:rsid w:val="00F654F5"/>
    <w:rsid w:val="00F731A3"/>
    <w:rsid w:val="00F73412"/>
    <w:rsid w:val="00F8680D"/>
    <w:rsid w:val="00FA06A7"/>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186E1F"/>
  <w15:docId w15:val="{3CF94396-E081-41DC-9683-F1C7E74C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NormalWeb">
    <w:name w:val="Normal (Web)"/>
    <w:basedOn w:val="Normal"/>
    <w:locked/>
    <w:rsid w:val="0005615B"/>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link w:val="PrrafodelistaCar"/>
    <w:uiPriority w:val="34"/>
    <w:qFormat/>
    <w:locked/>
    <w:rsid w:val="0005615B"/>
    <w:pPr>
      <w:spacing w:after="200" w:line="276" w:lineRule="auto"/>
      <w:ind w:left="720"/>
      <w:contextualSpacing/>
      <w:jc w:val="left"/>
    </w:pPr>
    <w:rPr>
      <w:rFonts w:ascii="Calibri" w:eastAsia="Calibri" w:hAnsi="Calibri"/>
      <w:szCs w:val="22"/>
      <w:lang w:val="es-CR"/>
    </w:rPr>
  </w:style>
  <w:style w:type="character" w:customStyle="1" w:styleId="PrrafodelistaCar">
    <w:name w:val="Párrafo de lista Car"/>
    <w:link w:val="Prrafodelista"/>
    <w:uiPriority w:val="34"/>
    <w:locked/>
    <w:rsid w:val="0005615B"/>
    <w:rPr>
      <w:rFonts w:ascii="Calibri" w:hAnsi="Calibri"/>
      <w:sz w:val="22"/>
      <w:szCs w:val="22"/>
      <w:lang w:eastAsia="en-US"/>
    </w:rPr>
  </w:style>
  <w:style w:type="character" w:styleId="Hipervnculo">
    <w:name w:val="Hyperlink"/>
    <w:locked/>
    <w:rsid w:val="00056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bustos@sugef.fi.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sugefcr@sugef.fi.c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ugef.fi.cr"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camacho@sugef.fi.c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AE4835AFEF4DBAAD169E60446258BD"/>
        <w:category>
          <w:name w:val="General"/>
          <w:gallery w:val="placeholder"/>
        </w:category>
        <w:types>
          <w:type w:val="bbPlcHdr"/>
        </w:types>
        <w:behaviors>
          <w:behavior w:val="content"/>
        </w:behaviors>
        <w:guid w:val="{B82434F6-5BD0-44D7-8D9B-81913420B95B}"/>
      </w:docPartPr>
      <w:docPartBody>
        <w:p w:rsidR="00E92213" w:rsidRDefault="00E92213">
          <w:pPr>
            <w:pStyle w:val="14AE4835AFEF4DBAAD169E60446258BD"/>
          </w:pPr>
          <w:r w:rsidRPr="001E0779">
            <w:rPr>
              <w:rStyle w:val="Textodelmarcadordeposicin"/>
            </w:rPr>
            <w:t>Haga clic aquí para escribir texto.</w:t>
          </w:r>
        </w:p>
      </w:docPartBody>
    </w:docPart>
    <w:docPart>
      <w:docPartPr>
        <w:name w:val="3E42BBB9258345B691FC58C3974CF59C"/>
        <w:category>
          <w:name w:val="General"/>
          <w:gallery w:val="placeholder"/>
        </w:category>
        <w:types>
          <w:type w:val="bbPlcHdr"/>
        </w:types>
        <w:behaviors>
          <w:behavior w:val="content"/>
        </w:behaviors>
        <w:guid w:val="{9A5F7F02-FBB6-474C-95CE-22BDDD9C4CBD}"/>
      </w:docPartPr>
      <w:docPartBody>
        <w:p w:rsidR="00E92213" w:rsidRDefault="00E92213">
          <w:pPr>
            <w:pStyle w:val="3E42BBB9258345B691FC58C3974CF59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13"/>
    <w:rsid w:val="00E922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4AE4835AFEF4DBAAD169E60446258BD">
    <w:name w:val="14AE4835AFEF4DBAAD169E60446258BD"/>
  </w:style>
  <w:style w:type="paragraph" w:customStyle="1" w:styleId="3E42BBB9258345B691FC58C3974CF59C">
    <w:name w:val="3E42BBB9258345B691FC58C3974CF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gn+5RaKYSSCT6iBZV3k6nbFsQIV72Y/VhkcGnc2C41E=</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73okD/7EhxRFpk8wDRJe9ZyvVurPdv+fKxZ80ab5QLg=</DigestValue>
    </Reference>
  </SignedInfo>
  <SignatureValue>hHVvVXk9ZE751Aysq4WppO/MrP/w003gpR0mTpSp5Opo1/wE0ned9K6h3ZreExAitqOIGgknzVW7
7BbnT9IrXKMSsJL/oWI1hXRPxVGR4CiZxIqTFDqU5tx47BlEuf9ezLb/h8Q9ptLYhRnY7w2TPYw+
kSItQXMDxvUMlFn3sPxrEDbUFGXdWRW366VKc6bZhoi6500cUyawuDSfNeFfiGzEDc8auvntfRUt
YbCf2wj3tuJWXXgEcZeaiaYwbYS1JwZfJ0XWrzAocnmhakaMvvk6xzN7wCtVLu5wvSgcjjn48Min
v6WidZhdyLDPzc2m8AvbXIz/SawQo99ACqgKuw==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W2qWcY9M9C1EaJWBUaxX3VSBOhvBniHDT3xEbkiJ0wQ=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/2hg6pRN5wvraZr2VbaWSN1+hDlHF8cmdyExX13NGfI=</DigestValue>
      </Reference>
      <Reference URI="/word/endnotes.xml?ContentType=application/vnd.openxmlformats-officedocument.wordprocessingml.endnotes+xml">
        <DigestMethod Algorithm="http://www.w3.org/2001/04/xmlenc#sha256"/>
        <DigestValue>tH5d2xLNET+UrEj5WzN45JXVfkYkWuYErRbyp6gAxRU=</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3xM428zjjClzuSRvvrlNcUHOMhF/A/SDX0BbX9z6i88=</DigestValue>
      </Reference>
      <Reference URI="/word/footer2.xml?ContentType=application/vnd.openxmlformats-officedocument.wordprocessingml.footer+xml">
        <DigestMethod Algorithm="http://www.w3.org/2001/04/xmlenc#sha256"/>
        <DigestValue>rhFyh+SaWZNF0jxZi0dcXcDt1YsmQ4H+dGcjosEHCn0=</DigestValue>
      </Reference>
      <Reference URI="/word/footnotes.xml?ContentType=application/vnd.openxmlformats-officedocument.wordprocessingml.footnotes+xml">
        <DigestMethod Algorithm="http://www.w3.org/2001/04/xmlenc#sha256"/>
        <DigestValue>PdXbnJHRrdEwIy4msceXzOvmm9T0+AK5z1SSWm9SG1M=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udKegwBdjH94r6VEOolXpcnAhBVsXYJQkzTEhmwRXNg=</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P5Rz8iEJCfCodO3jBCfZM7PndRARN2rU+upRpKmbf4E=</DigestValue>
      </Reference>
      <Reference URI="/word/glossary/styles.xml?ContentType=application/vnd.openxmlformats-officedocument.wordprocessingml.styles+xml">
        <DigestMethod Algorithm="http://www.w3.org/2001/04/xmlenc#sha256"/>
        <DigestValue>zwW63eV60d0Uv7HL3IF8qT+4Vvtp9Tnez8/B2jK4Hak=</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l7RhmSyhBmYFvRL89cJ8+DlhXzoJ9ifloalfawej/DM=</DigestValue>
      </Reference>
      <Reference URI="/word/header2.xml?ContentType=application/vnd.openxmlformats-officedocument.wordprocessingml.header+xml">
        <DigestMethod Algorithm="http://www.w3.org/2001/04/xmlenc#sha256"/>
        <DigestValue>cx3sAYw4IAmHQZjOcGKvjVD/aK93h/ovOyjKncXbd88=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hjgiUcZaJ80CxJLs/PmkG8J4UpxYno5HLl2OJvExuF8=</DigestValue>
      </Reference>
      <Reference URI="/word/settings.xml?ContentType=application/vnd.openxmlformats-officedocument.wordprocessingml.settings+xml">
        <DigestMethod Algorithm="http://www.w3.org/2001/04/xmlenc#sha256"/>
        <DigestValue>AVtKrPH3WEWFtAZOfaKq/gJM1UnM212Cep3KK59p48I=</DigestValue>
      </Reference>
      <Reference URI="/word/styles.xml?ContentType=application/vnd.openxmlformats-officedocument.wordprocessingml.styles+xml">
        <DigestMethod Algorithm="http://www.w3.org/2001/04/xmlenc#sha256"/>
        <DigestValue>Z+sAuy5xzEj8yv+iyxXJmVVYZ4kAmtPRddfPHrfNxTM=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2018-10-05T16:45:04Z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2018-10-05T16:45:04Z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A todas las entidades supervisadas por Sugef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i:0#.w|pdc-atlantida\castrogy</DisplayName>
        <AccountId>402</AccountId>
        <AccountType/>
      </UserInfo>
      <UserInfo>
        <DisplayName>i:0#.w|pdc-atlantida\bustosla</DisplayName>
        <AccountId>347</AccountId>
        <AccountType/>
      </UserInfo>
      <UserInfo>
        <DisplayName>i:0#.w|pdc-atlantida\camachoua</DisplayName>
        <AccountId>721</AccountId>
        <AccountType/>
      </UserInfo>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 referencia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Actualización de la Clase de Datos ICL.
Copiar a:
Saliente Normas.
Saliente Directores de Supervisión.
Yesenia Castro González &lt;ycastro@sugef.fi.cr&gt;
Arnoldo Bustos Lopez &lt;abustos@sugef.fi.cr&gt;
Alberto Camacho Ulate &lt;acamacho@sugef.fi.cr&gt;
Oscar Morales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Actualización de la Clase de Datos ICL</Subject1>
    <Entrante_x0020_relacionado xmlns="b875e23b-67d9-4b2e-bdec-edacbf90b326">
      <Url xsi:nil="true"/>
      <Description xsi:nil="true"/>
    </Entrante_x0020_relaciona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7F75E0E4-0BBF-49BF-B044-42F4080BC7A3}"/>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F586CBFC-0325-4C2A-AF05-C72083582A15}"/>
</file>

<file path=customXml/itemProps5.xml><?xml version="1.0" encoding="utf-8"?>
<ds:datastoreItem xmlns:ds="http://schemas.openxmlformats.org/officeDocument/2006/customXml" ds:itemID="{347912D2-45B8-43E5-B860-A2F4ECC10231}"/>
</file>

<file path=customXml/itemProps6.xml><?xml version="1.0" encoding="utf-8"?>
<ds:datastoreItem xmlns:ds="http://schemas.openxmlformats.org/officeDocument/2006/customXml" ds:itemID="{F590885D-88EB-4CDE-918B-5B47F40FF217}"/>
</file>

<file path=docProps/app.xml><?xml version="1.0" encoding="utf-8"?>
<Properties xmlns="http://schemas.openxmlformats.org/officeDocument/2006/extended-properties" xmlns:vt="http://schemas.openxmlformats.org/officeDocument/2006/docPropsVTypes">
  <Template>plantilla-SGF-13-Normas.dotm</Template>
  <TotalTime>62</TotalTime>
  <Pages>3</Pages>
  <Words>577</Words>
  <Characters>3178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Arce Alpízar</dc:creator>
  <cp:lastModifiedBy>VARGAS LEAL MARIA GABRIELA</cp:lastModifiedBy>
  <cp:revision>6</cp:revision>
  <cp:lastPrinted>2015-07-30T22:36:00Z</cp:lastPrinted>
  <dcterms:created xsi:type="dcterms:W3CDTF">2018-09-25T22:02:00Z</dcterms:created>
  <dcterms:modified xsi:type="dcterms:W3CDTF">2018-10-05T15:24:00Z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23600</vt:r8>
  </property>
  <property fmtid="{D5CDD505-2E9C-101B-9397-08002B2CF9AE}" pid="13" name="Confidencialidad">
    <vt:lpwstr>Público|99c2402f-8ec3-4ca8-8024-be52e4e7f629</vt:lpwstr>
  </property>
  <property fmtid="{D5CDD505-2E9C-101B-9397-08002B2CF9AE}" pid="14" name="WorkflowChangePath">
    <vt:lpwstr>d6c6aed4-e342-4faf-a234-cd9a4f593e49,6;cb1954ac-0595-4038-a807-eb26625a3b7c,9;cb1954ac-0595-4038-a807-eb26625a3b7c,9;</vt:lpwstr>
  </property>
</Properties>
</file>