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3.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14B86" w:rsidR="00271889" w:rsidP="00B14B86" w:rsidRDefault="00271889" w14:paraId="6F91A40E" w14:textId="77777777">
      <w:pPr>
        <w:spacing w:line="240" w:lineRule="auto"/>
        <w:contextualSpacing/>
        <w:jc w:val="center"/>
        <w:rPr>
          <w:b/>
          <w:sz w:val="24"/>
          <w:lang w:val="es-CR"/>
        </w:rPr>
      </w:pPr>
      <w:r w:rsidRPr="00B14B86">
        <w:rPr>
          <w:b/>
          <w:sz w:val="24"/>
          <w:lang w:val="es-CR"/>
        </w:rPr>
        <w:t>CIRCULAR EXTERNA</w:t>
      </w:r>
    </w:p>
    <w:p w:rsidRPr="00B14B86" w:rsidR="00271889" w:rsidP="00B14B86" w:rsidRDefault="00271889" w14:paraId="414FB12F" w14:textId="77777777">
      <w:pPr>
        <w:pStyle w:val="Texto"/>
        <w:spacing w:before="0" w:after="0" w:line="240" w:lineRule="auto"/>
        <w:contextualSpacing/>
        <w:jc w:val="center"/>
        <w:rPr>
          <w:sz w:val="24"/>
          <w:lang w:val="es-CR"/>
        </w:rPr>
      </w:pPr>
      <w:r w:rsidRPr="00B14B86">
        <w:rPr>
          <w:sz w:val="24"/>
          <w:lang w:val="es-CR"/>
        </w:rPr>
        <w:t>23 de diciembre del 2022</w:t>
      </w:r>
    </w:p>
    <w:sdt>
      <w:sdtPr>
        <w:rPr>
          <w:sz w:val="24"/>
        </w:rPr>
        <w:alias w:val="Consecutivo"/>
        <w:tag w:val="Consecutivo"/>
        <w:id w:val="-655916166"/>
        <w:placeholder>
          <w:docPart w:val="69E8FEEBF8294FE88B5BC23B7B870D6D"/>
        </w:placeholder>
        <w:text/>
      </w:sdtPr>
      <w:sdtEndPr/>
      <w:sdtContent>
        <w:p w:rsidRPr="00B14B86" w:rsidR="00271889" w:rsidP="00B14B86" w:rsidRDefault="00271889" w14:paraId="710CC3DD" w14:textId="77777777">
          <w:pPr>
            <w:tabs>
              <w:tab w:val="left" w:pos="2843"/>
            </w:tabs>
            <w:spacing w:line="240" w:lineRule="auto"/>
            <w:contextualSpacing/>
            <w:jc w:val="center"/>
            <w:rPr>
              <w:sz w:val="24"/>
            </w:rPr>
          </w:pPr>
          <w:r>
            <w:t>SGF-2685-2022</w:t>
          </w:r>
        </w:p>
      </w:sdtContent>
    </w:sdt>
    <w:p w:rsidRPr="00B14B86" w:rsidR="00271889" w:rsidP="00B14B86" w:rsidRDefault="00EC62AC" w14:paraId="11C2DD97" w14:textId="64604EC1">
      <w:pPr>
        <w:tabs>
          <w:tab w:val="left" w:pos="2843"/>
        </w:tabs>
        <w:spacing w:line="240" w:lineRule="auto"/>
        <w:contextualSpacing/>
        <w:jc w:val="center"/>
        <w:rPr>
          <w:sz w:val="24"/>
        </w:rPr>
      </w:pPr>
      <w:sdt>
        <w:sdtPr>
          <w:rPr>
            <w:sz w:val="24"/>
          </w:rPr>
          <w:alias w:val="Confidencialidad"/>
          <w:tag w:val="Confidencialidad"/>
          <w:id w:val="814919524"/>
          <w:placeholder>
            <w:docPart w:val="1F02952170A94AD9A48B23AEC40B01A6"/>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B14B86" w:rsidR="00271889">
            <w:rPr>
              <w:sz w:val="24"/>
            </w:rPr>
            <w:t>SGF-PUBLICO</w:t>
          </w:r>
        </w:sdtContent>
      </w:sdt>
    </w:p>
    <w:p w:rsidRPr="00B14B86" w:rsidR="00271889" w:rsidP="00B14B86" w:rsidRDefault="00271889" w14:paraId="12D9A02A" w14:textId="77777777">
      <w:pPr>
        <w:tabs>
          <w:tab w:val="left" w:pos="2843"/>
        </w:tabs>
        <w:spacing w:line="240" w:lineRule="auto"/>
        <w:contextualSpacing/>
        <w:rPr>
          <w:sz w:val="24"/>
          <w:lang w:val="es-CR"/>
        </w:rPr>
      </w:pPr>
    </w:p>
    <w:p w:rsidRPr="00B14B86" w:rsidR="00271889" w:rsidP="00B14B86" w:rsidRDefault="00271889" w14:paraId="41E2227B" w14:textId="77777777">
      <w:pPr>
        <w:widowControl w:val="0"/>
        <w:spacing w:line="240" w:lineRule="auto"/>
        <w:ind w:left="567" w:right="86" w:hanging="567"/>
        <w:contextualSpacing/>
        <w:rPr>
          <w:b/>
          <w:sz w:val="24"/>
          <w:lang w:val="es-CR"/>
        </w:rPr>
      </w:pPr>
      <w:r w:rsidRPr="00B14B86">
        <w:rPr>
          <w:b/>
          <w:sz w:val="24"/>
          <w:lang w:val="es-CR"/>
        </w:rPr>
        <w:t>Dirigida a:</w:t>
      </w:r>
    </w:p>
    <w:p w:rsidRPr="00B14B86" w:rsidR="00271889" w:rsidP="00B14B86" w:rsidRDefault="00271889" w14:paraId="1B519D81" w14:textId="77777777">
      <w:pPr>
        <w:pStyle w:val="NormalWeb"/>
        <w:spacing w:before="0" w:beforeAutospacing="0" w:after="0" w:afterAutospacing="0"/>
        <w:ind w:left="567" w:hanging="567"/>
        <w:contextualSpacing/>
        <w:jc w:val="both"/>
        <w:rPr>
          <w:rFonts w:ascii="Cambria" w:hAnsi="Cambria"/>
          <w:b/>
          <w:sz w:val="24"/>
          <w:szCs w:val="24"/>
          <w:lang w:val="es-CR"/>
        </w:rPr>
      </w:pPr>
    </w:p>
    <w:p w:rsidRPr="00B14B86" w:rsidR="00271889" w:rsidP="00B14B86" w:rsidRDefault="00271889" w14:paraId="25142905" w14:textId="77777777">
      <w:pPr>
        <w:widowControl w:val="0"/>
        <w:numPr>
          <w:ilvl w:val="0"/>
          <w:numId w:val="4"/>
        </w:numPr>
        <w:spacing w:line="240" w:lineRule="auto"/>
        <w:ind w:left="567" w:right="86" w:hanging="567"/>
        <w:contextualSpacing/>
        <w:rPr>
          <w:b/>
          <w:sz w:val="24"/>
          <w:lang w:val="es-CR" w:eastAsia="es-ES"/>
        </w:rPr>
      </w:pPr>
      <w:r w:rsidRPr="00B14B86">
        <w:rPr>
          <w:sz w:val="24"/>
          <w:lang w:val="es-CR"/>
        </w:rPr>
        <w:t>Bancos comerciales del Estado.</w:t>
      </w:r>
    </w:p>
    <w:p w:rsidRPr="00B14B86" w:rsidR="00271889" w:rsidP="00B14B86" w:rsidRDefault="00271889" w14:paraId="11765F6A" w14:textId="77777777">
      <w:pPr>
        <w:widowControl w:val="0"/>
        <w:numPr>
          <w:ilvl w:val="0"/>
          <w:numId w:val="4"/>
        </w:numPr>
        <w:spacing w:line="240" w:lineRule="auto"/>
        <w:ind w:left="567" w:right="86" w:hanging="567"/>
        <w:contextualSpacing/>
        <w:rPr>
          <w:b/>
          <w:sz w:val="24"/>
          <w:lang w:val="es-CR" w:eastAsia="es-ES"/>
        </w:rPr>
      </w:pPr>
      <w:r w:rsidRPr="00B14B86">
        <w:rPr>
          <w:sz w:val="24"/>
          <w:lang w:val="es-CR"/>
        </w:rPr>
        <w:t>Bancos Privados.</w:t>
      </w:r>
    </w:p>
    <w:p w:rsidRPr="00B14B86" w:rsidR="00271889" w:rsidP="00B14B86" w:rsidRDefault="00271889" w14:paraId="05371AA3" w14:textId="77777777">
      <w:pPr>
        <w:widowControl w:val="0"/>
        <w:numPr>
          <w:ilvl w:val="0"/>
          <w:numId w:val="4"/>
        </w:numPr>
        <w:spacing w:line="240" w:lineRule="auto"/>
        <w:ind w:left="567" w:right="86" w:hanging="567"/>
        <w:contextualSpacing/>
        <w:rPr>
          <w:b/>
          <w:sz w:val="24"/>
          <w:lang w:val="es-CR" w:eastAsia="es-ES"/>
        </w:rPr>
      </w:pPr>
      <w:r w:rsidRPr="00B14B86">
        <w:rPr>
          <w:sz w:val="24"/>
          <w:lang w:val="es-CR"/>
        </w:rPr>
        <w:t>Bancos Creados por leyes especiales</w:t>
      </w:r>
    </w:p>
    <w:p w:rsidRPr="00B14B86" w:rsidR="00271889" w:rsidP="00B14B86" w:rsidRDefault="00271889" w14:paraId="2E058A60" w14:textId="77777777">
      <w:pPr>
        <w:widowControl w:val="0"/>
        <w:numPr>
          <w:ilvl w:val="0"/>
          <w:numId w:val="4"/>
        </w:numPr>
        <w:spacing w:line="240" w:lineRule="auto"/>
        <w:ind w:left="567" w:right="86" w:hanging="567"/>
        <w:contextualSpacing/>
        <w:rPr>
          <w:b/>
          <w:sz w:val="24"/>
          <w:lang w:val="es-CR" w:eastAsia="es-ES"/>
        </w:rPr>
      </w:pPr>
      <w:r w:rsidRPr="00B14B86">
        <w:rPr>
          <w:sz w:val="24"/>
          <w:lang w:val="es-CR"/>
        </w:rPr>
        <w:t>Empresas Financieras no bancarias.</w:t>
      </w:r>
    </w:p>
    <w:p w:rsidRPr="00B14B86" w:rsidR="00271889" w:rsidP="00B14B86" w:rsidRDefault="00271889" w14:paraId="259A5054" w14:textId="77777777">
      <w:pPr>
        <w:widowControl w:val="0"/>
        <w:numPr>
          <w:ilvl w:val="0"/>
          <w:numId w:val="4"/>
        </w:numPr>
        <w:spacing w:line="240" w:lineRule="auto"/>
        <w:ind w:left="567" w:right="86" w:hanging="567"/>
        <w:contextualSpacing/>
        <w:rPr>
          <w:b/>
          <w:sz w:val="24"/>
          <w:lang w:val="es-CR" w:eastAsia="es-ES"/>
        </w:rPr>
      </w:pPr>
      <w:r w:rsidRPr="00B14B86">
        <w:rPr>
          <w:sz w:val="24"/>
          <w:lang w:val="es-CR"/>
        </w:rPr>
        <w:t>Organizaciones cooperativas de ahorro y crédito</w:t>
      </w:r>
    </w:p>
    <w:p w:rsidRPr="00B14B86" w:rsidR="00271889" w:rsidP="00B14B86" w:rsidRDefault="00271889" w14:paraId="2C087CFC" w14:textId="77777777">
      <w:pPr>
        <w:widowControl w:val="0"/>
        <w:numPr>
          <w:ilvl w:val="0"/>
          <w:numId w:val="4"/>
        </w:numPr>
        <w:spacing w:line="240" w:lineRule="auto"/>
        <w:ind w:left="567" w:right="86" w:hanging="567"/>
        <w:contextualSpacing/>
        <w:rPr>
          <w:b/>
          <w:sz w:val="24"/>
          <w:lang w:val="es-CR" w:eastAsia="es-ES"/>
        </w:rPr>
      </w:pPr>
      <w:r w:rsidRPr="00B14B86">
        <w:rPr>
          <w:sz w:val="24"/>
          <w:lang w:val="es-CR"/>
        </w:rPr>
        <w:t>Entidades autorizadas del Sistema Financiero Nacional para la vivienda.</w:t>
      </w:r>
    </w:p>
    <w:p w:rsidRPr="00B14B86" w:rsidR="00271889" w:rsidP="00B14B86" w:rsidRDefault="00271889" w14:paraId="5CAF9A8C" w14:textId="77777777">
      <w:pPr>
        <w:widowControl w:val="0"/>
        <w:numPr>
          <w:ilvl w:val="0"/>
          <w:numId w:val="4"/>
        </w:numPr>
        <w:spacing w:line="240" w:lineRule="auto"/>
        <w:ind w:left="567" w:right="86" w:hanging="567"/>
        <w:contextualSpacing/>
        <w:rPr>
          <w:b/>
          <w:sz w:val="24"/>
          <w:lang w:val="es-CR" w:eastAsia="es-ES"/>
        </w:rPr>
      </w:pPr>
      <w:r w:rsidRPr="00B14B86">
        <w:rPr>
          <w:sz w:val="24"/>
          <w:lang w:val="es-CR"/>
        </w:rPr>
        <w:t>Casas de Cambio</w:t>
      </w:r>
    </w:p>
    <w:p w:rsidRPr="00B14B86" w:rsidR="00271889" w:rsidP="00B14B86" w:rsidRDefault="00271889" w14:paraId="57C8E63E" w14:textId="77777777">
      <w:pPr>
        <w:widowControl w:val="0"/>
        <w:numPr>
          <w:ilvl w:val="0"/>
          <w:numId w:val="4"/>
        </w:numPr>
        <w:spacing w:line="240" w:lineRule="auto"/>
        <w:ind w:left="567" w:right="86" w:hanging="567"/>
        <w:contextualSpacing/>
        <w:rPr>
          <w:b/>
          <w:sz w:val="24"/>
          <w:lang w:val="es-CR" w:eastAsia="es-ES"/>
        </w:rPr>
      </w:pPr>
      <w:r w:rsidRPr="00B14B86">
        <w:rPr>
          <w:sz w:val="24"/>
          <w:lang w:val="es-CR"/>
        </w:rPr>
        <w:t>Otras entidades financieras.</w:t>
      </w:r>
    </w:p>
    <w:p w:rsidRPr="00B14B86" w:rsidR="00271889" w:rsidP="00B14B86" w:rsidRDefault="00271889" w14:paraId="5135BC41" w14:textId="77777777">
      <w:pPr>
        <w:widowControl w:val="0"/>
        <w:numPr>
          <w:ilvl w:val="0"/>
          <w:numId w:val="4"/>
        </w:numPr>
        <w:spacing w:after="200" w:line="240" w:lineRule="auto"/>
        <w:ind w:left="567" w:right="86" w:hanging="567"/>
        <w:contextualSpacing/>
        <w:rPr>
          <w:b/>
          <w:sz w:val="24"/>
          <w:lang w:val="es-CR" w:eastAsia="es-ES"/>
        </w:rPr>
      </w:pPr>
      <w:r w:rsidRPr="00B14B86">
        <w:rPr>
          <w:sz w:val="24"/>
          <w:lang w:val="es-CR"/>
        </w:rPr>
        <w:t>Operadores Financieros del Sistema de Banca de Desarrollo</w:t>
      </w:r>
    </w:p>
    <w:p w:rsidR="00271889" w:rsidP="00B14B86" w:rsidRDefault="00271889" w14:paraId="1583DA64" w14:textId="64CC4178">
      <w:pPr>
        <w:spacing w:line="240" w:lineRule="auto"/>
        <w:contextualSpacing/>
        <w:rPr>
          <w:b/>
          <w:bCs/>
          <w:sz w:val="24"/>
          <w:lang w:val="es-CR"/>
        </w:rPr>
      </w:pPr>
    </w:p>
    <w:p w:rsidRPr="00B14B86" w:rsidR="00B14B86" w:rsidP="00B14B86" w:rsidRDefault="00B14B86" w14:paraId="0AF890B5" w14:textId="77777777">
      <w:pPr>
        <w:spacing w:line="240" w:lineRule="auto"/>
        <w:contextualSpacing/>
        <w:rPr>
          <w:b/>
          <w:bCs/>
          <w:sz w:val="24"/>
          <w:lang w:val="es-CR"/>
        </w:rPr>
      </w:pPr>
    </w:p>
    <w:p w:rsidRPr="00B14B86" w:rsidR="00B14B86" w:rsidP="00B14B86" w:rsidRDefault="00271889" w14:paraId="7E992B80" w14:textId="77777777">
      <w:pPr>
        <w:widowControl w:val="0"/>
        <w:spacing w:line="240" w:lineRule="auto"/>
        <w:contextualSpacing/>
        <w:rPr>
          <w:b/>
          <w:bCs/>
          <w:sz w:val="24"/>
          <w:lang w:val="es-CR"/>
        </w:rPr>
      </w:pPr>
      <w:r w:rsidRPr="00B14B86">
        <w:rPr>
          <w:b/>
          <w:bCs/>
          <w:sz w:val="24"/>
          <w:lang w:val="es-CR"/>
        </w:rPr>
        <w:t>Asunto</w:t>
      </w:r>
      <w:r w:rsidRPr="00B14B86">
        <w:rPr>
          <w:bCs/>
          <w:sz w:val="24"/>
          <w:lang w:val="es-CR"/>
        </w:rPr>
        <w:t>:</w:t>
      </w:r>
      <w:r w:rsidRPr="00B14B86">
        <w:rPr>
          <w:bCs/>
          <w:sz w:val="24"/>
          <w:lang w:val="es-CR"/>
        </w:rPr>
        <w:tab/>
      </w:r>
      <w:r w:rsidRPr="00B14B86" w:rsidR="00F643DB">
        <w:rPr>
          <w:bCs/>
          <w:sz w:val="24"/>
          <w:lang w:val="es-CR"/>
        </w:rPr>
        <w:t xml:space="preserve">Aspectos </w:t>
      </w:r>
      <w:r w:rsidRPr="00B14B86">
        <w:rPr>
          <w:bCs/>
          <w:sz w:val="24"/>
          <w:lang w:val="es-CR"/>
        </w:rPr>
        <w:t>técnic</w:t>
      </w:r>
      <w:r w:rsidRPr="00B14B86" w:rsidR="00F643DB">
        <w:rPr>
          <w:bCs/>
          <w:sz w:val="24"/>
          <w:lang w:val="es-CR"/>
        </w:rPr>
        <w:t>o</w:t>
      </w:r>
      <w:r w:rsidRPr="00B14B86">
        <w:rPr>
          <w:bCs/>
          <w:sz w:val="24"/>
          <w:lang w:val="es-CR"/>
        </w:rPr>
        <w:t xml:space="preserve">s relacionadas con las </w:t>
      </w:r>
      <w:r w:rsidRPr="00B14B86">
        <w:rPr>
          <w:sz w:val="24"/>
          <w:lang w:eastAsia="es-ES"/>
        </w:rPr>
        <w:t xml:space="preserve">reformas </w:t>
      </w:r>
      <w:r w:rsidRPr="00B14B86" w:rsidR="00F643DB">
        <w:rPr>
          <w:sz w:val="24"/>
          <w:lang w:eastAsia="es-ES"/>
        </w:rPr>
        <w:t xml:space="preserve">aprobadas por el Consejo Nacional de Supervisión del Sistema Financiero, en el artículo 7 del acta de la sesión 1775-2022, celebrada el 14 de diciembre del 2022, así como las </w:t>
      </w:r>
      <w:r w:rsidRPr="00B14B86" w:rsidR="00B14B86">
        <w:rPr>
          <w:sz w:val="24"/>
          <w:lang w:val="es-CR"/>
        </w:rPr>
        <w:t>resoluciones SGF 2660-2022, SGF 2674-2022 y SGF 2675-2022 del 23 de diciembre de 2022.</w:t>
      </w:r>
    </w:p>
    <w:p w:rsidRPr="00B14B86" w:rsidR="00271889" w:rsidP="00B14B86" w:rsidRDefault="00271889" w14:paraId="7E5DDA75" w14:textId="5526B74C">
      <w:pPr>
        <w:spacing w:line="240" w:lineRule="auto"/>
        <w:ind w:left="993" w:hanging="993"/>
        <w:contextualSpacing/>
        <w:rPr>
          <w:bCs/>
          <w:sz w:val="24"/>
          <w:lang w:val="es-CR"/>
        </w:rPr>
      </w:pPr>
    </w:p>
    <w:p w:rsidRPr="00B14B86" w:rsidR="00271889" w:rsidP="00B14B86" w:rsidRDefault="00271889" w14:paraId="7192BA2E" w14:textId="77777777">
      <w:pPr>
        <w:spacing w:line="240" w:lineRule="auto"/>
        <w:ind w:hanging="993"/>
        <w:contextualSpacing/>
        <w:rPr>
          <w:bCs/>
          <w:sz w:val="24"/>
          <w:lang w:val="es-CR"/>
        </w:rPr>
      </w:pPr>
    </w:p>
    <w:p w:rsidRPr="00B14B86" w:rsidR="00271889" w:rsidP="00B14B86" w:rsidRDefault="00271889" w14:paraId="24FD6455" w14:textId="77777777">
      <w:pPr>
        <w:spacing w:line="240" w:lineRule="auto"/>
        <w:contextualSpacing/>
        <w:rPr>
          <w:b/>
          <w:sz w:val="24"/>
          <w:lang w:val="es-CR"/>
        </w:rPr>
      </w:pPr>
      <w:r w:rsidRPr="00B14B86">
        <w:rPr>
          <w:b/>
          <w:sz w:val="24"/>
          <w:lang w:val="es-CR"/>
        </w:rPr>
        <w:t>Considerando que:</w:t>
      </w:r>
    </w:p>
    <w:p w:rsidRPr="00B14B86" w:rsidR="00271889" w:rsidP="00B14B86" w:rsidRDefault="00271889" w14:paraId="27FEE0D4" w14:textId="77777777">
      <w:pPr>
        <w:spacing w:line="240" w:lineRule="auto"/>
        <w:contextualSpacing/>
        <w:rPr>
          <w:b/>
          <w:sz w:val="24"/>
          <w:lang w:val="es-CR"/>
        </w:rPr>
      </w:pPr>
    </w:p>
    <w:p w:rsidRPr="00B14B86" w:rsidR="00271889" w:rsidP="00B14B86" w:rsidRDefault="00271889" w14:paraId="7803F795" w14:textId="77777777">
      <w:pPr>
        <w:numPr>
          <w:ilvl w:val="0"/>
          <w:numId w:val="3"/>
        </w:numPr>
        <w:spacing w:line="240" w:lineRule="auto"/>
        <w:ind w:left="964" w:right="113"/>
        <w:contextualSpacing/>
        <w:rPr>
          <w:i/>
          <w:iCs/>
          <w:sz w:val="24"/>
        </w:rPr>
      </w:pPr>
      <w:r w:rsidRPr="00B14B86">
        <w:rPr>
          <w:sz w:val="24"/>
        </w:rPr>
        <w:t>La “</w:t>
      </w:r>
      <w:r w:rsidRPr="00B14B86">
        <w:rPr>
          <w:i/>
          <w:iCs/>
          <w:sz w:val="24"/>
        </w:rPr>
        <w:t>Ley Orgánica del Banco Central de Costa Rica</w:t>
      </w:r>
      <w:r w:rsidRPr="00B14B86">
        <w:rPr>
          <w:sz w:val="24"/>
        </w:rPr>
        <w:t>” (Ley 7558), en su artículo 119 “</w:t>
      </w:r>
      <w:r w:rsidRPr="00B14B86">
        <w:rPr>
          <w:i/>
          <w:iCs/>
          <w:sz w:val="24"/>
        </w:rPr>
        <w:t>Supervisión y fiscalización de la Superintendencia</w:t>
      </w:r>
      <w:r w:rsidRPr="00B14B86">
        <w:rPr>
          <w:sz w:val="24"/>
        </w:rPr>
        <w:t xml:space="preserve">”, dispone que, con el propósito de velar por </w:t>
      </w:r>
      <w:r w:rsidRPr="00B14B86">
        <w:rPr>
          <w:sz w:val="24"/>
        </w:rPr>
        <w:lastRenderedPageBreak/>
        <w:t>la estabilidad, la solidez y el eficiente funcionamiento del Sistema Financiero Nacional, la Superintendencia General de Entidades Financieras (Superintendencia) ejercerá sus actividades de supervisión y fiscalización sobre todas las entidades que lleven a cabo intermediación financiera, con estricto apego a las disposiciones legales y reglamentarias, velando porque se cumplan los preceptos que les sean aplicables</w:t>
      </w:r>
    </w:p>
    <w:p w:rsidRPr="00B14B86" w:rsidR="00271889" w:rsidP="00B14B86" w:rsidRDefault="00271889" w14:paraId="4B3E15C6" w14:textId="77777777">
      <w:pPr>
        <w:spacing w:line="240" w:lineRule="auto"/>
        <w:ind w:left="964" w:right="113"/>
        <w:contextualSpacing/>
        <w:rPr>
          <w:i/>
          <w:iCs/>
          <w:sz w:val="24"/>
        </w:rPr>
      </w:pPr>
    </w:p>
    <w:p w:rsidRPr="00B14B86" w:rsidR="00271889" w:rsidP="00B14B86" w:rsidRDefault="00271889" w14:paraId="27D63681" w14:textId="77777777">
      <w:pPr>
        <w:numPr>
          <w:ilvl w:val="0"/>
          <w:numId w:val="3"/>
        </w:numPr>
        <w:spacing w:line="240" w:lineRule="auto"/>
        <w:ind w:left="964"/>
        <w:contextualSpacing/>
        <w:rPr>
          <w:sz w:val="24"/>
          <w:lang w:val="es-CR" w:eastAsia="es-ES"/>
        </w:rPr>
      </w:pPr>
      <w:r w:rsidRPr="00B14B86">
        <w:rPr>
          <w:sz w:val="24"/>
          <w:lang w:eastAsia="es-ES"/>
        </w:rPr>
        <w:t>El Sistema de Captura Verificación y Carga (SICVECA) es el sistema por medio del cual las entidades envían la información que requiere la Superintendencia para efectos de supervisión.</w:t>
      </w:r>
    </w:p>
    <w:p w:rsidRPr="00B14B86" w:rsidR="00271889" w:rsidP="00B14B86" w:rsidRDefault="00271889" w14:paraId="5FF5CA14" w14:textId="77777777">
      <w:pPr>
        <w:pStyle w:val="Prrafodelista"/>
        <w:spacing w:line="240" w:lineRule="auto"/>
        <w:ind w:left="964"/>
        <w:rPr>
          <w:sz w:val="24"/>
          <w:lang w:eastAsia="es-ES"/>
        </w:rPr>
      </w:pPr>
    </w:p>
    <w:p w:rsidRPr="00B14B86" w:rsidR="00271889" w:rsidP="00B14B86" w:rsidRDefault="00271889" w14:paraId="73564B96" w14:textId="0F8A7E62">
      <w:pPr>
        <w:pStyle w:val="Prrafodelista"/>
        <w:numPr>
          <w:ilvl w:val="0"/>
          <w:numId w:val="3"/>
        </w:numPr>
        <w:spacing w:line="240" w:lineRule="auto"/>
        <w:ind w:left="964"/>
        <w:rPr>
          <w:sz w:val="24"/>
        </w:rPr>
      </w:pPr>
      <w:r w:rsidRPr="00B14B86">
        <w:rPr>
          <w:sz w:val="24"/>
          <w:lang w:eastAsia="es-ES"/>
        </w:rPr>
        <w:t xml:space="preserve">El Consejo Nacional de Supervisión del Sistema Financiero, en el artículo 7 del Acta de la Sesión 1775-2022 celebrada el 14 de diciembre de 2022 dispuso aprobar en firme la “Propuesta de Reformas al Reglamento para la Calificación de </w:t>
      </w:r>
      <w:r w:rsidRPr="00B14B86" w:rsidR="00490C61">
        <w:rPr>
          <w:sz w:val="24"/>
          <w:lang w:eastAsia="es-ES"/>
        </w:rPr>
        <w:t>Deudores,</w:t>
      </w:r>
      <w:r w:rsidRPr="00B14B86">
        <w:rPr>
          <w:sz w:val="24"/>
          <w:lang w:eastAsia="es-ES"/>
        </w:rPr>
        <w:t xml:space="preserve"> Acuerdo 1-05 y al Reglamento sobre Suficiencia Patrimonial de Entidades, Acuerdo SUGEF 3-06”. </w:t>
      </w:r>
    </w:p>
    <w:p w:rsidRPr="00B14B86" w:rsidR="00271889" w:rsidP="00B14B86" w:rsidRDefault="00271889" w14:paraId="509EB007" w14:textId="77777777">
      <w:pPr>
        <w:spacing w:line="240" w:lineRule="auto"/>
        <w:ind w:left="964" w:right="113"/>
        <w:contextualSpacing/>
        <w:rPr>
          <w:i/>
          <w:iCs/>
          <w:sz w:val="24"/>
        </w:rPr>
      </w:pPr>
    </w:p>
    <w:p w:rsidRPr="00B14B86" w:rsidR="00271889" w:rsidP="00B14B86" w:rsidRDefault="00271889" w14:paraId="72D3E42B" w14:textId="3AED944C">
      <w:pPr>
        <w:numPr>
          <w:ilvl w:val="0"/>
          <w:numId w:val="3"/>
        </w:numPr>
        <w:spacing w:line="240" w:lineRule="auto"/>
        <w:ind w:left="964" w:right="113"/>
        <w:contextualSpacing/>
        <w:rPr>
          <w:i/>
          <w:iCs/>
          <w:sz w:val="24"/>
        </w:rPr>
      </w:pPr>
      <w:r w:rsidRPr="00B14B86">
        <w:rPr>
          <w:sz w:val="24"/>
          <w:lang w:val="es-CR"/>
        </w:rPr>
        <w:t>Mediante Resolución 22</w:t>
      </w:r>
      <w:r w:rsidRPr="00B14B86" w:rsidR="00B14B86">
        <w:rPr>
          <w:sz w:val="24"/>
          <w:lang w:val="es-CR"/>
        </w:rPr>
        <w:t>74</w:t>
      </w:r>
      <w:r w:rsidRPr="00B14B86">
        <w:rPr>
          <w:sz w:val="24"/>
          <w:lang w:val="es-CR"/>
        </w:rPr>
        <w:t xml:space="preserve">-2022 del </w:t>
      </w:r>
      <w:r w:rsidRPr="00B14B86" w:rsidR="00B14B86">
        <w:rPr>
          <w:sz w:val="24"/>
          <w:lang w:val="es-CR"/>
        </w:rPr>
        <w:t xml:space="preserve">23 de diciembre del </w:t>
      </w:r>
      <w:r w:rsidRPr="00B14B86">
        <w:rPr>
          <w:sz w:val="24"/>
          <w:lang w:val="es-CR"/>
        </w:rPr>
        <w:t>2022, esta Superintendencia comunicó a las entidades financieras la “</w:t>
      </w:r>
      <w:r w:rsidRPr="00B14B86">
        <w:rPr>
          <w:i/>
          <w:iCs/>
          <w:sz w:val="24"/>
          <w:lang w:val="es-419"/>
        </w:rPr>
        <w:t>Modificación de los Lineamientos Generales para la Aplicación del Reglamento sobre gestión y evaluación del riesgo de crédito para el Sistema de Banca para el Desarrollo, Acuerdo SUGEF 15-16”</w:t>
      </w:r>
      <w:r w:rsidRPr="00B14B86">
        <w:rPr>
          <w:sz w:val="24"/>
          <w:lang w:val="es-419"/>
        </w:rPr>
        <w:t>.</w:t>
      </w:r>
    </w:p>
    <w:p w:rsidRPr="00B14B86" w:rsidR="00271889" w:rsidP="00B14B86" w:rsidRDefault="00271889" w14:paraId="45E5277A" w14:textId="77777777">
      <w:pPr>
        <w:spacing w:line="240" w:lineRule="auto"/>
        <w:ind w:left="964" w:right="113"/>
        <w:contextualSpacing/>
        <w:rPr>
          <w:sz w:val="24"/>
          <w:lang w:val="es-CR"/>
        </w:rPr>
      </w:pPr>
    </w:p>
    <w:p w:rsidRPr="00B14B86" w:rsidR="00FF5E2B" w:rsidP="00B14B86" w:rsidRDefault="00FF5E2B" w14:paraId="580A822B" w14:textId="60F3AFEF">
      <w:pPr>
        <w:numPr>
          <w:ilvl w:val="0"/>
          <w:numId w:val="3"/>
        </w:numPr>
        <w:spacing w:line="240" w:lineRule="auto"/>
        <w:ind w:left="964" w:right="113"/>
        <w:contextualSpacing/>
        <w:rPr>
          <w:i/>
          <w:iCs/>
          <w:sz w:val="24"/>
        </w:rPr>
      </w:pPr>
      <w:r w:rsidRPr="00B14B86">
        <w:rPr>
          <w:sz w:val="24"/>
          <w:lang w:val="es-CR"/>
        </w:rPr>
        <w:t>Mediante Resolución SGF 26</w:t>
      </w:r>
      <w:r w:rsidRPr="00B14B86" w:rsidR="00B14B86">
        <w:rPr>
          <w:sz w:val="24"/>
          <w:lang w:val="es-CR"/>
        </w:rPr>
        <w:t>74</w:t>
      </w:r>
      <w:r w:rsidRPr="00B14B86">
        <w:rPr>
          <w:sz w:val="24"/>
          <w:lang w:val="es-CR"/>
        </w:rPr>
        <w:t>-2022 del 23 de diciembre de 2022, esta Superintendencia comunicó a las entidades financieras la “</w:t>
      </w:r>
      <w:r w:rsidRPr="00B14B86">
        <w:rPr>
          <w:i/>
          <w:iCs/>
          <w:sz w:val="24"/>
          <w:lang w:val="es-419"/>
        </w:rPr>
        <w:t>Modificación de los Lineamientos Generales para la Aplicación del “Reglamento sobre cálculo de estimaciones</w:t>
      </w:r>
      <w:r w:rsidRPr="00B14B86" w:rsidR="00D53F11">
        <w:rPr>
          <w:i/>
          <w:iCs/>
          <w:sz w:val="24"/>
          <w:lang w:val="es-419"/>
        </w:rPr>
        <w:t xml:space="preserve"> crediticias</w:t>
      </w:r>
      <w:r w:rsidRPr="00B14B86">
        <w:rPr>
          <w:sz w:val="24"/>
          <w:lang w:val="es-419"/>
        </w:rPr>
        <w:t>”, CONASSIF 14-21.</w:t>
      </w:r>
    </w:p>
    <w:p w:rsidRPr="00B14B86" w:rsidR="00FF5E2B" w:rsidP="00B14B86" w:rsidRDefault="00FF5E2B" w14:paraId="2FB34393" w14:textId="77777777">
      <w:pPr>
        <w:spacing w:line="240" w:lineRule="auto"/>
        <w:ind w:left="964" w:right="113"/>
        <w:contextualSpacing/>
        <w:rPr>
          <w:i/>
          <w:iCs/>
          <w:sz w:val="24"/>
        </w:rPr>
      </w:pPr>
    </w:p>
    <w:p w:rsidRPr="00B14B86" w:rsidR="00271889" w:rsidP="00B14B86" w:rsidRDefault="00271889" w14:paraId="032855DB" w14:textId="26308D8E">
      <w:pPr>
        <w:numPr>
          <w:ilvl w:val="0"/>
          <w:numId w:val="3"/>
        </w:numPr>
        <w:spacing w:line="240" w:lineRule="auto"/>
        <w:ind w:left="964" w:right="113"/>
        <w:contextualSpacing/>
        <w:rPr>
          <w:i/>
          <w:iCs/>
          <w:sz w:val="24"/>
        </w:rPr>
      </w:pPr>
      <w:r w:rsidRPr="00B14B86">
        <w:rPr>
          <w:sz w:val="24"/>
          <w:lang w:val="es-CR"/>
        </w:rPr>
        <w:t xml:space="preserve">Mediante Resolución </w:t>
      </w:r>
      <w:r w:rsidRPr="00B14B86" w:rsidR="00ED01E1">
        <w:rPr>
          <w:sz w:val="24"/>
          <w:lang w:val="es-CR"/>
        </w:rPr>
        <w:t xml:space="preserve">SGF 2660-2022 </w:t>
      </w:r>
      <w:r w:rsidRPr="00B14B86">
        <w:rPr>
          <w:sz w:val="24"/>
          <w:lang w:val="es-CR"/>
        </w:rPr>
        <w:t xml:space="preserve">del </w:t>
      </w:r>
      <w:r w:rsidRPr="00B14B86" w:rsidR="00ED01E1">
        <w:rPr>
          <w:sz w:val="24"/>
          <w:lang w:val="es-CR"/>
        </w:rPr>
        <w:t xml:space="preserve">23 de diciembre de </w:t>
      </w:r>
      <w:r w:rsidRPr="00B14B86">
        <w:rPr>
          <w:sz w:val="24"/>
          <w:lang w:val="es-CR"/>
        </w:rPr>
        <w:t>2022, esta Superintendencia comunicó a las entidades financieras la “</w:t>
      </w:r>
      <w:r w:rsidRPr="00B14B86" w:rsidR="00ED01E1">
        <w:rPr>
          <w:i/>
          <w:iCs/>
          <w:sz w:val="24"/>
          <w:lang w:val="es-419"/>
        </w:rPr>
        <w:t xml:space="preserve">Modificación </w:t>
      </w:r>
      <w:r w:rsidRPr="00B14B86">
        <w:rPr>
          <w:i/>
          <w:iCs/>
          <w:sz w:val="24"/>
          <w:lang w:val="es-419"/>
        </w:rPr>
        <w:t xml:space="preserve">de los Lineamientos Generales </w:t>
      </w:r>
      <w:r w:rsidRPr="00B14B86">
        <w:rPr>
          <w:i/>
          <w:iCs/>
          <w:sz w:val="24"/>
          <w:lang w:val="es-419"/>
        </w:rPr>
        <w:lastRenderedPageBreak/>
        <w:t>para la Aplicación del “Reglamento para la Calificación de Deudores, Acuerdo SUGEF 1-05</w:t>
      </w:r>
      <w:r w:rsidRPr="00B14B86">
        <w:rPr>
          <w:sz w:val="24"/>
          <w:lang w:val="es-419"/>
        </w:rPr>
        <w:t>”.</w:t>
      </w:r>
    </w:p>
    <w:p w:rsidRPr="00B14B86" w:rsidR="00271889" w:rsidP="00B14B86" w:rsidRDefault="00271889" w14:paraId="3D726091" w14:textId="77777777">
      <w:pPr>
        <w:pStyle w:val="Prrafodelista"/>
        <w:spacing w:line="240" w:lineRule="auto"/>
        <w:ind w:left="680" w:right="113"/>
        <w:rPr>
          <w:i/>
          <w:iCs/>
          <w:sz w:val="24"/>
        </w:rPr>
      </w:pPr>
    </w:p>
    <w:p w:rsidRPr="00B14B86" w:rsidR="00271889" w:rsidP="00B14B86" w:rsidRDefault="00F643DB" w14:paraId="14310C40" w14:textId="2EFB7D24">
      <w:pPr>
        <w:numPr>
          <w:ilvl w:val="0"/>
          <w:numId w:val="3"/>
        </w:numPr>
        <w:spacing w:line="240" w:lineRule="auto"/>
        <w:ind w:left="964" w:right="113"/>
        <w:contextualSpacing/>
        <w:rPr>
          <w:sz w:val="24"/>
          <w:lang w:val="es-CR" w:eastAsia="es-CR"/>
        </w:rPr>
      </w:pPr>
      <w:r w:rsidRPr="00B14B86">
        <w:rPr>
          <w:sz w:val="24"/>
          <w:lang w:val="es-CR" w:eastAsia="es-CR"/>
        </w:rPr>
        <w:t xml:space="preserve">Con el propósito de hacer operativas dichas disposiciones </w:t>
      </w:r>
      <w:r w:rsidRPr="00B14B86" w:rsidR="00271889">
        <w:rPr>
          <w:sz w:val="24"/>
          <w:lang w:val="es-CR" w:eastAsia="es-CR"/>
        </w:rPr>
        <w:t xml:space="preserve">es necesario realizar ajustes técnicos, en reportes del Centro de Información </w:t>
      </w:r>
      <w:r w:rsidRPr="00B14B86" w:rsidR="006F5731">
        <w:rPr>
          <w:sz w:val="24"/>
          <w:lang w:val="es-CR" w:eastAsia="es-CR"/>
        </w:rPr>
        <w:t>Crediticia (CIC)</w:t>
      </w:r>
      <w:r w:rsidRPr="00B14B86" w:rsidR="00271889">
        <w:rPr>
          <w:sz w:val="24"/>
          <w:lang w:val="es-CR" w:eastAsia="es-CR"/>
        </w:rPr>
        <w:t>, en el Archivo Descargable mensual, y en validaciones de la clase de datos Crediticia</w:t>
      </w:r>
      <w:r w:rsidRPr="00B14B86">
        <w:rPr>
          <w:sz w:val="24"/>
          <w:lang w:val="es-CR" w:eastAsia="es-CR"/>
        </w:rPr>
        <w:t xml:space="preserve"> del SICVECA</w:t>
      </w:r>
      <w:r w:rsidRPr="00B14B86" w:rsidR="00271889">
        <w:rPr>
          <w:sz w:val="24"/>
          <w:lang w:val="es-CR" w:eastAsia="es-CR"/>
        </w:rPr>
        <w:t>.</w:t>
      </w:r>
    </w:p>
    <w:p w:rsidRPr="00B14B86" w:rsidR="00271889" w:rsidP="00B14B86" w:rsidRDefault="00271889" w14:paraId="38AFB989" w14:textId="77777777">
      <w:pPr>
        <w:spacing w:after="120" w:line="240" w:lineRule="auto"/>
        <w:ind w:left="1038" w:right="57"/>
        <w:contextualSpacing/>
        <w:jc w:val="left"/>
        <w:rPr>
          <w:sz w:val="24"/>
        </w:rPr>
      </w:pPr>
    </w:p>
    <w:p w:rsidRPr="00B14B86" w:rsidR="00271889" w:rsidP="00B14B86" w:rsidRDefault="00271889" w14:paraId="486D7EC8" w14:textId="77777777">
      <w:pPr>
        <w:spacing w:line="240" w:lineRule="auto"/>
        <w:contextualSpacing/>
        <w:rPr>
          <w:rFonts w:eastAsia="Cambria" w:cs="Cambria"/>
          <w:b/>
          <w:iCs/>
          <w:sz w:val="24"/>
          <w:lang w:val="es-CR"/>
        </w:rPr>
      </w:pPr>
      <w:r w:rsidRPr="00B14B86">
        <w:rPr>
          <w:rFonts w:eastAsia="Cambria" w:cs="Cambria"/>
          <w:b/>
          <w:iCs/>
          <w:sz w:val="24"/>
          <w:lang w:val="es-CR"/>
        </w:rPr>
        <w:t>Dispone:</w:t>
      </w:r>
    </w:p>
    <w:p w:rsidRPr="00B14B86" w:rsidR="00271889" w:rsidP="00B14B86" w:rsidRDefault="00271889" w14:paraId="2BA59979" w14:textId="38470B59">
      <w:pPr>
        <w:spacing w:line="240" w:lineRule="auto"/>
        <w:contextualSpacing/>
        <w:jc w:val="left"/>
        <w:rPr>
          <w:sz w:val="24"/>
          <w:lang w:val="es-CR"/>
        </w:rPr>
      </w:pPr>
    </w:p>
    <w:p w:rsidRPr="00B14B86" w:rsidR="00C4228A" w:rsidP="00B14B86" w:rsidRDefault="00C4228A" w14:paraId="2B9DFF30" w14:textId="27D9C286">
      <w:pPr>
        <w:pStyle w:val="Prrafodelista"/>
        <w:widowControl w:val="0"/>
        <w:numPr>
          <w:ilvl w:val="0"/>
          <w:numId w:val="10"/>
        </w:numPr>
        <w:spacing w:line="240" w:lineRule="auto"/>
        <w:rPr>
          <w:b/>
          <w:bCs/>
          <w:sz w:val="24"/>
          <w:lang w:val="es-CR"/>
        </w:rPr>
      </w:pPr>
      <w:r w:rsidRPr="00B14B86">
        <w:rPr>
          <w:b/>
          <w:bCs/>
          <w:sz w:val="24"/>
          <w:lang w:val="es-CR"/>
        </w:rPr>
        <w:t>Modificaciones aprobadas en el artículo 7 del acta de la sesión 1775-2022, celebrada el 14 de diciembre del 2022:</w:t>
      </w:r>
    </w:p>
    <w:p w:rsidRPr="00B14B86" w:rsidR="00F643DB" w:rsidP="00B14B86" w:rsidRDefault="00F643DB" w14:paraId="29519060" w14:textId="77777777">
      <w:pPr>
        <w:pStyle w:val="Prrafodelista"/>
        <w:spacing w:line="240" w:lineRule="auto"/>
        <w:jc w:val="left"/>
        <w:rPr>
          <w:sz w:val="24"/>
          <w:lang w:val="es-CR"/>
        </w:rPr>
      </w:pPr>
    </w:p>
    <w:p w:rsidRPr="00B14B86" w:rsidR="00490C61" w:rsidP="00B14B86" w:rsidRDefault="00F643DB" w14:paraId="7D2F2B21" w14:textId="77D84312">
      <w:pPr>
        <w:pStyle w:val="Prrafodelista"/>
        <w:numPr>
          <w:ilvl w:val="0"/>
          <w:numId w:val="8"/>
        </w:numPr>
        <w:spacing w:line="240" w:lineRule="auto"/>
        <w:rPr>
          <w:sz w:val="24"/>
          <w:u w:val="single"/>
          <w:lang w:val="es-CR"/>
        </w:rPr>
      </w:pPr>
      <w:r w:rsidRPr="00B14B86">
        <w:rPr>
          <w:sz w:val="24"/>
          <w:u w:val="single"/>
          <w:lang w:val="es-CR"/>
        </w:rPr>
        <w:t>Sobre la e</w:t>
      </w:r>
      <w:r w:rsidRPr="00B14B86" w:rsidR="00490C61">
        <w:rPr>
          <w:sz w:val="24"/>
          <w:u w:val="single"/>
          <w:lang w:val="es-CR"/>
        </w:rPr>
        <w:t xml:space="preserve">liminación del criterio Capacidad de Pago para Deudores del Grupo </w:t>
      </w:r>
      <w:r w:rsidRPr="00B14B86" w:rsidR="006F5731">
        <w:rPr>
          <w:sz w:val="24"/>
          <w:u w:val="single"/>
          <w:lang w:val="es-CR"/>
        </w:rPr>
        <w:t>2</w:t>
      </w:r>
      <w:r w:rsidRPr="00B14B86" w:rsidR="00467235">
        <w:rPr>
          <w:sz w:val="24"/>
          <w:u w:val="single"/>
          <w:lang w:val="es-CR"/>
        </w:rPr>
        <w:t xml:space="preserve"> (Vigencia </w:t>
      </w:r>
      <w:r w:rsidRPr="00B14B86">
        <w:rPr>
          <w:sz w:val="24"/>
          <w:u w:val="single"/>
          <w:lang w:val="es-CR"/>
        </w:rPr>
        <w:t xml:space="preserve">en conjunto con el acuerdo aprobado </w:t>
      </w:r>
      <w:r w:rsidRPr="00B14B86" w:rsidR="004165B9">
        <w:rPr>
          <w:sz w:val="24"/>
          <w:u w:val="single"/>
          <w:lang w:val="es-CR"/>
        </w:rPr>
        <w:t xml:space="preserve">en </w:t>
      </w:r>
      <w:r w:rsidRPr="00B14B86">
        <w:rPr>
          <w:sz w:val="24"/>
          <w:u w:val="single"/>
          <w:lang w:val="es-CR"/>
        </w:rPr>
        <w:t>el artículo 7 del acta de la sesión 1775-2022, celebrada el 14 de diciembre del 2022</w:t>
      </w:r>
      <w:r w:rsidRPr="00B14B86" w:rsidR="004165B9">
        <w:rPr>
          <w:sz w:val="24"/>
          <w:u w:val="single"/>
          <w:lang w:val="es-CR"/>
        </w:rPr>
        <w:t>)</w:t>
      </w:r>
    </w:p>
    <w:p w:rsidRPr="00B14B86" w:rsidR="00F643DB" w:rsidP="00B14B86" w:rsidRDefault="00F643DB" w14:paraId="205A2B07" w14:textId="77777777">
      <w:pPr>
        <w:pStyle w:val="Prrafodelista"/>
        <w:spacing w:line="240" w:lineRule="auto"/>
        <w:jc w:val="left"/>
        <w:rPr>
          <w:sz w:val="24"/>
          <w:lang w:val="es-CR"/>
        </w:rPr>
      </w:pPr>
    </w:p>
    <w:p w:rsidRPr="00B14B86" w:rsidR="00F643DB" w:rsidP="00B14B86" w:rsidRDefault="00F643DB" w14:paraId="1FEBD55A" w14:textId="77777777">
      <w:pPr>
        <w:pStyle w:val="Prrafodelista"/>
        <w:spacing w:line="240" w:lineRule="auto"/>
        <w:ind w:left="502" w:firstLine="206"/>
        <w:rPr>
          <w:sz w:val="24"/>
          <w:lang w:val="es-CR"/>
        </w:rPr>
      </w:pPr>
      <w:r w:rsidRPr="00B14B86">
        <w:rPr>
          <w:sz w:val="24"/>
        </w:rPr>
        <w:t>Modificar las siguientes validaciones del Archivo Deudores:</w:t>
      </w:r>
    </w:p>
    <w:p w:rsidRPr="00B14B86" w:rsidR="00F643DB" w:rsidP="00B14B86" w:rsidRDefault="00F643DB" w14:paraId="3564918C" w14:textId="77777777">
      <w:pPr>
        <w:pStyle w:val="Prrafodelista"/>
        <w:spacing w:line="240" w:lineRule="auto"/>
        <w:ind w:left="502"/>
        <w:rPr>
          <w:sz w:val="24"/>
        </w:rPr>
      </w:pPr>
    </w:p>
    <w:tbl>
      <w:tblPr>
        <w:tblW w:w="5000" w:type="pct"/>
        <w:tblCellMar>
          <w:left w:w="0" w:type="dxa"/>
          <w:right w:w="0" w:type="dxa"/>
        </w:tblCellMar>
        <w:tblLook w:val="04A0" w:firstRow="1" w:lastRow="0" w:firstColumn="1" w:lastColumn="0" w:noHBand="0" w:noVBand="1"/>
      </w:tblPr>
      <w:tblGrid>
        <w:gridCol w:w="3516"/>
        <w:gridCol w:w="3517"/>
        <w:gridCol w:w="1785"/>
      </w:tblGrid>
      <w:tr w:rsidRPr="00B14B86" w:rsidR="00F643DB" w:rsidTr="000F0630" w14:paraId="2A817C35" w14:textId="77777777">
        <w:trPr>
          <w:tblHeader/>
        </w:trPr>
        <w:tc>
          <w:tcPr>
            <w:tcW w:w="1994"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B14B86" w:rsidR="00F643DB" w:rsidP="00B14B86" w:rsidRDefault="00F643DB" w14:paraId="6E307602" w14:textId="77777777">
            <w:pPr>
              <w:spacing w:line="240" w:lineRule="auto"/>
              <w:contextualSpacing/>
              <w:rPr>
                <w:sz w:val="24"/>
              </w:rPr>
            </w:pPr>
            <w:r w:rsidRPr="00B14B86">
              <w:rPr>
                <w:sz w:val="24"/>
              </w:rPr>
              <w:t>Validación actual</w:t>
            </w:r>
          </w:p>
        </w:tc>
        <w:tc>
          <w:tcPr>
            <w:tcW w:w="1994"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14B86" w:rsidR="00F643DB" w:rsidP="00B14B86" w:rsidRDefault="00F643DB" w14:paraId="542C15E0" w14:textId="77777777">
            <w:pPr>
              <w:spacing w:line="240" w:lineRule="auto"/>
              <w:contextualSpacing/>
              <w:rPr>
                <w:sz w:val="24"/>
              </w:rPr>
            </w:pPr>
            <w:r w:rsidRPr="00B14B86">
              <w:rPr>
                <w:sz w:val="24"/>
              </w:rPr>
              <w:t>Validación Modificada</w:t>
            </w:r>
          </w:p>
        </w:tc>
        <w:tc>
          <w:tcPr>
            <w:tcW w:w="1012"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14B86" w:rsidR="00F643DB" w:rsidP="00B14B86" w:rsidRDefault="00F643DB" w14:paraId="3A5002A0" w14:textId="77777777">
            <w:pPr>
              <w:spacing w:line="240" w:lineRule="auto"/>
              <w:contextualSpacing/>
              <w:rPr>
                <w:sz w:val="24"/>
              </w:rPr>
            </w:pPr>
            <w:r w:rsidRPr="00B14B86">
              <w:rPr>
                <w:sz w:val="24"/>
              </w:rPr>
              <w:t>Cambio</w:t>
            </w:r>
          </w:p>
        </w:tc>
      </w:tr>
      <w:tr w:rsidRPr="00B14B86" w:rsidR="00F643DB" w:rsidTr="000F0630" w14:paraId="33B033E7" w14:textId="77777777">
        <w:trPr>
          <w:tblHeader/>
        </w:trPr>
        <w:tc>
          <w:tcPr>
            <w:tcW w:w="1994"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Pr="00B14B86" w:rsidR="00F643DB" w:rsidP="00B14B86" w:rsidRDefault="00F643DB" w14:paraId="4486CD0D" w14:textId="77777777">
            <w:pPr>
              <w:pStyle w:val="NormalWeb"/>
              <w:spacing w:before="0" w:beforeAutospacing="0" w:after="0" w:afterAutospacing="0"/>
              <w:contextualSpacing/>
              <w:rPr>
                <w:rFonts w:ascii="Cambria" w:hAnsi="Cambria"/>
                <w:sz w:val="24"/>
                <w:szCs w:val="24"/>
              </w:rPr>
            </w:pPr>
            <w:r w:rsidRPr="00B14B86">
              <w:rPr>
                <w:rFonts w:ascii="Cambria" w:hAnsi="Cambria"/>
                <w:sz w:val="24"/>
                <w:szCs w:val="24"/>
              </w:rPr>
              <w:t xml:space="preserve">29. Cuando el dato del campo “CapacidadPago” indica el código 2, el dato del campo “CategoriaRiesgo” NO debe ser “A1” ni “A2”. </w:t>
            </w:r>
          </w:p>
        </w:tc>
        <w:tc>
          <w:tcPr>
            <w:tcW w:w="1994" w:type="pct"/>
            <w:tcBorders>
              <w:top w:val="nil"/>
              <w:left w:val="nil"/>
              <w:bottom w:val="single" w:color="auto" w:sz="8" w:space="0"/>
              <w:right w:val="single" w:color="auto" w:sz="8" w:space="0"/>
            </w:tcBorders>
            <w:tcMar>
              <w:top w:w="0" w:type="dxa"/>
              <w:left w:w="108" w:type="dxa"/>
              <w:bottom w:w="0" w:type="dxa"/>
              <w:right w:w="108" w:type="dxa"/>
            </w:tcMar>
          </w:tcPr>
          <w:p w:rsidRPr="00B14B86" w:rsidR="00F643DB" w:rsidP="00B14B86" w:rsidRDefault="00F643DB" w14:paraId="027556B9" w14:textId="77777777">
            <w:pPr>
              <w:pStyle w:val="NormalWeb"/>
              <w:spacing w:before="0" w:beforeAutospacing="0" w:after="0" w:afterAutospacing="0"/>
              <w:contextualSpacing/>
              <w:rPr>
                <w:rFonts w:ascii="Cambria" w:hAnsi="Cambria"/>
                <w:sz w:val="24"/>
                <w:szCs w:val="24"/>
              </w:rPr>
            </w:pPr>
            <w:r w:rsidRPr="00B14B86">
              <w:rPr>
                <w:rFonts w:ascii="Cambria" w:hAnsi="Cambria"/>
                <w:sz w:val="24"/>
                <w:szCs w:val="24"/>
              </w:rPr>
              <w:t>29. Cuando el Grupo de Clasificación es código 1 y el campo “CapacidadPago” indica el código 2, el campo “CategoriaRiesgo” No debe ser “A1” ni “A2”.</w:t>
            </w:r>
          </w:p>
        </w:tc>
        <w:tc>
          <w:tcPr>
            <w:tcW w:w="1012" w:type="pct"/>
            <w:tcBorders>
              <w:top w:val="nil"/>
              <w:left w:val="nil"/>
              <w:bottom w:val="single" w:color="auto" w:sz="8" w:space="0"/>
              <w:right w:val="single" w:color="auto" w:sz="8" w:space="0"/>
            </w:tcBorders>
            <w:tcMar>
              <w:top w:w="0" w:type="dxa"/>
              <w:left w:w="108" w:type="dxa"/>
              <w:bottom w:w="0" w:type="dxa"/>
              <w:right w:w="108" w:type="dxa"/>
            </w:tcMar>
            <w:hideMark/>
          </w:tcPr>
          <w:p w:rsidRPr="00B14B86" w:rsidR="00F643DB" w:rsidP="00B14B86" w:rsidRDefault="00F643DB" w14:paraId="6A8CB95E" w14:textId="77777777">
            <w:pPr>
              <w:pStyle w:val="NormalWeb"/>
              <w:spacing w:before="0" w:beforeAutospacing="0" w:after="240" w:afterAutospacing="0"/>
              <w:contextualSpacing/>
              <w:rPr>
                <w:rFonts w:ascii="Cambria" w:hAnsi="Cambria"/>
                <w:sz w:val="24"/>
                <w:szCs w:val="24"/>
              </w:rPr>
            </w:pPr>
            <w:r w:rsidRPr="00B14B86">
              <w:rPr>
                <w:rFonts w:ascii="Cambria" w:hAnsi="Cambria"/>
                <w:sz w:val="24"/>
                <w:szCs w:val="24"/>
              </w:rPr>
              <w:t>Se agrega la restricción de “Grupo de Clasificación 1”</w:t>
            </w:r>
          </w:p>
        </w:tc>
      </w:tr>
      <w:tr w:rsidRPr="00B14B86" w:rsidR="00F643DB" w:rsidTr="000F0630" w14:paraId="23AFE4EE" w14:textId="77777777">
        <w:trPr>
          <w:tblHeader/>
        </w:trPr>
        <w:tc>
          <w:tcPr>
            <w:tcW w:w="1994"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14B86" w:rsidR="00F643DB" w:rsidP="00B14B86" w:rsidRDefault="00F643DB" w14:paraId="09C3ECDA" w14:textId="77777777">
            <w:pPr>
              <w:pStyle w:val="NormalWeb"/>
              <w:spacing w:before="0" w:beforeAutospacing="0" w:after="0" w:afterAutospacing="0"/>
              <w:contextualSpacing/>
              <w:rPr>
                <w:rFonts w:ascii="Cambria" w:hAnsi="Cambria"/>
                <w:sz w:val="24"/>
                <w:szCs w:val="24"/>
              </w:rPr>
            </w:pPr>
            <w:r w:rsidRPr="00B14B86">
              <w:rPr>
                <w:rFonts w:ascii="Cambria" w:hAnsi="Cambria"/>
                <w:sz w:val="24"/>
                <w:szCs w:val="24"/>
              </w:rPr>
              <w:t>30. Cuando el dato del campo “CapacidadPago” indica el código 3, el dato del campo “CategoriaRiesgo” NO debe ser “A1”, “A2”, “B1” ni “B2”.</w:t>
            </w:r>
          </w:p>
        </w:tc>
        <w:tc>
          <w:tcPr>
            <w:tcW w:w="1994" w:type="pct"/>
            <w:tcBorders>
              <w:top w:val="nil"/>
              <w:left w:val="nil"/>
              <w:bottom w:val="single" w:color="auto" w:sz="8" w:space="0"/>
              <w:right w:val="single" w:color="auto" w:sz="8" w:space="0"/>
            </w:tcBorders>
            <w:tcMar>
              <w:top w:w="0" w:type="dxa"/>
              <w:left w:w="108" w:type="dxa"/>
              <w:bottom w:w="0" w:type="dxa"/>
              <w:right w:w="108" w:type="dxa"/>
            </w:tcMar>
          </w:tcPr>
          <w:p w:rsidRPr="00B14B86" w:rsidR="00F643DB" w:rsidP="00B14B86" w:rsidRDefault="00F643DB" w14:paraId="3C62290F" w14:textId="77777777">
            <w:pPr>
              <w:pStyle w:val="NormalWeb"/>
              <w:spacing w:before="0" w:beforeAutospacing="0" w:after="0" w:afterAutospacing="0"/>
              <w:contextualSpacing/>
              <w:rPr>
                <w:rFonts w:ascii="Cambria" w:hAnsi="Cambria"/>
                <w:sz w:val="24"/>
                <w:szCs w:val="24"/>
              </w:rPr>
            </w:pPr>
            <w:r w:rsidRPr="00B14B86">
              <w:rPr>
                <w:rFonts w:ascii="Cambria" w:hAnsi="Cambria"/>
                <w:sz w:val="24"/>
                <w:szCs w:val="24"/>
              </w:rPr>
              <w:t>30. Cuando el Grupo de Clasificación es código 1 y el campo “CapacidadPago” indica el código 3, el campo “CategoriaRiesgo” No debe ser “A1”, “A2”, “B1” ni “B2”.</w:t>
            </w:r>
          </w:p>
        </w:tc>
        <w:tc>
          <w:tcPr>
            <w:tcW w:w="1012" w:type="pct"/>
            <w:tcBorders>
              <w:top w:val="nil"/>
              <w:left w:val="nil"/>
              <w:bottom w:val="single" w:color="auto" w:sz="8" w:space="0"/>
              <w:right w:val="single" w:color="auto" w:sz="8" w:space="0"/>
            </w:tcBorders>
            <w:tcMar>
              <w:top w:w="0" w:type="dxa"/>
              <w:left w:w="108" w:type="dxa"/>
              <w:bottom w:w="0" w:type="dxa"/>
              <w:right w:w="108" w:type="dxa"/>
            </w:tcMar>
            <w:hideMark/>
          </w:tcPr>
          <w:p w:rsidRPr="00B14B86" w:rsidR="00F643DB" w:rsidP="00B14B86" w:rsidRDefault="00F643DB" w14:paraId="1CCDF154" w14:textId="77777777">
            <w:pPr>
              <w:pStyle w:val="NormalWeb"/>
              <w:spacing w:before="0" w:beforeAutospacing="0" w:after="240" w:afterAutospacing="0"/>
              <w:contextualSpacing/>
              <w:rPr>
                <w:rFonts w:ascii="Cambria" w:hAnsi="Cambria"/>
                <w:sz w:val="24"/>
                <w:szCs w:val="24"/>
              </w:rPr>
            </w:pPr>
            <w:r w:rsidRPr="00B14B86">
              <w:rPr>
                <w:rFonts w:ascii="Cambria" w:hAnsi="Cambria"/>
                <w:sz w:val="24"/>
                <w:szCs w:val="24"/>
              </w:rPr>
              <w:t>Se agrega la restricción de “Grupo de Clasificación 1”</w:t>
            </w:r>
          </w:p>
        </w:tc>
      </w:tr>
    </w:tbl>
    <w:p w:rsidRPr="00B14B86" w:rsidR="00F643DB" w:rsidP="00B14B86" w:rsidRDefault="00F643DB" w14:paraId="2DEE47E4" w14:textId="6ECC7D45">
      <w:pPr>
        <w:spacing w:line="240" w:lineRule="auto"/>
        <w:contextualSpacing/>
        <w:rPr>
          <w:sz w:val="24"/>
          <w:lang w:val="es-CR"/>
        </w:rPr>
      </w:pPr>
    </w:p>
    <w:p w:rsidRPr="00B14B86" w:rsidR="006F5731" w:rsidP="00B14B86" w:rsidRDefault="006F5731" w14:paraId="35EEBE06" w14:textId="28707351">
      <w:pPr>
        <w:spacing w:line="240" w:lineRule="auto"/>
        <w:ind w:left="709"/>
        <w:contextualSpacing/>
        <w:rPr>
          <w:sz w:val="24"/>
          <w:lang w:val="es-CR"/>
        </w:rPr>
      </w:pPr>
      <w:r w:rsidRPr="00B14B86">
        <w:rPr>
          <w:sz w:val="24"/>
          <w:lang w:val="es-CR"/>
        </w:rPr>
        <w:lastRenderedPageBreak/>
        <w:t xml:space="preserve">El campo </w:t>
      </w:r>
      <w:r w:rsidRPr="00B14B86">
        <w:rPr>
          <w:sz w:val="24"/>
        </w:rPr>
        <w:t>“CapacidadPago” continúa siendo obligatorio tanto para los deudores del Grupo 1 como del Grupo 2, aunque en el caso del Grupo 2, deja de ser utilizado para fines de calificación de deudores. Lo anterior, hasta el 31 de diciembre de 2023.</w:t>
      </w:r>
    </w:p>
    <w:p w:rsidRPr="00B14B86" w:rsidR="006F5731" w:rsidP="00B14B86" w:rsidRDefault="006F5731" w14:paraId="5279EB33" w14:textId="049BBEFE">
      <w:pPr>
        <w:spacing w:line="240" w:lineRule="auto"/>
        <w:contextualSpacing/>
        <w:rPr>
          <w:sz w:val="24"/>
          <w:lang w:val="es-CR"/>
        </w:rPr>
      </w:pPr>
    </w:p>
    <w:p w:rsidRPr="00B14B86" w:rsidR="000F0630" w:rsidP="00B14B86" w:rsidRDefault="000F0630" w14:paraId="65FACC4B" w14:textId="77777777">
      <w:pPr>
        <w:spacing w:line="240" w:lineRule="auto"/>
        <w:contextualSpacing/>
        <w:rPr>
          <w:sz w:val="24"/>
          <w:lang w:val="es-CR"/>
        </w:rPr>
      </w:pPr>
    </w:p>
    <w:p w:rsidRPr="00B14B86" w:rsidR="00490C61" w:rsidP="00B14B86" w:rsidRDefault="00F643DB" w14:paraId="49085C1B" w14:textId="187236A9">
      <w:pPr>
        <w:pStyle w:val="Prrafodelista"/>
        <w:numPr>
          <w:ilvl w:val="0"/>
          <w:numId w:val="8"/>
        </w:numPr>
        <w:spacing w:line="240" w:lineRule="auto"/>
        <w:rPr>
          <w:sz w:val="24"/>
          <w:u w:val="single"/>
          <w:lang w:val="es-CR"/>
        </w:rPr>
      </w:pPr>
      <w:r w:rsidRPr="00B14B86">
        <w:rPr>
          <w:sz w:val="24"/>
          <w:u w:val="single"/>
          <w:lang w:val="es-CR"/>
        </w:rPr>
        <w:t>Sobre la m</w:t>
      </w:r>
      <w:r w:rsidRPr="00B14B86" w:rsidR="00467235">
        <w:rPr>
          <w:sz w:val="24"/>
          <w:u w:val="single"/>
          <w:lang w:val="es-CR"/>
        </w:rPr>
        <w:t>odificación de la calificación del deudor con al menos una operación especial (Vigencia a partir del primero de enero de 2023)</w:t>
      </w:r>
    </w:p>
    <w:p w:rsidRPr="00B14B86" w:rsidR="000F0630" w:rsidP="00B14B86" w:rsidRDefault="000F0630" w14:paraId="3154F18A" w14:textId="77777777">
      <w:pPr>
        <w:spacing w:after="160" w:line="240" w:lineRule="auto"/>
        <w:contextualSpacing/>
        <w:jc w:val="left"/>
        <w:rPr>
          <w:sz w:val="24"/>
        </w:rPr>
      </w:pPr>
      <w:r w:rsidRPr="00B14B86">
        <w:rPr>
          <w:sz w:val="24"/>
        </w:rPr>
        <w:br w:type="page"/>
      </w:r>
    </w:p>
    <w:p w:rsidRPr="00B14B86" w:rsidR="00F643DB" w:rsidP="00B14B86" w:rsidRDefault="00F643DB" w14:paraId="0DB46DB9" w14:textId="2AE1BE79">
      <w:pPr>
        <w:pStyle w:val="Prrafodelista"/>
        <w:spacing w:line="240" w:lineRule="auto"/>
        <w:ind w:left="502" w:firstLine="206"/>
        <w:rPr>
          <w:sz w:val="24"/>
          <w:lang w:val="es-CR"/>
        </w:rPr>
      </w:pPr>
      <w:r w:rsidRPr="00B14B86">
        <w:rPr>
          <w:sz w:val="24"/>
        </w:rPr>
        <w:lastRenderedPageBreak/>
        <w:t>Modificar las siguientes validaciones del Archivo Operaciones:</w:t>
      </w:r>
    </w:p>
    <w:p w:rsidRPr="00B14B86" w:rsidR="00F643DB" w:rsidP="00B14B86" w:rsidRDefault="00F643DB" w14:paraId="5DE1FDE4" w14:textId="77777777">
      <w:pPr>
        <w:spacing w:line="240" w:lineRule="auto"/>
        <w:contextualSpacing/>
        <w:rPr>
          <w:sz w:val="24"/>
        </w:rPr>
      </w:pPr>
    </w:p>
    <w:tbl>
      <w:tblPr>
        <w:tblW w:w="5000" w:type="pct"/>
        <w:tblCellMar>
          <w:left w:w="0" w:type="dxa"/>
          <w:right w:w="0" w:type="dxa"/>
        </w:tblCellMar>
        <w:tblLook w:val="04A0" w:firstRow="1" w:lastRow="0" w:firstColumn="1" w:lastColumn="0" w:noHBand="0" w:noVBand="1"/>
      </w:tblPr>
      <w:tblGrid>
        <w:gridCol w:w="3642"/>
        <w:gridCol w:w="3642"/>
        <w:gridCol w:w="1534"/>
      </w:tblGrid>
      <w:tr w:rsidRPr="00B14B86" w:rsidR="00F643DB" w:rsidTr="000F0630" w14:paraId="7D4BBF5F" w14:textId="77777777">
        <w:tc>
          <w:tcPr>
            <w:tcW w:w="2065" w:type="pc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B14B86" w:rsidR="00F643DB" w:rsidP="00B14B86" w:rsidRDefault="00F643DB" w14:paraId="41D5F533" w14:textId="77777777">
            <w:pPr>
              <w:spacing w:line="240" w:lineRule="auto"/>
              <w:contextualSpacing/>
              <w:rPr>
                <w:sz w:val="24"/>
              </w:rPr>
            </w:pPr>
            <w:r w:rsidRPr="00B14B86">
              <w:rPr>
                <w:sz w:val="24"/>
              </w:rPr>
              <w:t>Validación actual</w:t>
            </w:r>
          </w:p>
        </w:tc>
        <w:tc>
          <w:tcPr>
            <w:tcW w:w="2065"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14B86" w:rsidR="00F643DB" w:rsidP="00B14B86" w:rsidRDefault="00F643DB" w14:paraId="482C6DC2" w14:textId="77777777">
            <w:pPr>
              <w:spacing w:line="240" w:lineRule="auto"/>
              <w:contextualSpacing/>
              <w:rPr>
                <w:sz w:val="24"/>
              </w:rPr>
            </w:pPr>
            <w:r w:rsidRPr="00B14B86">
              <w:rPr>
                <w:sz w:val="24"/>
              </w:rPr>
              <w:t>Validación Modificada</w:t>
            </w:r>
          </w:p>
        </w:tc>
        <w:tc>
          <w:tcPr>
            <w:tcW w:w="870" w:type="pct"/>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B14B86" w:rsidR="00F643DB" w:rsidP="00B14B86" w:rsidRDefault="00F643DB" w14:paraId="6B7B8936" w14:textId="77777777">
            <w:pPr>
              <w:spacing w:line="240" w:lineRule="auto"/>
              <w:contextualSpacing/>
              <w:rPr>
                <w:sz w:val="24"/>
              </w:rPr>
            </w:pPr>
            <w:r w:rsidRPr="00B14B86">
              <w:rPr>
                <w:sz w:val="24"/>
              </w:rPr>
              <w:t>Cambio</w:t>
            </w:r>
          </w:p>
        </w:tc>
      </w:tr>
      <w:tr w:rsidRPr="00B14B86" w:rsidR="00F643DB" w:rsidTr="000F0630" w14:paraId="6C507E6C" w14:textId="77777777">
        <w:tc>
          <w:tcPr>
            <w:tcW w:w="2065" w:type="pct"/>
            <w:tcBorders>
              <w:top w:val="nil"/>
              <w:left w:val="single" w:color="auto" w:sz="8" w:space="0"/>
              <w:bottom w:val="single" w:color="auto" w:sz="8" w:space="0"/>
              <w:right w:val="single" w:color="auto" w:sz="8" w:space="0"/>
            </w:tcBorders>
            <w:tcMar>
              <w:top w:w="0" w:type="dxa"/>
              <w:left w:w="108" w:type="dxa"/>
              <w:bottom w:w="0" w:type="dxa"/>
              <w:right w:w="108" w:type="dxa"/>
            </w:tcMar>
            <w:hideMark/>
          </w:tcPr>
          <w:p w:rsidRPr="00B14B86" w:rsidR="00F643DB" w:rsidP="00B14B86" w:rsidRDefault="00F643DB" w14:paraId="5DF988EF" w14:textId="77777777">
            <w:pPr>
              <w:autoSpaceDE w:val="0"/>
              <w:autoSpaceDN w:val="0"/>
              <w:spacing w:line="240" w:lineRule="auto"/>
              <w:contextualSpacing/>
              <w:rPr>
                <w:sz w:val="24"/>
              </w:rPr>
            </w:pPr>
            <w:r w:rsidRPr="00B14B86">
              <w:rPr>
                <w:b/>
                <w:bCs/>
                <w:sz w:val="24"/>
                <w:lang w:eastAsia="es-ES"/>
              </w:rPr>
              <w:t>165.</w:t>
            </w:r>
            <w:r w:rsidRPr="00B14B86">
              <w:rPr>
                <w:sz w:val="24"/>
                <w:lang w:eastAsia="es-ES"/>
              </w:rPr>
              <w:t xml:space="preserve"> Cuando el campo “IndicadorOperacionEspecial” indica “S”, el dato del campo “CategoriaRiesgo” del archivo de Deudores del dato del campo “IdDeudor” y/ó datos del campo “IdCodeudor” de la Lista Codeudores no debe ser “A1”, “A2”, “B1” ó “B2”.</w:t>
            </w:r>
          </w:p>
        </w:tc>
        <w:tc>
          <w:tcPr>
            <w:tcW w:w="2065" w:type="pct"/>
            <w:tcBorders>
              <w:top w:val="nil"/>
              <w:left w:val="nil"/>
              <w:bottom w:val="single" w:color="auto" w:sz="8" w:space="0"/>
              <w:right w:val="single" w:color="auto" w:sz="8" w:space="0"/>
            </w:tcBorders>
            <w:tcMar>
              <w:top w:w="0" w:type="dxa"/>
              <w:left w:w="108" w:type="dxa"/>
              <w:bottom w:w="0" w:type="dxa"/>
              <w:right w:w="108" w:type="dxa"/>
            </w:tcMar>
            <w:hideMark/>
          </w:tcPr>
          <w:p w:rsidRPr="00B14B86" w:rsidR="00F643DB" w:rsidP="00B14B86" w:rsidRDefault="00F643DB" w14:paraId="4907288B" w14:textId="77777777">
            <w:pPr>
              <w:spacing w:line="240" w:lineRule="auto"/>
              <w:contextualSpacing/>
              <w:rPr>
                <w:sz w:val="24"/>
              </w:rPr>
            </w:pPr>
            <w:r w:rsidRPr="00B14B86">
              <w:rPr>
                <w:sz w:val="24"/>
              </w:rPr>
              <w:t>165. Cuando el campo “IndicadorOperacionEspecial” indica “S”, el dato del campo “CategoriaRiesgo” del archivo de Deudores del dato del campo “IdDeudor” y/ó datos del campo “IdCodeudor” de la Lista Codeudores no debe ser “A1”, “A2” o “B1”.</w:t>
            </w:r>
          </w:p>
        </w:tc>
        <w:tc>
          <w:tcPr>
            <w:tcW w:w="870" w:type="pct"/>
            <w:tcBorders>
              <w:top w:val="nil"/>
              <w:left w:val="nil"/>
              <w:bottom w:val="single" w:color="auto" w:sz="8" w:space="0"/>
              <w:right w:val="single" w:color="auto" w:sz="8" w:space="0"/>
            </w:tcBorders>
            <w:tcMar>
              <w:top w:w="0" w:type="dxa"/>
              <w:left w:w="108" w:type="dxa"/>
              <w:bottom w:w="0" w:type="dxa"/>
              <w:right w:w="108" w:type="dxa"/>
            </w:tcMar>
            <w:hideMark/>
          </w:tcPr>
          <w:p w:rsidRPr="00B14B86" w:rsidR="00F643DB" w:rsidP="00B14B86" w:rsidRDefault="00F643DB" w14:paraId="32AB2FAB" w14:textId="77777777">
            <w:pPr>
              <w:spacing w:line="240" w:lineRule="auto"/>
              <w:contextualSpacing/>
              <w:rPr>
                <w:sz w:val="24"/>
                <w:lang w:eastAsia="es-CR"/>
              </w:rPr>
            </w:pPr>
            <w:r w:rsidRPr="00B14B86">
              <w:rPr>
                <w:sz w:val="24"/>
                <w:lang w:eastAsia="es-CR"/>
              </w:rPr>
              <w:t xml:space="preserve">Se elimina la condición de categoría de riesgo </w:t>
            </w:r>
            <w:r w:rsidRPr="00B14B86">
              <w:rPr>
                <w:sz w:val="24"/>
                <w:lang w:eastAsia="es-ES"/>
              </w:rPr>
              <w:t>“B2”.</w:t>
            </w:r>
          </w:p>
        </w:tc>
      </w:tr>
    </w:tbl>
    <w:p w:rsidRPr="00B14B86" w:rsidR="00F643DB" w:rsidP="00B14B86" w:rsidRDefault="00F643DB" w14:paraId="670EE420" w14:textId="61CADBFF">
      <w:pPr>
        <w:spacing w:line="240" w:lineRule="auto"/>
        <w:contextualSpacing/>
        <w:rPr>
          <w:rFonts w:cs="Calibri" w:eastAsiaTheme="minorHAnsi"/>
          <w:sz w:val="24"/>
        </w:rPr>
      </w:pPr>
    </w:p>
    <w:p w:rsidRPr="00B14B86" w:rsidR="000F0630" w:rsidP="00B14B86" w:rsidRDefault="000F0630" w14:paraId="3E66B0DC" w14:textId="77777777">
      <w:pPr>
        <w:spacing w:line="240" w:lineRule="auto"/>
        <w:contextualSpacing/>
        <w:rPr>
          <w:rFonts w:cs="Calibri" w:eastAsiaTheme="minorHAnsi"/>
          <w:sz w:val="24"/>
        </w:rPr>
      </w:pPr>
    </w:p>
    <w:p w:rsidRPr="00B14B86" w:rsidR="00467235" w:rsidP="00B14B86" w:rsidRDefault="00F643DB" w14:paraId="598CF462" w14:textId="216AD473">
      <w:pPr>
        <w:pStyle w:val="Prrafodelista"/>
        <w:numPr>
          <w:ilvl w:val="0"/>
          <w:numId w:val="8"/>
        </w:numPr>
        <w:spacing w:line="240" w:lineRule="auto"/>
        <w:rPr>
          <w:sz w:val="24"/>
          <w:u w:val="single"/>
          <w:lang w:val="es-CR"/>
        </w:rPr>
      </w:pPr>
      <w:r w:rsidRPr="00B14B86">
        <w:rPr>
          <w:sz w:val="24"/>
          <w:u w:val="single"/>
          <w:lang w:val="es-CR"/>
        </w:rPr>
        <w:t>Sobre la m</w:t>
      </w:r>
      <w:r w:rsidRPr="00B14B86" w:rsidR="00467235">
        <w:rPr>
          <w:sz w:val="24"/>
          <w:u w:val="single"/>
          <w:lang w:val="es-CR"/>
        </w:rPr>
        <w:t xml:space="preserve">odificación de la composición del capital primario y su nivel mínimo (Vigencia </w:t>
      </w:r>
      <w:r w:rsidRPr="00B14B86" w:rsidR="00C4228A">
        <w:rPr>
          <w:sz w:val="24"/>
          <w:u w:val="single"/>
          <w:lang w:val="es-CR"/>
        </w:rPr>
        <w:t>con fecha de corte al 31 de diciembre de 2022 y hasta el 31 de diciembre de 2024)</w:t>
      </w:r>
      <w:r w:rsidRPr="00B14B86" w:rsidR="000D5FF8">
        <w:rPr>
          <w:sz w:val="24"/>
          <w:u w:val="single"/>
          <w:lang w:val="es-CR"/>
        </w:rPr>
        <w:t>.</w:t>
      </w:r>
    </w:p>
    <w:p w:rsidRPr="00B14B86" w:rsidR="00C4228A" w:rsidP="00B14B86" w:rsidRDefault="00C4228A" w14:paraId="4D057DB6" w14:textId="36C62C3C">
      <w:pPr>
        <w:spacing w:line="240" w:lineRule="auto"/>
        <w:contextualSpacing/>
        <w:jc w:val="left"/>
        <w:rPr>
          <w:sz w:val="24"/>
          <w:lang w:val="es-CR"/>
        </w:rPr>
      </w:pPr>
    </w:p>
    <w:p w:rsidRPr="00B14B86" w:rsidR="00D1505E" w:rsidP="00B14B86" w:rsidRDefault="002C130E" w14:paraId="70E77B93" w14:textId="65BDD3A2">
      <w:pPr>
        <w:spacing w:line="240" w:lineRule="auto"/>
        <w:ind w:left="708"/>
        <w:contextualSpacing/>
        <w:rPr>
          <w:sz w:val="24"/>
          <w:lang w:val="es-CR"/>
        </w:rPr>
      </w:pPr>
      <w:r w:rsidRPr="00B14B86">
        <w:rPr>
          <w:sz w:val="24"/>
          <w:lang w:val="es-CR"/>
        </w:rPr>
        <w:t>A más tardar el 6 de enero de 2023, la Superintendencia informará sobre las modificaciones al XML Indicadores.</w:t>
      </w:r>
    </w:p>
    <w:p w:rsidRPr="00B14B86" w:rsidR="00D1505E" w:rsidP="00B14B86" w:rsidRDefault="00D1505E" w14:paraId="732862A1" w14:textId="14E82F62">
      <w:pPr>
        <w:spacing w:line="240" w:lineRule="auto"/>
        <w:contextualSpacing/>
        <w:jc w:val="left"/>
        <w:rPr>
          <w:sz w:val="24"/>
          <w:lang w:val="es-CR"/>
        </w:rPr>
      </w:pPr>
    </w:p>
    <w:p w:rsidRPr="00B14B86" w:rsidR="004165B9" w:rsidP="00B14B86" w:rsidRDefault="004165B9" w14:paraId="6576D507" w14:textId="3D1F285A">
      <w:pPr>
        <w:pStyle w:val="Prrafodelista"/>
        <w:widowControl w:val="0"/>
        <w:numPr>
          <w:ilvl w:val="0"/>
          <w:numId w:val="10"/>
        </w:numPr>
        <w:spacing w:line="240" w:lineRule="auto"/>
        <w:rPr>
          <w:b/>
          <w:bCs/>
          <w:sz w:val="24"/>
          <w:lang w:val="es-CR"/>
        </w:rPr>
      </w:pPr>
      <w:r w:rsidRPr="00B14B86">
        <w:rPr>
          <w:b/>
          <w:bCs/>
          <w:sz w:val="24"/>
          <w:lang w:val="es-CR"/>
        </w:rPr>
        <w:t>Modificaciones aprobadas mediante resoluciones</w:t>
      </w:r>
      <w:r w:rsidRPr="00B14B86" w:rsidR="003A1E9F">
        <w:rPr>
          <w:b/>
          <w:bCs/>
          <w:sz w:val="24"/>
          <w:lang w:val="es-CR"/>
        </w:rPr>
        <w:t xml:space="preserve"> SGF 2660-2022</w:t>
      </w:r>
      <w:r w:rsidRPr="00B14B86" w:rsidR="00D53F11">
        <w:rPr>
          <w:b/>
          <w:bCs/>
          <w:sz w:val="24"/>
          <w:lang w:val="es-CR"/>
        </w:rPr>
        <w:t xml:space="preserve">, </w:t>
      </w:r>
      <w:r w:rsidRPr="00B14B86" w:rsidR="003A1E9F">
        <w:rPr>
          <w:b/>
          <w:bCs/>
          <w:sz w:val="24"/>
          <w:lang w:val="es-CR"/>
        </w:rPr>
        <w:t xml:space="preserve">SGF </w:t>
      </w:r>
      <w:r w:rsidRPr="00B14B86" w:rsidR="00B14B86">
        <w:rPr>
          <w:b/>
          <w:bCs/>
          <w:sz w:val="24"/>
          <w:lang w:val="es-CR"/>
        </w:rPr>
        <w:t>2674-2022</w:t>
      </w:r>
      <w:r w:rsidRPr="00B14B86" w:rsidR="00D53F11">
        <w:rPr>
          <w:b/>
          <w:bCs/>
          <w:sz w:val="24"/>
          <w:lang w:val="es-CR"/>
        </w:rPr>
        <w:t xml:space="preserve"> y SGF </w:t>
      </w:r>
      <w:r w:rsidRPr="00B14B86" w:rsidR="00B14B86">
        <w:rPr>
          <w:b/>
          <w:bCs/>
          <w:sz w:val="24"/>
          <w:lang w:val="es-CR"/>
        </w:rPr>
        <w:t>2675-2022</w:t>
      </w:r>
      <w:r w:rsidRPr="00B14B86" w:rsidR="00D53F11">
        <w:rPr>
          <w:b/>
          <w:bCs/>
          <w:sz w:val="24"/>
          <w:lang w:val="es-CR"/>
        </w:rPr>
        <w:t xml:space="preserve"> </w:t>
      </w:r>
      <w:r w:rsidRPr="00B14B86" w:rsidR="003A1E9F">
        <w:rPr>
          <w:b/>
          <w:bCs/>
          <w:sz w:val="24"/>
          <w:lang w:val="es-CR"/>
        </w:rPr>
        <w:t>del 23 de diciembre de 202</w:t>
      </w:r>
      <w:r w:rsidRPr="00B14B86" w:rsidR="00D53F11">
        <w:rPr>
          <w:b/>
          <w:bCs/>
          <w:sz w:val="24"/>
          <w:lang w:val="es-CR"/>
        </w:rPr>
        <w:t>2.</w:t>
      </w:r>
    </w:p>
    <w:p w:rsidRPr="00B14B86" w:rsidR="004165B9" w:rsidP="00B14B86" w:rsidRDefault="004165B9" w14:paraId="0C8AC184" w14:textId="55792350">
      <w:pPr>
        <w:widowControl w:val="0"/>
        <w:spacing w:line="240" w:lineRule="auto"/>
        <w:ind w:left="360"/>
        <w:contextualSpacing/>
        <w:rPr>
          <w:b/>
          <w:bCs/>
          <w:sz w:val="24"/>
          <w:lang w:val="es-CR"/>
        </w:rPr>
      </w:pPr>
    </w:p>
    <w:p w:rsidRPr="00B14B86" w:rsidR="004165B9" w:rsidP="00B14B86" w:rsidRDefault="004165B9" w14:paraId="7E1E8486" w14:textId="34A49A73">
      <w:pPr>
        <w:pStyle w:val="Prrafodelista"/>
        <w:widowControl w:val="0"/>
        <w:spacing w:line="240" w:lineRule="auto"/>
        <w:ind w:left="862"/>
        <w:rPr>
          <w:b/>
          <w:bCs/>
          <w:sz w:val="24"/>
          <w:lang w:val="es-CR"/>
        </w:rPr>
      </w:pPr>
      <w:r w:rsidRPr="00B14B86">
        <w:rPr>
          <w:b/>
          <w:bCs/>
          <w:sz w:val="24"/>
          <w:lang w:val="es-CR"/>
        </w:rPr>
        <w:t>Sobre las modificaciones a la metodología para el cálculo del puntaje de CPH</w:t>
      </w:r>
      <w:r w:rsidRPr="00B14B86" w:rsidR="006F25D1">
        <w:rPr>
          <w:b/>
          <w:bCs/>
          <w:sz w:val="24"/>
          <w:lang w:val="es-CR"/>
        </w:rPr>
        <w:t xml:space="preserve"> y las causales de pase directo a CPH Nivel 3 y CPH-SBD Nivel 3</w:t>
      </w:r>
      <w:r w:rsidRPr="00B14B86">
        <w:rPr>
          <w:b/>
          <w:bCs/>
          <w:sz w:val="24"/>
          <w:lang w:val="es-CR"/>
        </w:rPr>
        <w:t>.</w:t>
      </w:r>
    </w:p>
    <w:p w:rsidRPr="00B14B86" w:rsidR="004165B9" w:rsidP="00B14B86" w:rsidRDefault="004165B9" w14:paraId="4E891659" w14:textId="1A63F932">
      <w:pPr>
        <w:widowControl w:val="0"/>
        <w:spacing w:line="240" w:lineRule="auto"/>
        <w:contextualSpacing/>
        <w:rPr>
          <w:b/>
          <w:bCs/>
          <w:sz w:val="24"/>
          <w:lang w:val="es-CR"/>
        </w:rPr>
      </w:pPr>
    </w:p>
    <w:p w:rsidRPr="00B14B86" w:rsidR="0087637A" w:rsidP="00B14B86" w:rsidRDefault="003E7AAB" w14:paraId="05355E33" w14:textId="77777777">
      <w:pPr>
        <w:pStyle w:val="Prrafodelista"/>
        <w:spacing w:line="240" w:lineRule="auto"/>
        <w:ind w:left="862"/>
        <w:rPr>
          <w:sz w:val="24"/>
          <w:lang w:val="es-CR"/>
        </w:rPr>
      </w:pPr>
      <w:r w:rsidRPr="00B14B86">
        <w:rPr>
          <w:sz w:val="24"/>
          <w:lang w:val="es-CR"/>
        </w:rPr>
        <w:t xml:space="preserve">Las modificaciones en </w:t>
      </w:r>
      <w:r w:rsidRPr="00B14B86" w:rsidR="006F25D1">
        <w:rPr>
          <w:sz w:val="24"/>
          <w:lang w:val="es-CR"/>
        </w:rPr>
        <w:t xml:space="preserve">el </w:t>
      </w:r>
      <w:r w:rsidRPr="00B14B86">
        <w:rPr>
          <w:sz w:val="24"/>
          <w:lang w:val="es-CR"/>
        </w:rPr>
        <w:t>cálculo del C</w:t>
      </w:r>
      <w:r w:rsidRPr="00B14B86" w:rsidR="006F25D1">
        <w:rPr>
          <w:sz w:val="24"/>
          <w:lang w:val="es-CR"/>
        </w:rPr>
        <w:t>omportamiento de Pago Histórico</w:t>
      </w:r>
      <w:r w:rsidRPr="00B14B86">
        <w:rPr>
          <w:sz w:val="24"/>
          <w:lang w:val="es-CR"/>
        </w:rPr>
        <w:t xml:space="preserve">, en el archivo descargable y en el Reporte Crediticio del </w:t>
      </w:r>
      <w:r w:rsidRPr="00B14B86" w:rsidR="001408AE">
        <w:rPr>
          <w:sz w:val="24"/>
          <w:lang w:val="es-CR"/>
        </w:rPr>
        <w:t>Centro de Información Crediticio (CIC)</w:t>
      </w:r>
      <w:r w:rsidRPr="00B14B86">
        <w:rPr>
          <w:sz w:val="24"/>
          <w:lang w:val="es-CR"/>
        </w:rPr>
        <w:t xml:space="preserve"> entrarán en vigencia a más tardar a partir del primero de julio de 2023. La SUGEF pondrá a disposición de cada entidad el archivo descargable debidamente actualizado a más tardar el día 20 de julio de 2023. </w:t>
      </w:r>
    </w:p>
    <w:p w:rsidRPr="00B14B86" w:rsidR="0087637A" w:rsidP="00B14B86" w:rsidRDefault="0087637A" w14:paraId="160FDB10" w14:textId="77777777">
      <w:pPr>
        <w:pStyle w:val="Prrafodelista"/>
        <w:spacing w:line="240" w:lineRule="auto"/>
        <w:ind w:left="862"/>
        <w:rPr>
          <w:sz w:val="24"/>
          <w:lang w:val="es-CR"/>
        </w:rPr>
      </w:pPr>
    </w:p>
    <w:p w:rsidRPr="00B14B86" w:rsidR="00271889" w:rsidP="00B14B86" w:rsidRDefault="00271889" w14:paraId="69B1240C" w14:textId="77777777">
      <w:pPr>
        <w:spacing w:line="240" w:lineRule="auto"/>
        <w:ind w:left="567" w:hanging="567"/>
        <w:contextualSpacing/>
        <w:rPr>
          <w:sz w:val="24"/>
          <w:lang w:val="es-CR"/>
        </w:rPr>
      </w:pPr>
      <w:r w:rsidRPr="00B14B86">
        <w:rPr>
          <w:noProof/>
          <w:sz w:val="24"/>
          <w:lang w:val="es-CR"/>
        </w:rPr>
        <w:drawing>
          <wp:anchor distT="0" distB="0" distL="114300" distR="114300" simplePos="0" relativeHeight="251659264" behindDoc="1" locked="0" layoutInCell="1" allowOverlap="1" wp14:editId="02C62D40" wp14:anchorId="40CFE663">
            <wp:simplePos x="0" y="0"/>
            <wp:positionH relativeFrom="column">
              <wp:posOffset>-99695</wp:posOffset>
            </wp:positionH>
            <wp:positionV relativeFrom="paragraph">
              <wp:posOffset>184150</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B14B86">
        <w:rPr>
          <w:sz w:val="24"/>
          <w:lang w:val="es-CR"/>
        </w:rPr>
        <w:t>Atentamente,</w:t>
      </w:r>
    </w:p>
    <w:p w:rsidRPr="00B14B86" w:rsidR="00271889" w:rsidP="00B14B86" w:rsidRDefault="00271889" w14:paraId="4BC0CF67" w14:textId="77777777">
      <w:pPr>
        <w:spacing w:line="240" w:lineRule="auto"/>
        <w:ind w:left="567" w:hanging="567"/>
        <w:contextualSpacing/>
        <w:rPr>
          <w:sz w:val="24"/>
          <w:lang w:val="es-CR"/>
        </w:rPr>
      </w:pPr>
    </w:p>
    <w:p w:rsidRPr="00B14B86" w:rsidR="00271889" w:rsidP="00B14B86" w:rsidRDefault="00271889" w14:paraId="3EE1839A" w14:textId="77777777">
      <w:pPr>
        <w:spacing w:line="240" w:lineRule="auto"/>
        <w:ind w:left="567" w:hanging="567"/>
        <w:contextualSpacing/>
        <w:rPr>
          <w:sz w:val="24"/>
          <w:lang w:val="es-CR"/>
        </w:rPr>
      </w:pPr>
    </w:p>
    <w:p w:rsidRPr="00B14B86" w:rsidR="00271889" w:rsidP="00B14B86" w:rsidRDefault="00EC62AC" w14:paraId="6C8274F9" w14:textId="30BA6EEE">
      <w:pPr>
        <w:spacing w:line="240" w:lineRule="auto"/>
        <w:contextualSpacing/>
        <w:jc w:val="left"/>
        <w:rPr>
          <w:b/>
          <w:sz w:val="24"/>
          <w:lang w:val="es-CR"/>
        </w:rPr>
      </w:pPr>
      <w:r>
        <w:rPr>
          <w:sz w:val="24"/>
          <w:lang w:val="es-CR"/>
        </w:rPr>
        <w:t>Rocío Aguilar Montoya</w:t>
      </w:r>
      <w:r w:rsidRPr="00B14B86" w:rsidR="00271889">
        <w:rPr>
          <w:sz w:val="24"/>
          <w:lang w:val="es-CR"/>
        </w:rPr>
        <w:br/>
      </w:r>
      <w:r>
        <w:rPr>
          <w:b/>
          <w:sz w:val="24"/>
          <w:lang w:val="es-CR"/>
        </w:rPr>
        <w:t>Superi</w:t>
      </w:r>
      <w:r w:rsidRPr="00B14B86" w:rsidR="00271889">
        <w:rPr>
          <w:b/>
          <w:sz w:val="24"/>
          <w:lang w:val="es-CR"/>
        </w:rPr>
        <w:t>ntendente General</w:t>
      </w:r>
    </w:p>
    <w:p w:rsidRPr="00B14B86" w:rsidR="00271889" w:rsidP="00B14B86" w:rsidRDefault="00271889" w14:paraId="63CE5FFA" w14:textId="77777777">
      <w:pPr>
        <w:pStyle w:val="Negrita"/>
        <w:spacing w:line="240" w:lineRule="auto"/>
        <w:ind w:left="567" w:hanging="567"/>
        <w:contextualSpacing/>
        <w:rPr>
          <w:b w:val="0"/>
          <w:bCs/>
          <w:sz w:val="24"/>
          <w:lang w:val="es-CR"/>
        </w:rPr>
      </w:pPr>
    </w:p>
    <w:p w:rsidRPr="00B14B86" w:rsidR="00271889" w:rsidP="00B14B86" w:rsidRDefault="00271889" w14:paraId="7F44ECD5" w14:textId="77777777">
      <w:pPr>
        <w:pStyle w:val="Negrita"/>
        <w:spacing w:line="240" w:lineRule="auto"/>
        <w:ind w:left="567" w:hanging="567"/>
        <w:contextualSpacing/>
        <w:rPr>
          <w:sz w:val="24"/>
          <w:lang w:val="es-CR"/>
        </w:rPr>
      </w:pPr>
      <w:r w:rsidRPr="00B14B86">
        <w:rPr>
          <w:sz w:val="24"/>
          <w:lang w:val="es-CR"/>
        </w:rPr>
        <w:t>JSC/EAMS/EJG/gvl*</w:t>
      </w:r>
    </w:p>
    <w:p w:rsidRPr="00B14B86" w:rsidR="00271889" w:rsidP="00B14B86" w:rsidRDefault="00271889" w14:paraId="123EA09E" w14:textId="77777777">
      <w:pPr>
        <w:pStyle w:val="Negrita"/>
        <w:spacing w:line="240" w:lineRule="auto"/>
        <w:ind w:left="567" w:hanging="567"/>
        <w:contextualSpacing/>
        <w:rPr>
          <w:sz w:val="24"/>
          <w:lang w:val="es-CR"/>
        </w:rPr>
      </w:pPr>
    </w:p>
    <w:p w:rsidRPr="00B14B86" w:rsidR="00271889" w:rsidP="00B14B86" w:rsidRDefault="00EC62AC" w14:paraId="07A47CFB" w14:textId="77777777">
      <w:pPr>
        <w:spacing w:line="240" w:lineRule="auto"/>
        <w:contextualSpacing/>
        <w:rPr>
          <w:rFonts w:eastAsia="Calibri"/>
          <w:bCs/>
          <w:sz w:val="24"/>
          <w:lang w:val="es-CR"/>
        </w:rPr>
      </w:pPr>
      <w:sdt>
        <w:sdtPr>
          <w:rPr>
            <w:rFonts w:eastAsia="Calibri"/>
            <w:bCs/>
            <w:sz w:val="24"/>
            <w:lang w:val="es-CR"/>
          </w:rPr>
          <w:alias w:val="Unidad generadora"/>
          <w:tag w:val="unidad generadora"/>
          <w:id w:val="11415835"/>
          <w:placeholder>
            <w:docPart w:val="17160697C7A94E4A80CE397A18DAF3D7"/>
          </w:placeholder>
        </w:sdtPr>
        <w:sdtEndPr/>
        <w:sdtContent>
          <w:r w:rsidRPr="00B14B86" w:rsidR="00271889">
            <w:rPr>
              <w:rFonts w:eastAsia="Calibri"/>
              <w:b/>
              <w:bCs/>
              <w:sz w:val="24"/>
              <w:lang w:val="es-CR"/>
            </w:rPr>
            <w:t>Unidad generadora:</w:t>
          </w:r>
        </w:sdtContent>
      </w:sdt>
      <w:r w:rsidRPr="00B14B86" w:rsidR="00271889">
        <w:rPr>
          <w:rFonts w:eastAsia="Calibri"/>
          <w:bCs/>
          <w:sz w:val="24"/>
          <w:lang w:val="es-CR"/>
        </w:rPr>
        <w:t xml:space="preserve"> Departamento de Información Crediticia, Dirección General de Servicios Técnicos.</w:t>
      </w:r>
    </w:p>
    <w:p w:rsidRPr="00B14B86" w:rsidR="00271889" w:rsidP="00B14B86" w:rsidRDefault="00271889" w14:paraId="69F59A6F" w14:textId="6939F184">
      <w:pPr>
        <w:spacing w:line="240" w:lineRule="auto"/>
        <w:contextualSpacing/>
        <w:rPr>
          <w:sz w:val="24"/>
          <w:lang w:val="es-CR"/>
        </w:rPr>
      </w:pPr>
      <w:r w:rsidRPr="00B14B86">
        <w:rPr>
          <w:rFonts w:eastAsia="Calibri"/>
          <w:b/>
          <w:bCs/>
          <w:sz w:val="24"/>
          <w:lang w:val="es-CR"/>
        </w:rPr>
        <w:t>Categoría:</w:t>
      </w:r>
      <w:r w:rsidRPr="00B14B86">
        <w:rPr>
          <w:rFonts w:eastAsia="Calibri"/>
          <w:bCs/>
          <w:sz w:val="24"/>
          <w:lang w:val="es-CR"/>
        </w:rPr>
        <w:t xml:space="preserve"> </w:t>
      </w:r>
      <w:sdt>
        <w:sdtPr>
          <w:rPr>
            <w:rFonts w:eastAsia="Calibri"/>
            <w:bCs/>
            <w:sz w:val="24"/>
            <w:lang w:val="es-CR"/>
          </w:rPr>
          <w:alias w:val="Categoria"/>
          <w:tag w:val="categoria"/>
          <w:id w:val="11415837"/>
          <w:placeholder>
            <w:docPart w:val="D3A7A4664F2E4C8A8CF0B8BA290A6CEA"/>
          </w:placeholder>
          <w:dropDownList>
            <w:listItem w:value="Elija un elemento."/>
            <w:listItem w:displayText="Requerimiento de información" w:value="Requerimiento de información"/>
            <w:listItem w:displayText="Comunicado" w:value="Comunicado"/>
            <w:listItem w:displayText="Aclaratoria" w:value="Aclaratoria"/>
            <w:listItem w:displayText="Recordatorio" w:value="Recordatorio"/>
            <w:listItem w:displayText="Convocatoria" w:value="Convocatoria"/>
            <w:listItem w:displayText="Sistemas de Información" w:value="Sistemas de Información"/>
            <w:listItem w:displayText="Proyecto específico" w:value="Proyecto específico"/>
            <w:listItem w:displayText="Requerimiento judicial" w:value="Requerimiento judicial"/>
            <w:listItem w:displayText="Sistema Gestión Calidad" w:value="Sistema Gestión Calidad"/>
          </w:dropDownList>
        </w:sdtPr>
        <w:sdtEndPr/>
        <w:sdtContent>
          <w:r w:rsidRPr="00B14B86">
            <w:rPr>
              <w:rFonts w:eastAsia="Calibri"/>
              <w:bCs/>
              <w:sz w:val="24"/>
              <w:lang w:val="es-CR"/>
            </w:rPr>
            <w:t>Comunicado</w:t>
          </w:r>
        </w:sdtContent>
      </w:sdt>
      <w:r w:rsidRPr="00B14B86">
        <w:rPr>
          <w:rFonts w:eastAsia="Calibri"/>
          <w:bCs/>
          <w:sz w:val="24"/>
          <w:lang w:val="es-CR"/>
        </w:rPr>
        <w:t xml:space="preserve"> </w:t>
      </w:r>
    </w:p>
    <w:sectPr w:rsidRPr="00B14B86" w:rsidR="00271889" w:rsidSect="00B14B86">
      <w:headerReference w:type="even" r:id="rId13"/>
      <w:headerReference w:type="default" r:id="rId14"/>
      <w:footerReference w:type="even" r:id="rId15"/>
      <w:footerReference w:type="default" r:id="rId16"/>
      <w:headerReference w:type="first" r:id="rId17"/>
      <w:footerReference w:type="first" r:id="rId1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F09DF" w14:textId="77777777" w:rsidR="00AF6D08" w:rsidRDefault="00AF6D08" w:rsidP="00181ABF">
      <w:pPr>
        <w:spacing w:line="240" w:lineRule="auto"/>
      </w:pPr>
      <w:r>
        <w:separator/>
      </w:r>
    </w:p>
  </w:endnote>
  <w:endnote w:type="continuationSeparator" w:id="0">
    <w:p w14:paraId="5A94307C" w14:textId="77777777" w:rsidR="00AF6D08" w:rsidRDefault="00AF6D08"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2AC" w:rsidRDefault="00EC62AC" w14:paraId="603AF362" w14:textId="77777777">
    <w:pPr>
      <w:pStyle w:val="Piedepgina"/>
    </w:pPr>
  </w:p>
</w:ftr>
</file>

<file path=word/footer2.xml><?xml version="1.0" encoding="utf-8"?>
<w:ft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Pr="009349F3" w:rsidR="00181ABF" w:rsidTr="00123A91" w14:paraId="673E7B66" w14:textId="77777777">
      <w:tc>
        <w:tcPr>
          <w:tcW w:w="2942" w:type="dxa"/>
        </w:tcPr>
        <w:p w:rsidR="00181ABF" w:rsidP="00181ABF" w:rsidRDefault="00AF6D08" w14:paraId="73914808" w14:textId="609777B4">
          <w:pPr>
            <w:pStyle w:val="Piedepgina"/>
            <w:rPr>
              <w:b/>
              <w:color w:val="7F7F7F" w:themeColor="text1" w:themeTint="80"/>
              <w:sz w:val="16"/>
              <w:szCs w:val="16"/>
            </w:rPr>
          </w:pPr>
          <w:r>
            <w:rPr>
              <w:b/>
              <w:noProof/>
              <w:color w:val="7F7F7F" w:themeColor="text1" w:themeTint="80"/>
              <w:sz w:val="16"/>
              <w:szCs w:val="16"/>
            </w:rPr>
            <mc:AlternateContent>
              <mc:Choice Requires="wps">
                <w:drawing>
                  <wp:anchor distT="0" distB="0" distL="114300" distR="114300" simplePos="0" relativeHeight="251659264" behindDoc="0" locked="0" layoutInCell="0" allowOverlap="1" wp14:editId="5B1D8034" wp14:anchorId="2DD812E0">
                    <wp:simplePos x="0" y="0"/>
                    <wp:positionH relativeFrom="page">
                      <wp:posOffset>0</wp:posOffset>
                    </wp:positionH>
                    <wp:positionV relativeFrom="page">
                      <wp:posOffset>9594215</wp:posOffset>
                    </wp:positionV>
                    <wp:extent cx="7772400" cy="273050"/>
                    <wp:effectExtent l="0" t="0" r="0" b="12700"/>
                    <wp:wrapNone/>
                    <wp:docPr id="2" name="MSIPCM95024c61b06e980ec6849514"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AF6D08" w:rsidR="00AF6D08" w:rsidP="00AF6D08" w:rsidRDefault="00AF6D08" w14:paraId="0345D2BF" w14:textId="7F710AD4">
                                <w:pPr>
                                  <w:jc w:val="center"/>
                                  <w:rPr>
                                    <w:rFonts w:ascii="Calibri" w:hAnsi="Calibri" w:cs="Calibri"/>
                                    <w:color w:val="000000"/>
                                    <w:sz w:val="20"/>
                                  </w:rPr>
                                </w:pPr>
                                <w:r w:rsidRPr="00AF6D0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2DD812E0">
                    <v:stroke joinstyle="miter"/>
                    <v:path gradientshapeok="t" o:connecttype="rect"/>
                  </v:shapetype>
                  <v:shape id="MSIPCM95024c61b06e980ec6849514"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AF6D08" w:rsidR="00AF6D08" w:rsidP="00AF6D08" w:rsidRDefault="00AF6D08" w14:paraId="0345D2BF" w14:textId="7F710AD4">
                          <w:pPr>
                            <w:jc w:val="center"/>
                            <w:rPr>
                              <w:rFonts w:ascii="Calibri" w:hAnsi="Calibri" w:cs="Calibri"/>
                              <w:color w:val="000000"/>
                              <w:sz w:val="20"/>
                            </w:rPr>
                          </w:pPr>
                          <w:r w:rsidRPr="00AF6D08">
                            <w:rPr>
                              <w:rFonts w:ascii="Calibri" w:hAnsi="Calibri" w:cs="Calibri"/>
                              <w:color w:val="000000"/>
                              <w:sz w:val="20"/>
                            </w:rPr>
                            <w:t>Uso Interno</w:t>
                          </w:r>
                        </w:p>
                      </w:txbxContent>
                    </v:textbox>
                    <w10:wrap anchorx="page" anchory="page"/>
                  </v:shape>
                </w:pict>
              </mc:Fallback>
            </mc:AlternateContent>
          </w:r>
          <w:r w:rsidRPr="009349F3" w:rsidR="00181ABF">
            <w:rPr>
              <w:b/>
              <w:color w:val="7F7F7F" w:themeColor="text1" w:themeTint="80"/>
              <w:sz w:val="16"/>
              <w:szCs w:val="16"/>
            </w:rPr>
            <w:t>Teléfono</w:t>
          </w:r>
          <w:r w:rsidR="00181ABF">
            <w:rPr>
              <w:b/>
              <w:color w:val="7F7F7F" w:themeColor="text1" w:themeTint="80"/>
              <w:sz w:val="16"/>
              <w:szCs w:val="16"/>
            </w:rPr>
            <w:t>:</w:t>
          </w:r>
          <w:r w:rsidRPr="009349F3" w:rsidR="00181ABF">
            <w:rPr>
              <w:b/>
              <w:color w:val="7F7F7F" w:themeColor="text1" w:themeTint="80"/>
              <w:sz w:val="16"/>
              <w:szCs w:val="16"/>
            </w:rPr>
            <w:t xml:space="preserve"> (506) 2243</w:t>
          </w:r>
          <w:r w:rsidR="00181ABF">
            <w:rPr>
              <w:b/>
              <w:color w:val="7F7F7F" w:themeColor="text1" w:themeTint="80"/>
              <w:sz w:val="16"/>
              <w:szCs w:val="16"/>
            </w:rPr>
            <w:t>-</w:t>
          </w:r>
          <w:r w:rsidRPr="009349F3" w:rsidR="00181ABF">
            <w:rPr>
              <w:b/>
              <w:color w:val="7F7F7F" w:themeColor="text1" w:themeTint="80"/>
              <w:sz w:val="16"/>
              <w:szCs w:val="16"/>
            </w:rPr>
            <w:t>4848</w:t>
          </w:r>
        </w:p>
        <w:p w:rsidRPr="009349F3" w:rsidR="00181ABF" w:rsidP="00181ABF" w:rsidRDefault="00181ABF" w14:paraId="27855305" w14:textId="77777777">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Pr>
              <w:b/>
              <w:color w:val="7F7F7F" w:themeColor="text1" w:themeTint="80"/>
              <w:sz w:val="16"/>
              <w:szCs w:val="16"/>
            </w:rPr>
            <w:t>-4849</w:t>
          </w:r>
        </w:p>
        <w:p w:rsidRPr="009349F3" w:rsidR="00181ABF" w:rsidP="00181ABF" w:rsidRDefault="00181ABF" w14:paraId="40CEA0E3" w14:textId="77777777">
          <w:pPr>
            <w:pStyle w:val="Piedepgina"/>
            <w:rPr>
              <w:b/>
              <w:color w:val="7F7F7F" w:themeColor="text1" w:themeTint="80"/>
              <w:sz w:val="16"/>
              <w:szCs w:val="16"/>
            </w:rPr>
          </w:pPr>
        </w:p>
      </w:tc>
      <w:tc>
        <w:tcPr>
          <w:tcW w:w="2943" w:type="dxa"/>
        </w:tcPr>
        <w:p w:rsidRPr="009349F3" w:rsidR="00181ABF" w:rsidP="00181ABF" w:rsidRDefault="00181ABF" w14:paraId="51FEF589"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181ABF" w:rsidP="00181ABF" w:rsidRDefault="00181ABF" w14:paraId="3D1E7724"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181ABF" w:rsidP="00181ABF" w:rsidRDefault="00181ABF" w14:paraId="54CD68E8"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181ABF" w14:paraId="6310E034" w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2AC" w:rsidRDefault="00EC62AC" w14:paraId="36E1DFAC"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A6D7E" w14:textId="77777777" w:rsidR="00AF6D08" w:rsidRDefault="00AF6D08" w:rsidP="00181ABF">
      <w:pPr>
        <w:spacing w:line="240" w:lineRule="auto"/>
      </w:pPr>
      <w:r>
        <w:separator/>
      </w:r>
    </w:p>
  </w:footnote>
  <w:footnote w:type="continuationSeparator" w:id="0">
    <w:p w14:paraId="11BD7303" w14:textId="77777777" w:rsidR="00AF6D08" w:rsidRDefault="00AF6D08"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2AC" w:rsidRDefault="00EC62AC" w14:paraId="1852D0B8"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P="00181ABF" w:rsidRDefault="00181ABF" w14:paraId="1E38EF2C" w14:textId="77777777">
    <w:pPr>
      <w:pStyle w:val="Encabezado"/>
      <w:jc w:val="center"/>
    </w:pPr>
    <w:r>
      <w:rPr>
        <w:noProof/>
        <w:lang w:val="es-CR" w:eastAsia="es-CR"/>
      </w:rPr>
      <w:drawing>
        <wp:inline distT="0" distB="0" distL="0" distR="0" wp14:anchorId="4B491481" wp14:editId="4DA470D4">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C62AC" w:rsidRDefault="00EC62AC" w14:paraId="6ACB34BB"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E735D"/>
    <w:multiLevelType w:val="hybridMultilevel"/>
    <w:tmpl w:val="2D489A96"/>
    <w:lvl w:ilvl="0" w:tplc="A0546536">
      <w:start w:val="1"/>
      <w:numFmt w:val="lowerLetter"/>
      <w:lvlText w:val="%1)"/>
      <w:lvlJc w:val="left"/>
      <w:pPr>
        <w:ind w:left="862" w:hanging="360"/>
      </w:pPr>
      <w:rPr>
        <w:rFonts w:hint="default"/>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ACA5B08"/>
    <w:multiLevelType w:val="hybridMultilevel"/>
    <w:tmpl w:val="ACF6DA10"/>
    <w:lvl w:ilvl="0" w:tplc="FFFFFFFF">
      <w:start w:val="1"/>
      <w:numFmt w:val="decimal"/>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 w15:restartNumberingAfterBreak="0">
    <w:nsid w:val="2E7915EE"/>
    <w:multiLevelType w:val="hybridMultilevel"/>
    <w:tmpl w:val="6584016A"/>
    <w:lvl w:ilvl="0" w:tplc="25C2EFBA">
      <w:start w:val="1"/>
      <w:numFmt w:val="lowerRoman"/>
      <w:lvlText w:val="%1"/>
      <w:lvlJc w:val="left"/>
      <w:pPr>
        <w:ind w:left="862" w:hanging="360"/>
      </w:pPr>
      <w:rPr>
        <w:rFonts w:ascii="Times New Roman" w:eastAsia="Times New Roman" w:hAnsi="Times New Roman" w:cs="Times New Roman" w:hint="default"/>
        <w:b w:val="0"/>
        <w:i w:val="0"/>
        <w:strike w:val="0"/>
        <w:dstrike w:val="0"/>
        <w:color w:val="7F7F7F"/>
        <w:sz w:val="24"/>
        <w:u w:val="none" w:color="000000"/>
        <w:vertAlign w:val="baseli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 w15:restartNumberingAfterBreak="0">
    <w:nsid w:val="488A14FD"/>
    <w:multiLevelType w:val="hybridMultilevel"/>
    <w:tmpl w:val="D708EA6C"/>
    <w:lvl w:ilvl="0" w:tplc="140A0011">
      <w:start w:val="1"/>
      <w:numFmt w:val="decimal"/>
      <w:lvlText w:val="%1)"/>
      <w:lvlJc w:val="left"/>
      <w:pPr>
        <w:ind w:left="862" w:hanging="360"/>
      </w:pPr>
      <w:rPr>
        <w:rFonts w:hint="default"/>
        <w:b w:val="0"/>
        <w:i w:val="0"/>
        <w:strike w:val="0"/>
        <w:dstrike w:val="0"/>
        <w:color w:val="7F7F7F"/>
        <w:sz w:val="24"/>
        <w:u w:val="none" w:color="000000"/>
        <w:vertAlign w:val="baseline"/>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5" w15:restartNumberingAfterBreak="0">
    <w:nsid w:val="4BA25064"/>
    <w:multiLevelType w:val="hybridMultilevel"/>
    <w:tmpl w:val="3DB47110"/>
    <w:lvl w:ilvl="0" w:tplc="140A000F">
      <w:start w:val="1"/>
      <w:numFmt w:val="decimal"/>
      <w:lvlText w:val="%1."/>
      <w:lvlJc w:val="left"/>
      <w:pPr>
        <w:ind w:left="862" w:hanging="360"/>
      </w:pPr>
    </w:lvl>
    <w:lvl w:ilvl="1" w:tplc="140A0019">
      <w:start w:val="1"/>
      <w:numFmt w:val="lowerLetter"/>
      <w:lvlText w:val="%2."/>
      <w:lvlJc w:val="left"/>
      <w:pPr>
        <w:ind w:left="1800" w:hanging="360"/>
      </w:pPr>
    </w:lvl>
    <w:lvl w:ilvl="2" w:tplc="140A001B">
      <w:start w:val="1"/>
      <w:numFmt w:val="lowerRoman"/>
      <w:lvlText w:val="%3."/>
      <w:lvlJc w:val="right"/>
      <w:pPr>
        <w:ind w:left="2520" w:hanging="180"/>
      </w:pPr>
    </w:lvl>
    <w:lvl w:ilvl="3" w:tplc="140A000F">
      <w:start w:val="1"/>
      <w:numFmt w:val="decimal"/>
      <w:lvlText w:val="%4."/>
      <w:lvlJc w:val="left"/>
      <w:pPr>
        <w:ind w:left="3240" w:hanging="360"/>
      </w:pPr>
    </w:lvl>
    <w:lvl w:ilvl="4" w:tplc="140A0019">
      <w:start w:val="1"/>
      <w:numFmt w:val="lowerLetter"/>
      <w:lvlText w:val="%5."/>
      <w:lvlJc w:val="left"/>
      <w:pPr>
        <w:ind w:left="3960" w:hanging="360"/>
      </w:pPr>
    </w:lvl>
    <w:lvl w:ilvl="5" w:tplc="140A001B">
      <w:start w:val="1"/>
      <w:numFmt w:val="lowerRoman"/>
      <w:lvlText w:val="%6."/>
      <w:lvlJc w:val="right"/>
      <w:pPr>
        <w:ind w:left="4680" w:hanging="180"/>
      </w:pPr>
    </w:lvl>
    <w:lvl w:ilvl="6" w:tplc="140A000F">
      <w:start w:val="1"/>
      <w:numFmt w:val="decimal"/>
      <w:lvlText w:val="%7."/>
      <w:lvlJc w:val="left"/>
      <w:pPr>
        <w:ind w:left="5400" w:hanging="360"/>
      </w:pPr>
    </w:lvl>
    <w:lvl w:ilvl="7" w:tplc="140A0019">
      <w:start w:val="1"/>
      <w:numFmt w:val="lowerLetter"/>
      <w:lvlText w:val="%8."/>
      <w:lvlJc w:val="left"/>
      <w:pPr>
        <w:ind w:left="6120" w:hanging="360"/>
      </w:pPr>
    </w:lvl>
    <w:lvl w:ilvl="8" w:tplc="140A001B">
      <w:start w:val="1"/>
      <w:numFmt w:val="lowerRoman"/>
      <w:lvlText w:val="%9."/>
      <w:lvlJc w:val="right"/>
      <w:pPr>
        <w:ind w:left="6840" w:hanging="180"/>
      </w:pPr>
    </w:lvl>
  </w:abstractNum>
  <w:abstractNum w:abstractNumId="6"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7" w15:restartNumberingAfterBreak="0">
    <w:nsid w:val="57B9120F"/>
    <w:multiLevelType w:val="hybridMultilevel"/>
    <w:tmpl w:val="152CA928"/>
    <w:lvl w:ilvl="0" w:tplc="0C0A0017">
      <w:start w:val="1"/>
      <w:numFmt w:val="lowerLetter"/>
      <w:lvlText w:val="%1)"/>
      <w:lvlJc w:val="left"/>
      <w:pPr>
        <w:ind w:left="862" w:hanging="360"/>
      </w:pPr>
      <w:rPr>
        <w:rFonts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8" w15:restartNumberingAfterBreak="0">
    <w:nsid w:val="57CA30A0"/>
    <w:multiLevelType w:val="hybridMultilevel"/>
    <w:tmpl w:val="30D00D4A"/>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58BE3BEF"/>
    <w:multiLevelType w:val="hybridMultilevel"/>
    <w:tmpl w:val="00D4FD5C"/>
    <w:lvl w:ilvl="0" w:tplc="140A0015">
      <w:start w:val="1"/>
      <w:numFmt w:val="upperLetter"/>
      <w:lvlText w:val="%1."/>
      <w:lvlJc w:val="left"/>
      <w:pPr>
        <w:ind w:left="720" w:hanging="72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80723C6"/>
    <w:multiLevelType w:val="hybridMultilevel"/>
    <w:tmpl w:val="FAA88F9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BC95A1E"/>
    <w:multiLevelType w:val="hybridMultilevel"/>
    <w:tmpl w:val="3C84034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6E563298"/>
    <w:multiLevelType w:val="hybridMultilevel"/>
    <w:tmpl w:val="ACF6DA10"/>
    <w:lvl w:ilvl="0" w:tplc="8DE06F28">
      <w:start w:val="1"/>
      <w:numFmt w:val="decimal"/>
      <w:lvlText w:val="%1."/>
      <w:lvlJc w:val="left"/>
      <w:pPr>
        <w:ind w:left="862" w:hanging="360"/>
      </w:pPr>
      <w:rPr>
        <w:rFonts w:hint="default"/>
      </w:rPr>
    </w:lvl>
    <w:lvl w:ilvl="1" w:tplc="140A0019" w:tentative="1">
      <w:start w:val="1"/>
      <w:numFmt w:val="lowerLetter"/>
      <w:lvlText w:val="%2."/>
      <w:lvlJc w:val="left"/>
      <w:pPr>
        <w:ind w:left="1582" w:hanging="360"/>
      </w:pPr>
    </w:lvl>
    <w:lvl w:ilvl="2" w:tplc="140A001B" w:tentative="1">
      <w:start w:val="1"/>
      <w:numFmt w:val="lowerRoman"/>
      <w:lvlText w:val="%3."/>
      <w:lvlJc w:val="right"/>
      <w:pPr>
        <w:ind w:left="2302" w:hanging="180"/>
      </w:pPr>
    </w:lvl>
    <w:lvl w:ilvl="3" w:tplc="140A000F" w:tentative="1">
      <w:start w:val="1"/>
      <w:numFmt w:val="decimal"/>
      <w:lvlText w:val="%4."/>
      <w:lvlJc w:val="left"/>
      <w:pPr>
        <w:ind w:left="3022" w:hanging="360"/>
      </w:pPr>
    </w:lvl>
    <w:lvl w:ilvl="4" w:tplc="140A0019" w:tentative="1">
      <w:start w:val="1"/>
      <w:numFmt w:val="lowerLetter"/>
      <w:lvlText w:val="%5."/>
      <w:lvlJc w:val="left"/>
      <w:pPr>
        <w:ind w:left="3742" w:hanging="360"/>
      </w:pPr>
    </w:lvl>
    <w:lvl w:ilvl="5" w:tplc="140A001B" w:tentative="1">
      <w:start w:val="1"/>
      <w:numFmt w:val="lowerRoman"/>
      <w:lvlText w:val="%6."/>
      <w:lvlJc w:val="right"/>
      <w:pPr>
        <w:ind w:left="4462" w:hanging="180"/>
      </w:pPr>
    </w:lvl>
    <w:lvl w:ilvl="6" w:tplc="140A000F" w:tentative="1">
      <w:start w:val="1"/>
      <w:numFmt w:val="decimal"/>
      <w:lvlText w:val="%7."/>
      <w:lvlJc w:val="left"/>
      <w:pPr>
        <w:ind w:left="5182" w:hanging="360"/>
      </w:pPr>
    </w:lvl>
    <w:lvl w:ilvl="7" w:tplc="140A0019" w:tentative="1">
      <w:start w:val="1"/>
      <w:numFmt w:val="lowerLetter"/>
      <w:lvlText w:val="%8."/>
      <w:lvlJc w:val="left"/>
      <w:pPr>
        <w:ind w:left="5902" w:hanging="360"/>
      </w:pPr>
    </w:lvl>
    <w:lvl w:ilvl="8" w:tplc="140A001B" w:tentative="1">
      <w:start w:val="1"/>
      <w:numFmt w:val="lowerRoman"/>
      <w:lvlText w:val="%9."/>
      <w:lvlJc w:val="right"/>
      <w:pPr>
        <w:ind w:left="6622" w:hanging="180"/>
      </w:pPr>
    </w:lvl>
  </w:abstractNum>
  <w:abstractNum w:abstractNumId="13" w15:restartNumberingAfterBreak="0">
    <w:nsid w:val="746D5217"/>
    <w:multiLevelType w:val="hybridMultilevel"/>
    <w:tmpl w:val="1164831E"/>
    <w:lvl w:ilvl="0" w:tplc="140A0011">
      <w:start w:val="1"/>
      <w:numFmt w:val="decimal"/>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abstractNum w:abstractNumId="15" w15:restartNumberingAfterBreak="0">
    <w:nsid w:val="7F595565"/>
    <w:multiLevelType w:val="hybridMultilevel"/>
    <w:tmpl w:val="855CC410"/>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6"/>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9"/>
  </w:num>
  <w:num w:numId="8">
    <w:abstractNumId w:val="15"/>
  </w:num>
  <w:num w:numId="9">
    <w:abstractNumId w:val="11"/>
  </w:num>
  <w:num w:numId="10">
    <w:abstractNumId w:val="10"/>
  </w:num>
  <w:num w:numId="11">
    <w:abstractNumId w:val="8"/>
  </w:num>
  <w:num w:numId="12">
    <w:abstractNumId w:val="12"/>
  </w:num>
  <w:num w:numId="13">
    <w:abstractNumId w:val="3"/>
  </w:num>
  <w:num w:numId="14">
    <w:abstractNumId w:val="2"/>
  </w:num>
  <w:num w:numId="15">
    <w:abstractNumId w:val="7"/>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ABF"/>
    <w:rsid w:val="000202E3"/>
    <w:rsid w:val="00050CAE"/>
    <w:rsid w:val="000909EB"/>
    <w:rsid w:val="000D5FF8"/>
    <w:rsid w:val="000F0630"/>
    <w:rsid w:val="001408AE"/>
    <w:rsid w:val="00181ABF"/>
    <w:rsid w:val="0019521F"/>
    <w:rsid w:val="001C4608"/>
    <w:rsid w:val="002372F8"/>
    <w:rsid w:val="00263536"/>
    <w:rsid w:val="00271889"/>
    <w:rsid w:val="00271F5B"/>
    <w:rsid w:val="00281BD8"/>
    <w:rsid w:val="002C130E"/>
    <w:rsid w:val="003172BE"/>
    <w:rsid w:val="003A1E9F"/>
    <w:rsid w:val="003E7AAB"/>
    <w:rsid w:val="004165B9"/>
    <w:rsid w:val="00467235"/>
    <w:rsid w:val="004902F2"/>
    <w:rsid w:val="00490C61"/>
    <w:rsid w:val="004B2025"/>
    <w:rsid w:val="004E3C43"/>
    <w:rsid w:val="005E0871"/>
    <w:rsid w:val="006F25D1"/>
    <w:rsid w:val="006F5731"/>
    <w:rsid w:val="007B55BE"/>
    <w:rsid w:val="008054E8"/>
    <w:rsid w:val="0087637A"/>
    <w:rsid w:val="008D6839"/>
    <w:rsid w:val="00937EF0"/>
    <w:rsid w:val="009420FC"/>
    <w:rsid w:val="00A17CB0"/>
    <w:rsid w:val="00AF6D08"/>
    <w:rsid w:val="00B14B86"/>
    <w:rsid w:val="00B37AF8"/>
    <w:rsid w:val="00BB230D"/>
    <w:rsid w:val="00C4228A"/>
    <w:rsid w:val="00CF141B"/>
    <w:rsid w:val="00D1505E"/>
    <w:rsid w:val="00D2422E"/>
    <w:rsid w:val="00D53F11"/>
    <w:rsid w:val="00D67CC3"/>
    <w:rsid w:val="00D90222"/>
    <w:rsid w:val="00DE40CB"/>
    <w:rsid w:val="00E36F35"/>
    <w:rsid w:val="00E42AAC"/>
    <w:rsid w:val="00E77993"/>
    <w:rsid w:val="00E83F0F"/>
    <w:rsid w:val="00EC5772"/>
    <w:rsid w:val="00EC62AC"/>
    <w:rsid w:val="00ED01E1"/>
    <w:rsid w:val="00F643DB"/>
    <w:rsid w:val="00FF5E2B"/>
    <w:rsid w:val="00FF6A6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0D28F0"/>
  <w15:chartTrackingRefBased/>
  <w15:docId w15:val="{7D803230-AF31-46DA-ADAD-CAE58E07E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paragraph" w:styleId="NormalWeb">
    <w:name w:val="Normal (Web)"/>
    <w:basedOn w:val="Normal"/>
    <w:uiPriority w:val="99"/>
    <w:semiHidden/>
    <w:unhideWhenUsed/>
    <w:rsid w:val="00E36F35"/>
    <w:pPr>
      <w:spacing w:before="100" w:beforeAutospacing="1" w:after="100" w:afterAutospacing="1" w:line="240" w:lineRule="auto"/>
      <w:jc w:val="left"/>
    </w:pPr>
    <w:rPr>
      <w:rFonts w:ascii="Times New Roman" w:hAnsi="Times New Roman"/>
      <w:color w:val="000000"/>
      <w:sz w:val="20"/>
      <w:szCs w:val="20"/>
      <w:lang w:eastAsia="es-ES"/>
    </w:rPr>
  </w:style>
  <w:style w:type="paragraph" w:styleId="Prrafodelista">
    <w:name w:val="List Paragraph"/>
    <w:aliases w:val="Informe,figuras y gráficos,Viñetas,Bulletr List Paragraph,3,titulo 5,Con viñetas,Normal con viñetas,Use Case List Paragraph,Bullet 1,List Paragraph 1,Numbered List Paragraph,Main numbered paragraph,Bullets,List Paragraph (numbered (a))"/>
    <w:basedOn w:val="Normal"/>
    <w:link w:val="PrrafodelistaCar"/>
    <w:uiPriority w:val="34"/>
    <w:qFormat/>
    <w:rsid w:val="00E36F35"/>
    <w:pPr>
      <w:ind w:left="720"/>
      <w:contextualSpacing/>
    </w:pPr>
  </w:style>
  <w:style w:type="character" w:customStyle="1" w:styleId="PrrafodelistaCar">
    <w:name w:val="Párrafo de lista Car"/>
    <w:aliases w:val="Informe Car,figuras y gráficos Car,Viñetas Car,Bulletr List Paragraph Car,3 Car,titulo 5 Car,Con viñetas Car,Normal con viñetas Car,Use Case List Paragraph Car,Bullet 1 Car,List Paragraph 1 Car,Numbered List Paragraph Car"/>
    <w:link w:val="Prrafodelista"/>
    <w:uiPriority w:val="34"/>
    <w:qFormat/>
    <w:locked/>
    <w:rsid w:val="00E36F35"/>
    <w:rPr>
      <w:rFonts w:ascii="Cambria" w:eastAsia="Times New Roman" w:hAnsi="Cambria" w:cs="Times New Roman"/>
      <w:szCs w:val="24"/>
      <w:lang w:val="es-ES"/>
    </w:rPr>
  </w:style>
  <w:style w:type="character" w:customStyle="1" w:styleId="html-tag">
    <w:name w:val="html-tag"/>
    <w:basedOn w:val="Fuentedeprrafopredeter"/>
    <w:rsid w:val="00E36F35"/>
  </w:style>
  <w:style w:type="character" w:styleId="Refdecomentario">
    <w:name w:val="annotation reference"/>
    <w:basedOn w:val="Fuentedeprrafopredeter"/>
    <w:uiPriority w:val="99"/>
    <w:semiHidden/>
    <w:unhideWhenUsed/>
    <w:rsid w:val="009420FC"/>
    <w:rPr>
      <w:sz w:val="16"/>
      <w:szCs w:val="16"/>
    </w:rPr>
  </w:style>
  <w:style w:type="paragraph" w:styleId="Textocomentario">
    <w:name w:val="annotation text"/>
    <w:basedOn w:val="Normal"/>
    <w:link w:val="TextocomentarioCar"/>
    <w:uiPriority w:val="99"/>
    <w:semiHidden/>
    <w:unhideWhenUsed/>
    <w:rsid w:val="009420F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20FC"/>
    <w:rPr>
      <w:rFonts w:ascii="Cambria" w:eastAsia="Times New Roman" w:hAnsi="Cambria"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9420FC"/>
    <w:rPr>
      <w:b/>
      <w:bCs/>
    </w:rPr>
  </w:style>
  <w:style w:type="character" w:customStyle="1" w:styleId="AsuntodelcomentarioCar">
    <w:name w:val="Asunto del comentario Car"/>
    <w:basedOn w:val="TextocomentarioCar"/>
    <w:link w:val="Asuntodelcomentario"/>
    <w:uiPriority w:val="99"/>
    <w:semiHidden/>
    <w:rsid w:val="009420FC"/>
    <w:rPr>
      <w:rFonts w:ascii="Cambria" w:eastAsia="Times New Roman" w:hAnsi="Cambria" w:cs="Times New Roman"/>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customXml" Target="../customXml/item6.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60697C7A94E4A80CE397A18DAF3D7"/>
        <w:category>
          <w:name w:val="General"/>
          <w:gallery w:val="placeholder"/>
        </w:category>
        <w:types>
          <w:type w:val="bbPlcHdr"/>
        </w:types>
        <w:behaviors>
          <w:behavior w:val="content"/>
        </w:behaviors>
        <w:guid w:val="{A1B17A78-013E-4EAB-A26B-83EBBDBF5F05}"/>
      </w:docPartPr>
      <w:docPartBody>
        <w:p w:rsidR="00691D42" w:rsidRDefault="00427A8E" w:rsidP="00427A8E">
          <w:pPr>
            <w:pStyle w:val="17160697C7A94E4A80CE397A18DAF3D7"/>
          </w:pPr>
          <w:r w:rsidRPr="00016D12">
            <w:rPr>
              <w:rStyle w:val="Textodelmarcadordeposicin"/>
            </w:rPr>
            <w:t>Haga clic aquí para escribir texto.</w:t>
          </w:r>
        </w:p>
      </w:docPartBody>
    </w:docPart>
    <w:docPart>
      <w:docPartPr>
        <w:name w:val="D3A7A4664F2E4C8A8CF0B8BA290A6CEA"/>
        <w:category>
          <w:name w:val="General"/>
          <w:gallery w:val="placeholder"/>
        </w:category>
        <w:types>
          <w:type w:val="bbPlcHdr"/>
        </w:types>
        <w:behaviors>
          <w:behavior w:val="content"/>
        </w:behaviors>
        <w:guid w:val="{6CD82A8D-86B5-47DE-B46A-CC29554654E5}"/>
      </w:docPartPr>
      <w:docPartBody>
        <w:p w:rsidR="00691D42" w:rsidRDefault="00427A8E" w:rsidP="00427A8E">
          <w:pPr>
            <w:pStyle w:val="D3A7A4664F2E4C8A8CF0B8BA290A6CEA"/>
          </w:pPr>
          <w:r w:rsidRPr="00016D12">
            <w:rPr>
              <w:rStyle w:val="Textodelmarcadordeposicin"/>
            </w:rPr>
            <w:t>Elija un elemento.</w:t>
          </w:r>
        </w:p>
      </w:docPartBody>
    </w:docPart>
    <w:docPart>
      <w:docPartPr>
        <w:name w:val="69E8FEEBF8294FE88B5BC23B7B870D6D"/>
        <w:category>
          <w:name w:val="General"/>
          <w:gallery w:val="placeholder"/>
        </w:category>
        <w:types>
          <w:type w:val="bbPlcHdr"/>
        </w:types>
        <w:behaviors>
          <w:behavior w:val="content"/>
        </w:behaviors>
        <w:guid w:val="{576092A6-8E1B-4D3A-84A5-8A15B7E47E38}"/>
      </w:docPartPr>
      <w:docPartBody>
        <w:p w:rsidR="00691D42" w:rsidRDefault="00427A8E" w:rsidP="00427A8E">
          <w:pPr>
            <w:pStyle w:val="69E8FEEBF8294FE88B5BC23B7B870D6D"/>
          </w:pPr>
          <w:r w:rsidRPr="001E0779">
            <w:rPr>
              <w:rStyle w:val="Textodelmarcadordeposicin"/>
            </w:rPr>
            <w:t>Haga clic aquí para escribir texto.</w:t>
          </w:r>
        </w:p>
      </w:docPartBody>
    </w:docPart>
    <w:docPart>
      <w:docPartPr>
        <w:name w:val="1F02952170A94AD9A48B23AEC40B01A6"/>
        <w:category>
          <w:name w:val="General"/>
          <w:gallery w:val="placeholder"/>
        </w:category>
        <w:types>
          <w:type w:val="bbPlcHdr"/>
        </w:types>
        <w:behaviors>
          <w:behavior w:val="content"/>
        </w:behaviors>
        <w:guid w:val="{C67025A2-5B77-4A0F-AF4F-588A9D250E0D}"/>
      </w:docPartPr>
      <w:docPartBody>
        <w:p w:rsidR="00691D42" w:rsidRDefault="00427A8E" w:rsidP="00427A8E">
          <w:pPr>
            <w:pStyle w:val="1F02952170A94AD9A48B23AEC40B01A6"/>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41"/>
    <w:rsid w:val="002C50B1"/>
    <w:rsid w:val="00332FBC"/>
    <w:rsid w:val="00427A8E"/>
    <w:rsid w:val="0050218D"/>
    <w:rsid w:val="00691D42"/>
    <w:rsid w:val="00981874"/>
    <w:rsid w:val="009F7D41"/>
    <w:rsid w:val="00DD4D7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27A8E"/>
    <w:rPr>
      <w:color w:val="808080"/>
    </w:rPr>
  </w:style>
  <w:style w:type="paragraph" w:customStyle="1" w:styleId="17160697C7A94E4A80CE397A18DAF3D7">
    <w:name w:val="17160697C7A94E4A80CE397A18DAF3D7"/>
    <w:rsid w:val="00427A8E"/>
  </w:style>
  <w:style w:type="paragraph" w:customStyle="1" w:styleId="D3A7A4664F2E4C8A8CF0B8BA290A6CEA">
    <w:name w:val="D3A7A4664F2E4C8A8CF0B8BA290A6CEA"/>
    <w:rsid w:val="00427A8E"/>
  </w:style>
  <w:style w:type="paragraph" w:customStyle="1" w:styleId="69E8FEEBF8294FE88B5BC23B7B870D6D">
    <w:name w:val="69E8FEEBF8294FE88B5BC23B7B870D6D"/>
    <w:rsid w:val="00427A8E"/>
  </w:style>
  <w:style w:type="paragraph" w:customStyle="1" w:styleId="1F02952170A94AD9A48B23AEC40B01A6">
    <w:name w:val="1F02952170A94AD9A48B23AEC40B01A6"/>
    <w:rsid w:val="00427A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Gsgr7/2LETX1lhlCPlNjue0pcfz/L1VHI1+Q3hg4KI8=</DigestValue>
    </Reference>
    <Reference Type="http://www.w3.org/2000/09/xmldsig#Object" URI="#idOfficeObject">
      <DigestMethod Algorithm="http://www.w3.org/2001/04/xmlenc#sha256"/>
      <DigestValue>aB7pJBBD8fCEhFRe7G6JE2C54naMFxOXLpyZ9iQZvwU=</DigestValue>
    </Reference>
    <Reference Type="http://uri.etsi.org/01903#SignedProperties" URI="#idSignedProperties">
      <Transforms>
        <Transform Algorithm="http://www.w3.org/TR/2001/REC-xml-c14n-20010315"/>
      </Transforms>
      <DigestMethod Algorithm="http://www.w3.org/2001/04/xmlenc#sha256"/>
      <DigestValue>VaWskqU+zRSOhvVkwult7vwxR1Ivp7ySamk8BAC6kAc=</DigestValue>
    </Reference>
  </SignedInfo>
  <SignatureValue>hvesHzlZHORhXNbd1dX/pG0X9kKMSNn6tbpZOJ0oyWQhFkfmvnwe+Yb0l8uRhPQuzqJlm9Hxn/Ha
gJ8WcOPJuEcsHo+C1Fbhaa+fouR2HuZunodL53h/JNBR+y6UUt/WIs6OJhHpgl61fu/dh7kEwHVR
zRz8z4fskJxZP9tQODw01NNHtv0arOYzXEwX/20yJN42a8I0l8MllLBTNu7ouYcVia5nf7y86jWv
ptQ/66GQD32SOuPGDOHbq/4UNahbzTpgf102js4DJegGJtirnccModu0srUd2tFEOBqsfcifU44e
u1gPS8ElpDwiIaeRJtLKqXUDFHgwqCY+4ZcM5A==</SignatureValue>
  <KeyInfo>
    <X509Data>
      <X509Certificate>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Jer83JDVGLPBBLpOWdmnUMgu5+tK/cm4LoID2BEInlTAKgszsoDuuhfQ1kasDkPw5vlW7VMSWhZCGLvabSVDRisV0c88YzuAuU3dqzsluciHaXERNhFzZ+oPBDyDTC57d0j9gnqzSQM5tspMIcjpwCaciWZoU4kmatxVBFYWOzr6SoPj1VLIXoAsGBwVfOknYu1/jX33o4cwXcpQ+QeEhriKl78vtqq4AGTjpPCfV3PDhm6z08n0RCkwshhRhRkMupDVxIU3HW7u7Qzv4OyybQGVFmwUk8czbzCb3O8udj7SVy7Plgu+8lxCA0kI0jWm/dAcwIcZvOJUtr2BNKyxiE=</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document.xml?ContentType=application/vnd.openxmlformats-officedocument.wordprocessingml.document.main+xml">
        <DigestMethod Algorithm="http://www.w3.org/2001/04/xmlenc#sha256"/>
        <DigestValue>Jf1IKE3cfzPb+UGc+UVWcOxDdPxkrD+jGlYZLJor6SI=</DigestValue>
      </Reference>
      <Reference URI="/word/endnotes.xml?ContentType=application/vnd.openxmlformats-officedocument.wordprocessingml.endnotes+xml">
        <DigestMethod Algorithm="http://www.w3.org/2001/04/xmlenc#sha256"/>
        <DigestValue>Q9Bb6/E0Rz/ItyAg+cxm1b9R931gvlX2waVj0U9saPc=</DigestValue>
      </Reference>
      <Reference URI="/word/fontTable.xml?ContentType=application/vnd.openxmlformats-officedocument.wordprocessingml.fontTable+xml">
        <DigestMethod Algorithm="http://www.w3.org/2001/04/xmlenc#sha256"/>
        <DigestValue>ecHg6fhkcTCFvfmvoJj8eQUDDJgW44cNF41kf8gV7mo=</DigestValue>
      </Reference>
      <Reference URI="/word/footer1.xml?ContentType=application/vnd.openxmlformats-officedocument.wordprocessingml.footer+xml">
        <DigestMethod Algorithm="http://www.w3.org/2001/04/xmlenc#sha256"/>
        <DigestValue>DSkysV5vaNy4wQauH21sdDRp+IViCRC39Do4pTuDZX0=</DigestValue>
      </Reference>
      <Reference URI="/word/footer2.xml?ContentType=application/vnd.openxmlformats-officedocument.wordprocessingml.footer+xml">
        <DigestMethod Algorithm="http://www.w3.org/2001/04/xmlenc#sha256"/>
        <DigestValue>KDUfw64i5Ku9pvkMwkM/n8IYM/qWEOlnF6Yoz1tRhFs=</DigestValue>
      </Reference>
      <Reference URI="/word/footer3.xml?ContentType=application/vnd.openxmlformats-officedocument.wordprocessingml.footer+xml">
        <DigestMethod Algorithm="http://www.w3.org/2001/04/xmlenc#sha256"/>
        <DigestValue>KiQBJRgTKRGI9MpgpBZGnfxqHCUs1raqz2Qb0c8DDmo=</DigestValue>
      </Reference>
      <Reference URI="/word/footnotes.xml?ContentType=application/vnd.openxmlformats-officedocument.wordprocessingml.footnotes+xml">
        <DigestMethod Algorithm="http://www.w3.org/2001/04/xmlenc#sha256"/>
        <DigestValue>dPfA+iGX38HbAkXVLEwB0he/Tz5CgdusTp+thAZW7d8=</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Ux/6tfEG4RzCKbKvM1NmKO23+4+RNPP0UD248mavsrg=</DigestValue>
      </Reference>
      <Reference URI="/word/glossary/fontTable.xml?ContentType=application/vnd.openxmlformats-officedocument.wordprocessingml.fontTable+xml">
        <DigestMethod Algorithm="http://www.w3.org/2001/04/xmlenc#sha256"/>
        <DigestValue>ecHg6fhkcTCFvfmvoJj8eQUDDJgW44cNF41kf8gV7mo=</DigestValue>
      </Reference>
      <Reference URI="/word/glossary/settings.xml?ContentType=application/vnd.openxmlformats-officedocument.wordprocessingml.settings+xml">
        <DigestMethod Algorithm="http://www.w3.org/2001/04/xmlenc#sha256"/>
        <DigestValue>Pz5MaI97zWKLMnnT+xHptzpwlb/vxCi07OYAL/bcHJs=</DigestValue>
      </Reference>
      <Reference URI="/word/glossary/styles.xml?ContentType=application/vnd.openxmlformats-officedocument.wordprocessingml.styles+xml">
        <DigestMethod Algorithm="http://www.w3.org/2001/04/xmlenc#sha256"/>
        <DigestValue>VBBd6YMPGXI9ADYSArnvlTYrjFDrDDCgUBQeLTbPT/A=</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qZ+nT79lMYP3lrwQKjzQ6WGIcBGXtK9dlX3utbFA82c=</DigestValue>
      </Reference>
      <Reference URI="/word/header2.xml?ContentType=application/vnd.openxmlformats-officedocument.wordprocessingml.header+xml">
        <DigestMethod Algorithm="http://www.w3.org/2001/04/xmlenc#sha256"/>
        <DigestValue>l/vbJ1faqHONqkcyCAsjj3HqtlwroRYl3eKb1WP3RRw=</DigestValue>
      </Reference>
      <Reference URI="/word/header3.xml?ContentType=application/vnd.openxmlformats-officedocument.wordprocessingml.header+xml">
        <DigestMethod Algorithm="http://www.w3.org/2001/04/xmlenc#sha256"/>
        <DigestValue>5wE6jn0Lx/6oujKYMF2lVqaPGqEnAMtiq+6vG+BXCPU=</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jArnOJ731MXjUFVyEB5owAaWi6aVWYNQuxDJc75m9kc=</DigestValue>
      </Reference>
      <Reference URI="/word/settings.xml?ContentType=application/vnd.openxmlformats-officedocument.wordprocessingml.settings+xml">
        <DigestMethod Algorithm="http://www.w3.org/2001/04/xmlenc#sha256"/>
        <DigestValue>ejRgsVELckE7TTVqDzukclFCZZfofJTQgWO9OWqa+1k=</DigestValue>
      </Reference>
      <Reference URI="/word/styles.xml?ContentType=application/vnd.openxmlformats-officedocument.wordprocessingml.styles+xml">
        <DigestMethod Algorithm="http://www.w3.org/2001/04/xmlenc#sha256"/>
        <DigestValue>d5qSbrUuNm0hLqyErMgIhR3Ufbs0hopJUG0RZ1E7NKU=</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qTW+Ld40kWDuOQzFtqBqoFfP1E/qwjD27/RAiJ9TkC8=</DigestValue>
      </Reference>
    </Manifest>
    <SignatureProperties>
      <SignatureProperty Id="idSignatureTime" Target="#idPackageSignature">
        <mdssi:SignatureTime xmlns:mdssi="http://schemas.openxmlformats.org/package/2006/digital-signature">
          <mdssi:Format>YYYY-MM-DDThh:mm:ssTZD</mdssi:Format>
          <mdssi:Value>2022-12-23T22:29:17Z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16.0.14931/23</OfficeVersion>
          <ApplicationVersion>16.0.14931</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2022-12-23T22:29:17Z</xd:SigningTime>
          <xd:SigningCertificate>
            <xd:Cert>
              <xd:CertDigest>
                <DigestMethod Algorithm="http://www.w3.org/2001/04/xmlenc#sha256"/>
                <DigestValue>kAYBOTJxCs2YYq5sP7JWrhGSDyixD2Xdh72F37pwnUI=</DigestValue>
              </xd:CertDigest>
              <xd:IssuerSerial>
                <X509IssuerName>CN=CA SINPE - PERSONA FISICA v2, OU=DIVISION SISTEMAS DE PAGO, O=BANCO CENTRAL DE COSTA RICA, C=CR, SERIALNUMBER=CPJ-4-000-004017</X509IssuerName>
                <X509SerialNumber>446018005774586790551998519667964561479769481</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2FBoB5fd5HJjYe/J7QiM1ObT0g2nkXU6MgnW1SMNVtoCBBImuaIYDzIwMjIxMjIzMjIyOTE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</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</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HObSOj7BkfRpcMyvouYM/sTo8eI=</xd:ByKey>
                  </xd:ResponderID>
                  <xd:ProducedAt>2022-12-23T22:14:43Z</xd:ProducedAt>
                </xd:OCSPIdentifier>
                <xd:DigestAlgAndValue>
                  <DigestMethod Algorithm="http://www.w3.org/2001/04/xmlenc#sha256"/>
                  <DigestValue>bzXSnVDj91YvhWOfOa+Q8STe6GUh9/4cCrEDnHobpLY=</DigestValue>
                </xd:DigestAlgAndValue>
              </xd:OCSPRef>
            </xd:OCSPRefs>
            <xd:CRLRefs>
              <xd:CRLRef>
                <xd:DigestAlgAndValue>
                  <DigestMethod Algorithm="http://www.w3.org/2001/04/xmlenc#sha256"/>
                  <DigestValue>1g1pQWhI5RprjZXHFfJbAIUF1AOzLN7ClUMP8jA33YY=</DigestValue>
                </xd:DigestAlgAndValue>
                <xd:CRLIdentifier>
                  <xd:Issuer>CN=CA POLITICA PERSONA FISICA - COSTA RICA v2, OU=DCFD, O=MICITT, C=CR, SERIALNUMBER=CPJ-2-100-098311</xd:Issuer>
                  <xd:IssueTime>2022-12-09T20:36:02Z</xd:IssueTime>
                </xd:CRLIdentifier>
              </xd:CRLRef>
              <xd:CRLRef>
                <xd:DigestAlgAndValue>
                  <DigestMethod Algorithm="http://www.w3.org/2001/04/xmlenc#sha256"/>
                  <DigestValue>Cg2TFKB8CSBvhyCuuqMQ1Q/avwiRU1ufshdAKZF6fYA=</DigestValue>
                </xd:DigestAlgAndValue>
                <xd:CRLIdentifier>
                  <xd:Issuer>CN=CA RAIZ NACIONAL - COSTA RICA v2, C=CR, O=MICITT, OU=DCFD, SERIALNUMBER=CPJ-2-100-098311</xd:Issuer>
                  <xd:IssueTime>2022-12-09T20:08:49Z</xd:IssueTime>
                </xd:CRLIdentifier>
              </xd:CRLRef>
            </xd:CRLRefs>
          </xd:CompleteRevocationRefs>
          <xd:RevocationValues>
            <xd:OCSPValues>
              <xd:EncapsulatedOCSPValue>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</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</xd:EncapsulatedCRLValue>
              <xd:EncapsulatedCRLValue>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doldTyzfWK2rtUZR4uLMUBwuvRXQ5zGqOzIjgfhs9WoCBBImuaMYDzIwMjIxMjIzMjIyOTE5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031b4bb2-0db7-40b3-a341-fc1511e9642d" ContentTypeId="0x010100E97154E09FCE6A4E8EAEBD5C54DD1AE40202" PreviousValue="false"/>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426</Value>
      <Value>161</Value>
      <Value>2</Value>
      <Value>127</Value>
      <Value>63</Value>
    </TaxCatchAll>
    <OtraEntidadExterna xmlns="b875e23b-67d9-4b2e-bdec-edacbf90b326">A las entidades indicadas en la Circular Externa</OtraEntidadExterna>
    <Firmado xmlns="b875e23b-67d9-4b2e-bdec-edacbf90b326">true</Firmado>
    <Responsable xmlns="b875e23b-67d9-4b2e-bdec-edacbf90b326">
      <UserInfo>
        <DisplayName>MONTOYA SOLANO EDUARDO ANTONIO</DisplayName>
        <AccountId>310</AccountId>
        <AccountType/>
      </UserInfo>
    </Responsable>
    <PlazoArchivo xmlns="b875e23b-67d9-4b2e-bdec-edacbf90b326">84</PlazoArchivo>
    <FirmadoPor xmlns="b875e23b-67d9-4b2e-bdec-edacbf90b326">
      <UserInfo>
        <DisplayName>i:0#.w|pdc-atlantida\aguilarmr</DisplayName>
        <AccountId>2024</AccountId>
        <AccountType/>
      </UserInfo>
    </FirmadoPor>
    <InformarA xmlns="b875e23b-67d9-4b2e-bdec-edacbf90b326">
      <UserInfo>
        <DisplayName>SALIENTE INFORMACION CREDITICIA</DisplayName>
        <AccountId>692</AccountId>
        <AccountType/>
      </UserInfo>
      <UserInfo>
        <DisplayName>SALIENTE GRUPO DE INTERES ECONOMICO</DisplayName>
        <AccountId>707</AccountId>
        <AccountType/>
      </UserInfo>
      <UserInfo>
        <DisplayName>SALIENTE NORMAS</DisplayName>
        <AccountId>708</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Propietario</TermName>
          <TermId xmlns="http://schemas.microsoft.com/office/infopath/2007/PartnerControls">172cdb65-abed-4947-8339-a6c2477d21bb</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responde a ningún número de referencia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CIRCULAR EXTERNA AJUSTE CIC-CALCULO CPH
CC: SALIENTE INFORMACION CREDITICIA</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2022-12-21T06:00:00+00:00</FechaDocumento>
    <RemitenteOriginal xmlns="b875e23b-67d9-4b2e-bdec-edacbf90b326">División Servicios Técnicos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2022</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Alta</TermName>
          <TermId xmlns="http://schemas.microsoft.com/office/infopath/2007/PartnerControls">7fca731c-4c62-4f1c-9061-e9f164c964b2</TermId>
        </TermInfo>
      </Terms>
    </c7a4f14da8a146089ab80d380d2664ad>
    <Subject1 xmlns="b875e23b-67d9-4b2e-bdec-edacbf90b326">SGF-XXX-2022  CIRCULAR EXTERNA AJUSTE  CIC-CALCULO CPH</Subject1>
  </documentManagement>
</p:properties>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05" ma:contentTypeDescription="Crear nuevo documento." ma:contentTypeScope="" ma:versionID="950722b070a302c5e864ad650ffa079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0de8fec4d300e029687c2c3e7060fa97"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minOccurs="0"/>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nillable="true" ma:displayName="No. Referencia" ma:internalName="NoReferencia">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CD55892C-0DDC-4530-A0B2-0C0870CF21B0}">
  <ds:schemaRefs>
    <ds:schemaRef ds:uri="Microsoft.SharePoint.Taxonomy.ContentTypeSync"/>
  </ds:schemaRefs>
</ds:datastoreItem>
</file>

<file path=customXml/itemProps2.xml><?xml version="1.0" encoding="utf-8"?>
<ds:datastoreItem xmlns:ds="http://schemas.openxmlformats.org/officeDocument/2006/customXml" ds:itemID="{068C5E37-641F-4ADA-A5AD-E52456C0FFAB}">
  <ds:schemaRefs>
    <ds:schemaRef ds:uri="b875e23b-67d9-4b2e-bdec-edacbf90b326"/>
    <ds:schemaRef ds:uri="http://schemas.microsoft.com/office/2006/documentManagement/type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70292C4-52BF-4EDA-B6D4-FCE5AEDF89CA}"/>
</file>

<file path=customXml/itemProps4.xml><?xml version="1.0" encoding="utf-8"?>
<ds:datastoreItem xmlns:ds="http://schemas.openxmlformats.org/officeDocument/2006/customXml" ds:itemID="{0FE44EC5-8C33-48A3-800B-0EFAE7EFB3F0}"/>
</file>

<file path=customXml/itemProps5.xml><?xml version="1.0" encoding="utf-8"?>
<ds:datastoreItem xmlns:ds="http://schemas.openxmlformats.org/officeDocument/2006/customXml" ds:itemID="{1300E2FC-7D7A-43FC-B97B-C709327CF4AC}"/>
</file>

<file path=customXml/itemProps6.xml><?xml version="1.0" encoding="utf-8"?>
<ds:datastoreItem xmlns:ds="http://schemas.openxmlformats.org/officeDocument/2006/customXml" ds:itemID="{C9356A1B-F2A6-4BC6-9EB3-156587D07D17}"/>
</file>

<file path=docProps/app.xml><?xml version="1.0" encoding="utf-8"?>
<Properties xmlns="http://schemas.openxmlformats.org/officeDocument/2006/extended-properties" xmlns:vt="http://schemas.openxmlformats.org/officeDocument/2006/docPropsVTypes">
  <Template>Normal</Template>
  <TotalTime>250</TotalTime>
  <Pages>4</Pages>
  <Words>975</Words>
  <Characters>5364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JIMENEZ GUTIERREZ ELVIS EDUARDO</dc:creator>
  <cp:keywords/>
  <dc:description/>
  <cp:lastModifiedBy>VARGAS LEAL MARIA GABRIELA</cp:lastModifiedBy>
  <cp:revision>33</cp:revision>
  <dcterms:created xsi:type="dcterms:W3CDTF">2022-12-21T15:39:00Z</dcterms:created>
  <dcterms:modified xsi:type="dcterms:W3CDTF">2022-12-23T21:35:00Z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127;#Propietario|172cdb65-abed-4947-8339-a6c2477d21bb</vt:lpwstr>
  </property>
  <property fmtid="{D5CDD505-2E9C-101B-9397-08002B2CF9AE}" pid="4" name="Integridad">
    <vt:lpwstr>2;#Media|7c263feb-a1d7-4b26-9b28-09e7514882c1</vt:lpwstr>
  </property>
  <property fmtid="{D5CDD505-2E9C-101B-9397-08002B2CF9AE}" pid="5" name="Tipo Documental">
    <vt:lpwstr>426;#Circular|a95dd0af-ef18-4305-9c8d-aa79141c6059</vt:lpwstr>
  </property>
  <property fmtid="{D5CDD505-2E9C-101B-9397-08002B2CF9AE}" pid="6" name="Unidad de Destino">
    <vt:lpwstr/>
  </property>
  <property fmtid="{D5CDD505-2E9C-101B-9397-08002B2CF9AE}" pid="7" name="Disponibilidad">
    <vt:lpwstr>161;#Alta|7fca731c-4c62-4f1c-9061-e9f164c964b2</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2022-12-21T15:39:19Z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07cb5721-56fe-46ff-8172-0000a56c31fa</vt:lpwstr>
  </property>
  <property fmtid="{D5CDD505-2E9C-101B-9397-08002B2CF9AE}" pid="17" name="MSIP_Label_b8b4be34-365a-4a68-b9fb-75c1b6874315_ContentBits">
    <vt:lpwstr>2</vt:lpwstr>
  </property>
  <property fmtid="{D5CDD505-2E9C-101B-9397-08002B2CF9AE}" pid="18" name="Order">
    <vt:r8>638800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f1fd9d7f-da86-405a-9476-87cbb240632e,5;e296350a-171a-4531-9415-14f9933ddbf9,7;</vt:lpwstr>
  </property>
</Properties>
</file>