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8CF5" w14:textId="77777777" w:rsidR="00256EAD" w:rsidRDefault="00256EAD" w:rsidP="001B6D55">
      <w:pPr>
        <w:pStyle w:val="Texto"/>
        <w:spacing w:before="0" w:after="0" w:line="240" w:lineRule="auto"/>
        <w:rPr>
          <w:sz w:val="24"/>
        </w:rPr>
      </w:pPr>
    </w:p>
    <w:p w14:paraId="33537277" w14:textId="77777777" w:rsidR="00256EAD" w:rsidRPr="00E70024" w:rsidRDefault="00256EAD" w:rsidP="00256EAD">
      <w:pPr>
        <w:tabs>
          <w:tab w:val="left" w:pos="2843"/>
        </w:tabs>
        <w:spacing w:line="240" w:lineRule="auto"/>
        <w:jc w:val="center"/>
        <w:rPr>
          <w:sz w:val="24"/>
        </w:rPr>
      </w:pPr>
      <w:r w:rsidRPr="00E70024">
        <w:rPr>
          <w:b/>
          <w:sz w:val="24"/>
        </w:rPr>
        <w:t>CIRCULAR EXTERNA</w:t>
      </w:r>
    </w:p>
    <w:p w14:paraId="235B0271" w14:textId="660007CA" w:rsidR="006972C9" w:rsidRPr="002E2B0A" w:rsidRDefault="00256EAD" w:rsidP="00256EAD">
      <w:pPr>
        <w:pStyle w:val="Texto"/>
        <w:spacing w:before="0" w:after="0" w:line="240" w:lineRule="auto"/>
        <w:jc w:val="center"/>
        <w:rPr>
          <w:sz w:val="24"/>
        </w:rPr>
      </w:pPr>
      <w:r>
        <w:rPr>
          <w:sz w:val="24"/>
        </w:rPr>
        <w:t xml:space="preserve"> </w:t>
      </w:r>
      <w:r w:rsidR="0033173A">
        <w:rPr>
          <w:sz w:val="24"/>
        </w:rPr>
        <w:t>10</w:t>
      </w:r>
      <w:r>
        <w:rPr>
          <w:sz w:val="24"/>
        </w:rPr>
        <w:t xml:space="preserve"> </w:t>
      </w:r>
      <w:r w:rsidR="006972C9" w:rsidRPr="002E2B0A">
        <w:rPr>
          <w:sz w:val="24"/>
        </w:rPr>
        <w:t xml:space="preserve">de </w:t>
      </w:r>
      <w:r>
        <w:rPr>
          <w:sz w:val="24"/>
        </w:rPr>
        <w:t>agosto</w:t>
      </w:r>
      <w:r w:rsidR="006972C9" w:rsidRPr="002E2B0A">
        <w:rPr>
          <w:sz w:val="24"/>
        </w:rPr>
        <w:t xml:space="preserve"> de </w:t>
      </w:r>
      <w:r>
        <w:rPr>
          <w:sz w:val="24"/>
        </w:rPr>
        <w:t>2021</w:t>
      </w:r>
    </w:p>
    <w:sdt>
      <w:sdtPr>
        <w:rPr>
          <w:sz w:val="24"/>
        </w:rPr>
        <w:alias w:val="Consecutivo"/>
        <w:tag w:val="Consecutivo"/>
        <w:id w:val="2052717023"/>
        <w:placeholder>
          <w:docPart w:val="73C76D2B583040998CE57E36C610B0E3"/>
        </w:placeholder>
        <w:text/>
      </w:sdtPr>
      <w:sdtEndPr/>
      <w:sdtContent>
        <w:p w14:paraId="75798044" w14:textId="77777777" w:rsidR="006972C9" w:rsidRDefault="006972C9" w:rsidP="00256EAD">
          <w:pPr>
            <w:tabs>
              <w:tab w:val="left" w:pos="2843"/>
            </w:tabs>
            <w:spacing w:line="240" w:lineRule="auto"/>
            <w:jc w:val="center"/>
            <w:rPr>
              <w:sz w:val="24"/>
            </w:rPr>
          </w:pPr>
          <w:r>
            <w:t>SGF-2278-2021</w:t>
          </w:r>
        </w:p>
      </w:sdtContent>
    </w:sdt>
    <w:p w14:paraId="513A9B07" w14:textId="275FB8C6" w:rsidR="006972C9" w:rsidRDefault="0033173A" w:rsidP="00256EAD">
      <w:pPr>
        <w:tabs>
          <w:tab w:val="left" w:pos="2843"/>
        </w:tabs>
        <w:spacing w:line="240" w:lineRule="auto"/>
        <w:jc w:val="center"/>
        <w:rPr>
          <w:sz w:val="24"/>
        </w:rPr>
      </w:pPr>
      <w:sdt>
        <w:sdtPr>
          <w:rPr>
            <w:sz w:val="24"/>
          </w:rPr>
          <w:alias w:val="Confidencialidad"/>
          <w:tag w:val="Confidencialidad"/>
          <w:id w:val="1447896894"/>
          <w:placeholder>
            <w:docPart w:val="17CA514F6AE44AAD80C2B63A790D16B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0389C">
            <w:rPr>
              <w:sz w:val="24"/>
            </w:rPr>
            <w:t>SGF-PROPIETARIO</w:t>
          </w:r>
        </w:sdtContent>
      </w:sdt>
    </w:p>
    <w:p w14:paraId="505A2BCA" w14:textId="77777777" w:rsidR="006972C9" w:rsidRPr="002E2B0A" w:rsidRDefault="006972C9" w:rsidP="00256EAD">
      <w:pPr>
        <w:tabs>
          <w:tab w:val="left" w:pos="2843"/>
          <w:tab w:val="left" w:pos="5430"/>
        </w:tabs>
        <w:spacing w:line="240" w:lineRule="auto"/>
        <w:rPr>
          <w:sz w:val="24"/>
        </w:rPr>
      </w:pPr>
    </w:p>
    <w:p w14:paraId="2E4ED2D4" w14:textId="77777777" w:rsidR="00256EAD" w:rsidRPr="00E70024" w:rsidRDefault="00256EAD" w:rsidP="00256EAD">
      <w:pPr>
        <w:tabs>
          <w:tab w:val="left" w:pos="2843"/>
        </w:tabs>
        <w:spacing w:line="240" w:lineRule="auto"/>
        <w:rPr>
          <w:rFonts w:cs="Arial"/>
          <w:b/>
          <w:bCs/>
          <w:sz w:val="24"/>
          <w:lang w:val="es-CR"/>
        </w:rPr>
      </w:pPr>
      <w:r w:rsidRPr="00E70024">
        <w:rPr>
          <w:rFonts w:cs="Arial"/>
          <w:b/>
          <w:bCs/>
          <w:sz w:val="24"/>
          <w:lang w:val="es-CR"/>
        </w:rPr>
        <w:t xml:space="preserve">Dirigida a: </w:t>
      </w:r>
    </w:p>
    <w:p w14:paraId="20FADED1" w14:textId="77777777" w:rsidR="00256EAD" w:rsidRPr="00E70024" w:rsidRDefault="00256EAD" w:rsidP="00256EAD">
      <w:pPr>
        <w:widowControl w:val="0"/>
        <w:spacing w:line="240" w:lineRule="auto"/>
        <w:ind w:left="34" w:right="86"/>
        <w:outlineLvl w:val="0"/>
        <w:rPr>
          <w:b/>
          <w:sz w:val="24"/>
          <w:lang w:val="es-CR"/>
        </w:rPr>
      </w:pPr>
    </w:p>
    <w:p w14:paraId="5342BC8F" w14:textId="77777777" w:rsidR="00256EAD" w:rsidRPr="00E70024" w:rsidRDefault="00256EAD" w:rsidP="00256EAD">
      <w:pPr>
        <w:widowControl w:val="0"/>
        <w:numPr>
          <w:ilvl w:val="0"/>
          <w:numId w:val="3"/>
        </w:numPr>
        <w:spacing w:after="200" w:line="240" w:lineRule="auto"/>
        <w:ind w:right="86"/>
        <w:contextualSpacing/>
        <w:rPr>
          <w:b/>
          <w:sz w:val="24"/>
          <w:lang w:val="es-CR"/>
        </w:rPr>
      </w:pPr>
      <w:r w:rsidRPr="00E70024">
        <w:rPr>
          <w:b/>
          <w:sz w:val="24"/>
          <w:lang w:val="es-CR"/>
        </w:rPr>
        <w:t>Personas físicas y jurídicas inscritas ante la SUGEF de conformidad a lo dispuesto en los artículos 15 y 15 bis de la Ley sobre Estupefacientes, Sustancias Psicotrópicas, Drogas de Uso no Autorizado, Actividades Conexas, Legitimación de Capitales y Financiamiento al Terrorismo N° 7786 y sus reformas</w:t>
      </w:r>
      <w:r>
        <w:rPr>
          <w:b/>
          <w:sz w:val="24"/>
          <w:lang w:val="es-CR"/>
        </w:rPr>
        <w:t>, categorizadas como Tipo 1.</w:t>
      </w:r>
    </w:p>
    <w:p w14:paraId="4248A279" w14:textId="77777777" w:rsidR="00256EAD" w:rsidRPr="00E70024" w:rsidRDefault="00256EAD" w:rsidP="00256EAD">
      <w:pPr>
        <w:jc w:val="center"/>
        <w:rPr>
          <w:sz w:val="24"/>
          <w:lang w:val="es-CR"/>
        </w:rPr>
      </w:pPr>
    </w:p>
    <w:p w14:paraId="778DE4B4" w14:textId="77777777" w:rsidR="00256EAD" w:rsidRDefault="00256EAD" w:rsidP="00256EAD">
      <w:pPr>
        <w:spacing w:line="240" w:lineRule="auto"/>
        <w:ind w:left="993" w:hanging="993"/>
        <w:rPr>
          <w:rFonts w:cs="Arial"/>
          <w:b/>
          <w:bCs/>
          <w:sz w:val="24"/>
          <w:lang w:val="es-CR"/>
        </w:rPr>
      </w:pPr>
      <w:r w:rsidRPr="00E70024">
        <w:rPr>
          <w:rFonts w:cs="Arial"/>
          <w:b/>
          <w:bCs/>
          <w:sz w:val="24"/>
          <w:lang w:val="es-CR"/>
        </w:rPr>
        <w:t>Asunto:</w:t>
      </w:r>
      <w:r w:rsidRPr="00E70024">
        <w:rPr>
          <w:rFonts w:cs="Arial"/>
          <w:b/>
          <w:bCs/>
          <w:sz w:val="24"/>
          <w:lang w:val="es-CR"/>
        </w:rPr>
        <w:tab/>
      </w:r>
    </w:p>
    <w:p w14:paraId="198BCB0C" w14:textId="77777777" w:rsidR="00256EAD" w:rsidRDefault="00256EAD" w:rsidP="00256EAD">
      <w:pPr>
        <w:spacing w:line="240" w:lineRule="auto"/>
        <w:ind w:left="993" w:hanging="993"/>
        <w:rPr>
          <w:rFonts w:cs="Arial"/>
          <w:b/>
          <w:bCs/>
          <w:sz w:val="24"/>
          <w:lang w:val="es-CR"/>
        </w:rPr>
      </w:pPr>
    </w:p>
    <w:p w14:paraId="22F9565D" w14:textId="77777777" w:rsidR="00256EAD" w:rsidRPr="00D23A38" w:rsidRDefault="00256EAD" w:rsidP="00256EAD">
      <w:pPr>
        <w:pStyle w:val="Prrafodelista"/>
        <w:numPr>
          <w:ilvl w:val="0"/>
          <w:numId w:val="5"/>
        </w:numPr>
        <w:spacing w:line="240" w:lineRule="auto"/>
        <w:rPr>
          <w:rFonts w:cs="Arial"/>
          <w:bCs/>
          <w:sz w:val="24"/>
          <w:lang w:val="es-CR"/>
        </w:rPr>
      </w:pPr>
      <w:r w:rsidRPr="00D23A38">
        <w:rPr>
          <w:rFonts w:cs="Arial"/>
          <w:bCs/>
          <w:sz w:val="24"/>
          <w:lang w:val="es-CR"/>
        </w:rPr>
        <w:t>Supervisión Integral a los sujetos obligados que están inscritos en la Superintendencia General de Entidades Financieras, según lo normado por los artículos 15 y 15 bis de la Ley N° 7786</w:t>
      </w:r>
      <w:r>
        <w:rPr>
          <w:rFonts w:cs="Arial"/>
          <w:bCs/>
          <w:sz w:val="24"/>
          <w:lang w:val="es-CR"/>
        </w:rPr>
        <w:t xml:space="preserve">, categorizados como </w:t>
      </w:r>
      <w:r w:rsidRPr="00D23A38">
        <w:rPr>
          <w:rFonts w:cs="Arial"/>
          <w:bCs/>
          <w:sz w:val="24"/>
          <w:lang w:val="es-CR"/>
        </w:rPr>
        <w:t>TIPO 1</w:t>
      </w:r>
      <w:r>
        <w:rPr>
          <w:rFonts w:cs="Arial"/>
          <w:bCs/>
          <w:sz w:val="24"/>
          <w:lang w:val="es-CR"/>
        </w:rPr>
        <w:t>.</w:t>
      </w:r>
      <w:r w:rsidRPr="00D23A38">
        <w:rPr>
          <w:rFonts w:cs="Arial"/>
          <w:bCs/>
          <w:sz w:val="24"/>
          <w:lang w:val="es-CR"/>
        </w:rPr>
        <w:t xml:space="preserve"> </w:t>
      </w:r>
    </w:p>
    <w:p w14:paraId="527300CE" w14:textId="77777777" w:rsidR="00256EAD" w:rsidRPr="00E70024" w:rsidRDefault="00256EAD" w:rsidP="00256EAD">
      <w:pPr>
        <w:spacing w:line="240" w:lineRule="auto"/>
        <w:ind w:left="993" w:hanging="993"/>
        <w:rPr>
          <w:rFonts w:cs="Arial"/>
          <w:bCs/>
          <w:sz w:val="24"/>
          <w:lang w:val="es-CR"/>
        </w:rPr>
      </w:pPr>
    </w:p>
    <w:p w14:paraId="20F2C291" w14:textId="77777777" w:rsidR="00256EAD" w:rsidRPr="00E70024" w:rsidRDefault="00256EAD" w:rsidP="00256EAD">
      <w:pPr>
        <w:rPr>
          <w:sz w:val="24"/>
          <w:lang w:val="es-CR"/>
        </w:rPr>
      </w:pPr>
      <w:r w:rsidRPr="00E70024">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14:paraId="1C1F0573" w14:textId="77777777" w:rsidR="00256EAD" w:rsidRPr="00E70024" w:rsidRDefault="00256EAD" w:rsidP="00256EAD">
      <w:pPr>
        <w:spacing w:line="240" w:lineRule="auto"/>
        <w:ind w:left="993" w:hanging="993"/>
        <w:rPr>
          <w:rFonts w:cs="Arial"/>
          <w:bCs/>
          <w:sz w:val="24"/>
          <w:lang w:val="es-CR"/>
        </w:rPr>
      </w:pPr>
    </w:p>
    <w:p w14:paraId="6D20DF45" w14:textId="77777777" w:rsidR="00256EAD" w:rsidRPr="00E70024" w:rsidRDefault="00256EAD" w:rsidP="00256EAD">
      <w:pPr>
        <w:widowControl w:val="0"/>
        <w:tabs>
          <w:tab w:val="left" w:pos="142"/>
        </w:tabs>
        <w:spacing w:after="240" w:line="240" w:lineRule="auto"/>
        <w:rPr>
          <w:rFonts w:eastAsia="Calibri"/>
          <w:b/>
          <w:sz w:val="24"/>
        </w:rPr>
      </w:pPr>
      <w:r w:rsidRPr="00E70024">
        <w:rPr>
          <w:rFonts w:eastAsia="Calibri"/>
          <w:b/>
          <w:sz w:val="24"/>
        </w:rPr>
        <w:t>Considerando que:</w:t>
      </w:r>
    </w:p>
    <w:p w14:paraId="212259BF" w14:textId="77777777" w:rsidR="00256EAD" w:rsidRPr="00E70024" w:rsidRDefault="00256EAD" w:rsidP="00256EAD">
      <w:pPr>
        <w:numPr>
          <w:ilvl w:val="0"/>
          <w:numId w:val="4"/>
        </w:numPr>
        <w:spacing w:line="240" w:lineRule="auto"/>
        <w:rPr>
          <w:sz w:val="24"/>
        </w:rPr>
      </w:pPr>
      <w:r w:rsidRPr="00E70024">
        <w:rPr>
          <w:sz w:val="24"/>
        </w:rPr>
        <w:t>El inciso a) del artículo 134 de la Ley N° 7558, Ley Orgánica del Banco Central de Costa Rica, establece que e</w:t>
      </w:r>
      <w:r w:rsidRPr="00E70024">
        <w:rPr>
          <w:rFonts w:cs="Arial"/>
          <w:color w:val="000000"/>
          <w:sz w:val="24"/>
        </w:rPr>
        <w:t xml:space="preserve">l Superintendente, por sí o por medio de los funcionarios de la Superintendencia, podrá efectuar cualquier acción directa de supervisión o de vigilancia en las entidades fiscalizadas, en el momento que lo considere oportuno. Asimismo, el </w:t>
      </w:r>
      <w:proofErr w:type="spellStart"/>
      <w:r w:rsidRPr="00E70024">
        <w:rPr>
          <w:rFonts w:cs="Arial"/>
          <w:color w:val="000000"/>
          <w:sz w:val="24"/>
        </w:rPr>
        <w:t>subinciso</w:t>
      </w:r>
      <w:proofErr w:type="spellEnd"/>
      <w:r w:rsidRPr="00E70024">
        <w:rPr>
          <w:rFonts w:cs="Arial"/>
          <w:color w:val="000000"/>
          <w:sz w:val="24"/>
        </w:rPr>
        <w:t xml:space="preserve"> i) del precitado inciso señala que las entidades fiscalizadas quedan obligadas a prestar total colaboración a la Superintendencia.</w:t>
      </w:r>
    </w:p>
    <w:p w14:paraId="3DD9BBA5" w14:textId="77777777" w:rsidR="00256EAD" w:rsidRPr="00E70024" w:rsidRDefault="00256EAD" w:rsidP="00256EAD">
      <w:pPr>
        <w:spacing w:line="240" w:lineRule="auto"/>
        <w:ind w:left="360"/>
        <w:contextualSpacing/>
        <w:rPr>
          <w:sz w:val="24"/>
        </w:rPr>
      </w:pPr>
    </w:p>
    <w:p w14:paraId="650078D0" w14:textId="77777777" w:rsidR="00256EAD" w:rsidRPr="00E70024" w:rsidRDefault="00256EAD" w:rsidP="00256EAD">
      <w:pPr>
        <w:numPr>
          <w:ilvl w:val="0"/>
          <w:numId w:val="4"/>
        </w:numPr>
        <w:spacing w:line="240" w:lineRule="auto"/>
        <w:contextualSpacing/>
        <w:rPr>
          <w:sz w:val="24"/>
        </w:rPr>
      </w:pPr>
      <w:r w:rsidRPr="00E70024">
        <w:rPr>
          <w:sz w:val="24"/>
        </w:rPr>
        <w:t xml:space="preserve">Mediante la Ley N° 9449 del 10 de mayo del 2017, la Asamblea Legislativa decretó la </w:t>
      </w:r>
      <w:r w:rsidRPr="00F3373A">
        <w:rPr>
          <w:iCs/>
          <w:sz w:val="24"/>
        </w:rPr>
        <w:t xml:space="preserve">Reforma de los artículos 15, 15 bis, 16, 81 y adición de los artículos 15 ter y 16 bis a la Ley </w:t>
      </w:r>
      <w:proofErr w:type="spellStart"/>
      <w:r w:rsidRPr="00F3373A">
        <w:rPr>
          <w:iCs/>
          <w:sz w:val="24"/>
        </w:rPr>
        <w:t>N.°</w:t>
      </w:r>
      <w:proofErr w:type="spellEnd"/>
      <w:r w:rsidRPr="00F3373A">
        <w:rPr>
          <w:iCs/>
          <w:sz w:val="24"/>
        </w:rPr>
        <w:t xml:space="preserve"> 7786, Ley sobre estupefacientes, sustancias psicotrópicas, drogas de uso no autorizado, actividades conexas, legitimación de capitales y</w:t>
      </w:r>
      <w:r>
        <w:rPr>
          <w:iCs/>
          <w:sz w:val="24"/>
        </w:rPr>
        <w:t xml:space="preserve"> </w:t>
      </w:r>
      <w:r w:rsidRPr="00F3373A">
        <w:rPr>
          <w:iCs/>
          <w:sz w:val="24"/>
        </w:rPr>
        <w:t>financiamiento al terrorismo</w:t>
      </w:r>
      <w:r w:rsidRPr="00E70024">
        <w:rPr>
          <w:i/>
          <w:sz w:val="24"/>
        </w:rPr>
        <w:t xml:space="preserve">, </w:t>
      </w:r>
      <w:r w:rsidRPr="00F3373A">
        <w:rPr>
          <w:rFonts w:cs="Arial"/>
          <w:color w:val="000000"/>
          <w:sz w:val="24"/>
        </w:rPr>
        <w:t>de 30 de abril de 1998</w:t>
      </w:r>
      <w:r w:rsidRPr="00E70024">
        <w:rPr>
          <w:i/>
          <w:sz w:val="24"/>
        </w:rPr>
        <w:t>”</w:t>
      </w:r>
      <w:r w:rsidRPr="00E70024">
        <w:rPr>
          <w:sz w:val="24"/>
        </w:rPr>
        <w:t>.</w:t>
      </w:r>
    </w:p>
    <w:p w14:paraId="5E27B587" w14:textId="77777777" w:rsidR="00256EAD" w:rsidRPr="00E70024" w:rsidRDefault="00256EAD" w:rsidP="00256EAD">
      <w:pPr>
        <w:spacing w:line="240" w:lineRule="auto"/>
        <w:ind w:left="360"/>
        <w:contextualSpacing/>
        <w:rPr>
          <w:sz w:val="24"/>
        </w:rPr>
      </w:pPr>
    </w:p>
    <w:p w14:paraId="346BE073" w14:textId="77777777" w:rsidR="00256EAD" w:rsidRPr="00E70024" w:rsidRDefault="00256EAD" w:rsidP="00256EAD">
      <w:pPr>
        <w:numPr>
          <w:ilvl w:val="0"/>
          <w:numId w:val="4"/>
        </w:numPr>
        <w:spacing w:line="240" w:lineRule="auto"/>
        <w:contextualSpacing/>
        <w:rPr>
          <w:i/>
          <w:sz w:val="24"/>
        </w:rPr>
      </w:pPr>
      <w:r w:rsidRPr="00E70024">
        <w:rPr>
          <w:sz w:val="24"/>
        </w:rPr>
        <w:t xml:space="preserve">Los artículos 15 y 15 bis de la Ley 7786 disponen que las personas que desempeñen las actividades indicadas en </w:t>
      </w:r>
      <w:r>
        <w:rPr>
          <w:sz w:val="24"/>
        </w:rPr>
        <w:t>esos</w:t>
      </w:r>
      <w:r w:rsidRPr="00E70024">
        <w:rPr>
          <w:sz w:val="24"/>
        </w:rPr>
        <w:t xml:space="preserve"> artículos“…</w:t>
      </w:r>
      <w:r w:rsidRPr="00E70024">
        <w:rPr>
          <w:i/>
          <w:sz w:val="24"/>
        </w:rPr>
        <w:t xml:space="preserve">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w:t>
      </w:r>
      <w:r w:rsidRPr="00E70024">
        <w:rPr>
          <w:i/>
          <w:sz w:val="24"/>
        </w:rPr>
        <w:lastRenderedPageBreak/>
        <w:t>régimen sancionatorio establecido en el artículo 81 de la presente ley, y deberán cumplir con las siguientes obligaciones, además de las que establezca Conassif mediante normativa prudencial de acuerdo con la realidad de cada sector...”.</w:t>
      </w:r>
    </w:p>
    <w:p w14:paraId="298E5E8A" w14:textId="77777777" w:rsidR="00256EAD" w:rsidRPr="00E70024" w:rsidRDefault="00256EAD" w:rsidP="00256EAD">
      <w:pPr>
        <w:pStyle w:val="Prrafodelista"/>
        <w:rPr>
          <w:i/>
          <w:sz w:val="24"/>
        </w:rPr>
      </w:pPr>
    </w:p>
    <w:p w14:paraId="55CDA7E7" w14:textId="77777777" w:rsidR="00256EAD" w:rsidRPr="00E70024" w:rsidRDefault="00256EAD" w:rsidP="00256EAD">
      <w:pPr>
        <w:numPr>
          <w:ilvl w:val="0"/>
          <w:numId w:val="4"/>
        </w:numPr>
        <w:spacing w:line="240" w:lineRule="auto"/>
        <w:contextualSpacing/>
        <w:rPr>
          <w:i/>
          <w:sz w:val="24"/>
        </w:rPr>
      </w:pPr>
      <w:r>
        <w:rPr>
          <w:sz w:val="24"/>
        </w:rPr>
        <w:t>En el artículo 81 de la Ley 7786 se encuentra dispuesto el marco sancionatorio que aplica a los sujetos que realizan las actividades dispuestas en los artículos 15 y 15 bis de la misma Ley.</w:t>
      </w:r>
    </w:p>
    <w:p w14:paraId="4DAF259B" w14:textId="77777777" w:rsidR="00256EAD" w:rsidRPr="00E70024" w:rsidRDefault="00256EAD" w:rsidP="00256EAD">
      <w:pPr>
        <w:pStyle w:val="Prrafodelista"/>
        <w:rPr>
          <w:sz w:val="24"/>
        </w:rPr>
      </w:pPr>
    </w:p>
    <w:p w14:paraId="5342793C" w14:textId="77777777" w:rsidR="00256EAD" w:rsidRPr="005244FC" w:rsidRDefault="00256EAD" w:rsidP="00256EAD">
      <w:pPr>
        <w:pStyle w:val="Prrafodelista"/>
        <w:numPr>
          <w:ilvl w:val="0"/>
          <w:numId w:val="4"/>
        </w:numPr>
        <w:rPr>
          <w:sz w:val="24"/>
        </w:rPr>
      </w:pPr>
      <w:r w:rsidRPr="00E70024">
        <w:rPr>
          <w:sz w:val="24"/>
        </w:rPr>
        <w:t xml:space="preserve">El </w:t>
      </w:r>
      <w:r>
        <w:rPr>
          <w:sz w:val="24"/>
        </w:rPr>
        <w:t>“</w:t>
      </w:r>
      <w:r w:rsidRPr="00E70024">
        <w:rPr>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Pr>
          <w:sz w:val="24"/>
        </w:rPr>
        <w:t>”</w:t>
      </w:r>
      <w:r w:rsidRPr="00E70024">
        <w:rPr>
          <w:sz w:val="24"/>
        </w:rPr>
        <w:t>, Acuerdo SUGEF 11-18, establece en el artículo 14 inciso b) que</w:t>
      </w:r>
      <w:r>
        <w:rPr>
          <w:sz w:val="24"/>
        </w:rPr>
        <w:t>:</w:t>
      </w:r>
      <w:r w:rsidRPr="00E70024">
        <w:rPr>
          <w:sz w:val="24"/>
        </w:rPr>
        <w:t xml:space="preserve"> </w:t>
      </w:r>
      <w:r w:rsidRPr="005244FC">
        <w:rPr>
          <w:i/>
          <w:iCs/>
          <w:sz w:val="24"/>
        </w:rPr>
        <w:t xml:space="preserve">“cuando el sujeto obligado no entregue a la SUGEF cualquier información adicional o aclaratoria que le sea requerida, relacionada con la actividad o actividades por las que fue inscrito, </w:t>
      </w:r>
      <w:r w:rsidRPr="005244FC">
        <w:rPr>
          <w:i/>
          <w:iCs/>
          <w:sz w:val="24"/>
          <w:u w:val="single"/>
        </w:rPr>
        <w:t>en la forma y en los plazos en que la SUGEF, este Reglamento, o el ordenamiento jurídico lo determine</w:t>
      </w:r>
      <w:r w:rsidRPr="005244FC">
        <w:rPr>
          <w:i/>
          <w:iCs/>
          <w:sz w:val="24"/>
        </w:rPr>
        <w:t>”</w:t>
      </w:r>
      <w:r w:rsidRPr="005244FC">
        <w:rPr>
          <w:sz w:val="24"/>
        </w:rPr>
        <w:t xml:space="preserve">, su inscripción podrá ser suspendida. </w:t>
      </w:r>
      <w:r>
        <w:rPr>
          <w:sz w:val="24"/>
        </w:rPr>
        <w:t>(El subrayado no es del original)</w:t>
      </w:r>
    </w:p>
    <w:p w14:paraId="3831C90A" w14:textId="77777777" w:rsidR="00256EAD" w:rsidRPr="00D52F0C" w:rsidRDefault="00256EAD" w:rsidP="00256EAD">
      <w:pPr>
        <w:rPr>
          <w:sz w:val="24"/>
        </w:rPr>
      </w:pPr>
    </w:p>
    <w:p w14:paraId="68FA6118" w14:textId="77777777" w:rsidR="00256EAD" w:rsidRDefault="00256EAD" w:rsidP="00256EAD">
      <w:pPr>
        <w:pStyle w:val="Prrafodelista"/>
        <w:numPr>
          <w:ilvl w:val="0"/>
          <w:numId w:val="4"/>
        </w:numPr>
        <w:rPr>
          <w:sz w:val="24"/>
        </w:rPr>
      </w:pPr>
      <w:r w:rsidRPr="00D52F0C">
        <w:rPr>
          <w:sz w:val="24"/>
        </w:rPr>
        <w:t xml:space="preserve">El 19 de noviembre de 2019 en el Alcance N° 258 de la Gaceta N° 220 se publicó el </w:t>
      </w:r>
      <w:r>
        <w:rPr>
          <w:sz w:val="24"/>
        </w:rPr>
        <w:t>“</w:t>
      </w:r>
      <w:r w:rsidRPr="00D52F0C">
        <w:rPr>
          <w:sz w:val="24"/>
        </w:rPr>
        <w:t>Reglamento para la prevención del riesgo de Legitimación de Capitales, Financiamiento al Terrorismo y Financiamiento de la Proliferación de Armas de Destrucción Masiva, aplicable a los sujetos obligados por los artículos 15 y 15 bis de la Ley 7786</w:t>
      </w:r>
      <w:r>
        <w:rPr>
          <w:sz w:val="24"/>
        </w:rPr>
        <w:t>”</w:t>
      </w:r>
      <w:r w:rsidRPr="00D52F0C">
        <w:rPr>
          <w:sz w:val="24"/>
        </w:rPr>
        <w:t>, Acuerdo SUGEF 13-19.</w:t>
      </w:r>
      <w:r>
        <w:rPr>
          <w:sz w:val="24"/>
        </w:rPr>
        <w:t xml:space="preserve"> Este Reglamento </w:t>
      </w:r>
      <w:proofErr w:type="gramStart"/>
      <w:r>
        <w:rPr>
          <w:sz w:val="24"/>
        </w:rPr>
        <w:t>entró en vigencia</w:t>
      </w:r>
      <w:proofErr w:type="gramEnd"/>
      <w:r>
        <w:rPr>
          <w:sz w:val="24"/>
        </w:rPr>
        <w:t xml:space="preserve"> el 1º de diciembre de 2020.</w:t>
      </w:r>
    </w:p>
    <w:p w14:paraId="686BB51A" w14:textId="77777777" w:rsidR="00256EAD" w:rsidRPr="00D52F0C" w:rsidRDefault="00256EAD" w:rsidP="00256EAD">
      <w:pPr>
        <w:rPr>
          <w:sz w:val="24"/>
        </w:rPr>
      </w:pPr>
    </w:p>
    <w:p w14:paraId="070F890E" w14:textId="77777777" w:rsidR="00256EAD" w:rsidRDefault="00256EAD" w:rsidP="00256EAD">
      <w:pPr>
        <w:pStyle w:val="Prrafodelista"/>
        <w:numPr>
          <w:ilvl w:val="0"/>
          <w:numId w:val="4"/>
        </w:numPr>
        <w:rPr>
          <w:sz w:val="24"/>
        </w:rPr>
      </w:pPr>
      <w:r w:rsidRPr="00D52F0C">
        <w:rPr>
          <w:sz w:val="24"/>
        </w:rPr>
        <w:t xml:space="preserve">El 10 de diciembre de 2019 en el Alcance N° 275 de la Gaceta N° 235 se publicaron los </w:t>
      </w:r>
      <w:r w:rsidRPr="00D52F0C">
        <w:rPr>
          <w:i/>
          <w:iCs/>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D52F0C">
        <w:rPr>
          <w:sz w:val="24"/>
        </w:rPr>
        <w:t>, Acuerdo SUGEF 13-19, en adelante “Lineamientos Generales”.</w:t>
      </w:r>
    </w:p>
    <w:p w14:paraId="7A09930F" w14:textId="77777777" w:rsidR="00256EAD" w:rsidRPr="005244FC" w:rsidRDefault="00256EAD" w:rsidP="00256EAD">
      <w:pPr>
        <w:pStyle w:val="Prrafodelista"/>
        <w:rPr>
          <w:sz w:val="24"/>
        </w:rPr>
      </w:pPr>
    </w:p>
    <w:p w14:paraId="5C5B9065" w14:textId="6B76F135" w:rsidR="00256EAD" w:rsidRDefault="00256EAD" w:rsidP="00256EAD">
      <w:pPr>
        <w:pStyle w:val="Prrafodelista"/>
        <w:numPr>
          <w:ilvl w:val="0"/>
          <w:numId w:val="4"/>
        </w:numPr>
        <w:rPr>
          <w:sz w:val="24"/>
        </w:rPr>
      </w:pPr>
      <w:r>
        <w:rPr>
          <w:sz w:val="24"/>
        </w:rPr>
        <w:t xml:space="preserve">Se han identificado incumplimientos </w:t>
      </w:r>
      <w:r w:rsidR="00B973AF">
        <w:rPr>
          <w:sz w:val="24"/>
        </w:rPr>
        <w:t>básicos</w:t>
      </w:r>
      <w:r>
        <w:rPr>
          <w:sz w:val="24"/>
        </w:rPr>
        <w:t xml:space="preserve"> del marco jurídico correspondiente por parte de los sujetos obligados inscritos por los artículos 15 y 15 Bis de la Ley 7786.</w:t>
      </w:r>
    </w:p>
    <w:p w14:paraId="3FBF6CE6" w14:textId="77777777" w:rsidR="00256EAD" w:rsidRPr="00F3373A" w:rsidRDefault="00256EAD" w:rsidP="00256EAD">
      <w:pPr>
        <w:rPr>
          <w:sz w:val="24"/>
        </w:rPr>
      </w:pPr>
    </w:p>
    <w:p w14:paraId="2DC19736" w14:textId="77777777" w:rsidR="00256EAD" w:rsidRDefault="00256EAD" w:rsidP="00256EAD">
      <w:pPr>
        <w:spacing w:line="240" w:lineRule="auto"/>
        <w:rPr>
          <w:rFonts w:eastAsia="Calibri"/>
          <w:b/>
          <w:sz w:val="24"/>
        </w:rPr>
      </w:pPr>
      <w:r w:rsidRPr="00C057FF">
        <w:rPr>
          <w:rFonts w:eastAsia="Calibri"/>
          <w:b/>
          <w:sz w:val="24"/>
        </w:rPr>
        <w:t>Dispone:</w:t>
      </w:r>
    </w:p>
    <w:p w14:paraId="76D2BC6B" w14:textId="77777777" w:rsidR="00256EAD" w:rsidRDefault="00256EAD" w:rsidP="00256EAD">
      <w:pPr>
        <w:spacing w:line="240" w:lineRule="auto"/>
        <w:rPr>
          <w:rFonts w:eastAsia="Calibri"/>
          <w:b/>
          <w:sz w:val="24"/>
        </w:rPr>
      </w:pPr>
    </w:p>
    <w:p w14:paraId="0D9351DB" w14:textId="67574911" w:rsidR="00256EAD" w:rsidRPr="00917BA8" w:rsidRDefault="00256EAD" w:rsidP="00256EAD">
      <w:pPr>
        <w:spacing w:line="240" w:lineRule="auto"/>
        <w:rPr>
          <w:rFonts w:cs="Arial"/>
          <w:bCs/>
          <w:sz w:val="24"/>
          <w:lang w:val="es-CR"/>
        </w:rPr>
      </w:pPr>
      <w:r>
        <w:rPr>
          <w:rFonts w:eastAsia="Calibri"/>
          <w:bCs/>
          <w:sz w:val="24"/>
        </w:rPr>
        <w:t xml:space="preserve">Informar </w:t>
      </w:r>
      <w:r w:rsidRPr="00950274">
        <w:rPr>
          <w:rFonts w:eastAsia="Calibri"/>
          <w:bCs/>
          <w:sz w:val="24"/>
        </w:rPr>
        <w:t xml:space="preserve">a las personas físicas y jurídicas inscritas por </w:t>
      </w:r>
      <w:r>
        <w:rPr>
          <w:rFonts w:eastAsia="Calibri"/>
          <w:bCs/>
          <w:sz w:val="24"/>
        </w:rPr>
        <w:t>desempeñar las actividades dispuestas en</w:t>
      </w:r>
      <w:r w:rsidRPr="00950274">
        <w:rPr>
          <w:rFonts w:eastAsia="Calibri"/>
          <w:bCs/>
          <w:sz w:val="24"/>
        </w:rPr>
        <w:t xml:space="preserve"> los artículos 15 y 15 bis de la Ley N° 7786, </w:t>
      </w:r>
      <w:r>
        <w:rPr>
          <w:rFonts w:eastAsia="Calibri"/>
          <w:bCs/>
          <w:sz w:val="24"/>
        </w:rPr>
        <w:t xml:space="preserve">categorizadas como Tipo 1, </w:t>
      </w:r>
      <w:r w:rsidRPr="00950274">
        <w:rPr>
          <w:rFonts w:eastAsia="Calibri"/>
          <w:bCs/>
          <w:sz w:val="24"/>
        </w:rPr>
        <w:t>que</w:t>
      </w:r>
      <w:r>
        <w:rPr>
          <w:rFonts w:eastAsia="Calibri"/>
          <w:bCs/>
          <w:sz w:val="24"/>
        </w:rPr>
        <w:t xml:space="preserve"> a partir del segundo semestre del año en curso y durante el año 2022</w:t>
      </w:r>
      <w:r w:rsidRPr="006835C4">
        <w:rPr>
          <w:rFonts w:eastAsia="Calibri"/>
          <w:b/>
          <w:sz w:val="24"/>
        </w:rPr>
        <w:t xml:space="preserve">, </w:t>
      </w:r>
      <w:r w:rsidR="006835C4" w:rsidRPr="006835C4">
        <w:rPr>
          <w:rFonts w:eastAsia="Calibri"/>
          <w:b/>
          <w:sz w:val="24"/>
          <w:u w:val="single"/>
        </w:rPr>
        <w:t>en cualquier momento</w:t>
      </w:r>
      <w:r w:rsidR="006835C4" w:rsidRPr="006835C4">
        <w:rPr>
          <w:rFonts w:eastAsia="Calibri"/>
          <w:b/>
          <w:sz w:val="24"/>
        </w:rPr>
        <w:t xml:space="preserve"> </w:t>
      </w:r>
      <w:r w:rsidRPr="006835C4">
        <w:rPr>
          <w:rFonts w:eastAsia="Calibri"/>
          <w:b/>
          <w:sz w:val="24"/>
        </w:rPr>
        <w:t xml:space="preserve">estarán siendo sujetos de </w:t>
      </w:r>
      <w:r w:rsidRPr="006835C4">
        <w:rPr>
          <w:rFonts w:cs="Arial"/>
          <w:b/>
          <w:sz w:val="24"/>
          <w:lang w:val="es-CR"/>
        </w:rPr>
        <w:t>Supervisión Integral</w:t>
      </w:r>
      <w:r w:rsidRPr="00D23A38">
        <w:rPr>
          <w:rFonts w:cs="Arial"/>
          <w:bCs/>
          <w:sz w:val="24"/>
          <w:lang w:val="es-CR"/>
        </w:rPr>
        <w:t xml:space="preserve"> </w:t>
      </w:r>
      <w:r>
        <w:rPr>
          <w:rFonts w:cs="Arial"/>
          <w:bCs/>
          <w:sz w:val="24"/>
          <w:lang w:val="es-CR"/>
        </w:rPr>
        <w:t>por parte de esta Superintendencia</w:t>
      </w:r>
      <w:r w:rsidR="006835C4">
        <w:rPr>
          <w:rFonts w:cs="Arial"/>
          <w:bCs/>
          <w:sz w:val="24"/>
          <w:lang w:val="es-CR"/>
        </w:rPr>
        <w:t xml:space="preserve">, </w:t>
      </w:r>
      <w:r w:rsidR="006835C4" w:rsidRPr="00D22BCB">
        <w:rPr>
          <w:rFonts w:eastAsia="Calibri"/>
          <w:sz w:val="24"/>
          <w:lang w:val="es-CR" w:eastAsia="es-MX"/>
        </w:rPr>
        <w:t xml:space="preserve">con el objetivo de analizar la gestión </w:t>
      </w:r>
      <w:r w:rsidR="006835C4">
        <w:rPr>
          <w:rFonts w:eastAsia="Calibri"/>
          <w:sz w:val="24"/>
          <w:lang w:val="es-CR" w:eastAsia="es-MX"/>
        </w:rPr>
        <w:t xml:space="preserve">de la prevención </w:t>
      </w:r>
      <w:r w:rsidR="006835C4" w:rsidRPr="00D22BCB">
        <w:rPr>
          <w:rFonts w:eastAsia="Calibri"/>
          <w:sz w:val="24"/>
          <w:lang w:val="es-CR" w:eastAsia="es-MX"/>
        </w:rPr>
        <w:t xml:space="preserve">del riesgo de </w:t>
      </w:r>
      <w:r w:rsidR="006835C4" w:rsidRPr="00D22BCB">
        <w:rPr>
          <w:rFonts w:eastAsia="Calibri"/>
          <w:sz w:val="24"/>
          <w:lang w:val="es-CR" w:eastAsia="es-MX"/>
        </w:rPr>
        <w:lastRenderedPageBreak/>
        <w:t>legitimación de capitales y financiamiento</w:t>
      </w:r>
      <w:r w:rsidR="006835C4">
        <w:rPr>
          <w:rFonts w:eastAsia="Calibri"/>
          <w:sz w:val="24"/>
          <w:lang w:val="es-CR" w:eastAsia="es-MX"/>
        </w:rPr>
        <w:t xml:space="preserve"> del terrorismo </w:t>
      </w:r>
      <w:r w:rsidR="006835C4" w:rsidRPr="00015DE5">
        <w:rPr>
          <w:rFonts w:eastAsia="Calibri"/>
          <w:sz w:val="24"/>
          <w:lang w:val="es-CR" w:eastAsia="es-MX"/>
        </w:rPr>
        <w:t xml:space="preserve">y </w:t>
      </w:r>
      <w:r w:rsidR="006835C4">
        <w:rPr>
          <w:rFonts w:eastAsia="Calibri"/>
          <w:sz w:val="24"/>
          <w:lang w:val="es-CR" w:eastAsia="es-MX"/>
        </w:rPr>
        <w:t>el cumplimiento normativo de la</w:t>
      </w:r>
      <w:r w:rsidR="006835C4" w:rsidRPr="00015DE5">
        <w:rPr>
          <w:rFonts w:eastAsia="Calibri"/>
          <w:sz w:val="24"/>
          <w:lang w:val="es-CR" w:eastAsia="es-MX"/>
        </w:rPr>
        <w:t xml:space="preserve"> entidad</w:t>
      </w:r>
      <w:r w:rsidRPr="00360735">
        <w:rPr>
          <w:rFonts w:cs="Arial"/>
          <w:bCs/>
          <w:sz w:val="24"/>
          <w:lang w:val="es-CR"/>
        </w:rPr>
        <w:t xml:space="preserve">. A la vez se continúa con los </w:t>
      </w:r>
      <w:r w:rsidRPr="005244FC">
        <w:rPr>
          <w:bCs/>
          <w:iCs/>
          <w:sz w:val="24"/>
        </w:rPr>
        <w:t>procesos de monitoreo y análisis y el seguimiento de planes de acción de supervisiones anteriores.</w:t>
      </w:r>
    </w:p>
    <w:p w14:paraId="67B7F122" w14:textId="77777777" w:rsidR="00256EAD" w:rsidRDefault="00256EAD" w:rsidP="00256EAD">
      <w:pPr>
        <w:spacing w:line="240" w:lineRule="auto"/>
        <w:rPr>
          <w:rFonts w:cs="Arial"/>
          <w:bCs/>
          <w:sz w:val="24"/>
          <w:lang w:val="es-CR"/>
        </w:rPr>
      </w:pPr>
    </w:p>
    <w:p w14:paraId="67462F70" w14:textId="77777777" w:rsidR="006835C4" w:rsidRDefault="00256EAD" w:rsidP="00256EAD">
      <w:pPr>
        <w:spacing w:line="240" w:lineRule="auto"/>
        <w:rPr>
          <w:sz w:val="24"/>
        </w:rPr>
      </w:pPr>
      <w:r>
        <w:rPr>
          <w:rFonts w:cs="Arial"/>
          <w:bCs/>
          <w:sz w:val="24"/>
          <w:lang w:val="es-CR"/>
        </w:rPr>
        <w:t xml:space="preserve">Al respecto, el sujeto obligado debe asegurarse desde ya el cumplimiento de los mandatos reglamentarios </w:t>
      </w:r>
      <w:r>
        <w:rPr>
          <w:sz w:val="24"/>
        </w:rPr>
        <w:t xml:space="preserve">y sus respectivos </w:t>
      </w:r>
      <w:r w:rsidRPr="00D22BCB">
        <w:rPr>
          <w:sz w:val="24"/>
        </w:rPr>
        <w:t>Lineamientos Generales</w:t>
      </w:r>
      <w:r>
        <w:rPr>
          <w:sz w:val="24"/>
        </w:rPr>
        <w:t xml:space="preserve">.   </w:t>
      </w:r>
    </w:p>
    <w:p w14:paraId="57A41554" w14:textId="77777777" w:rsidR="006835C4" w:rsidRDefault="006835C4" w:rsidP="00256EAD">
      <w:pPr>
        <w:spacing w:line="240" w:lineRule="auto"/>
        <w:rPr>
          <w:sz w:val="24"/>
        </w:rPr>
      </w:pPr>
    </w:p>
    <w:p w14:paraId="53B33B58" w14:textId="75CE467E" w:rsidR="00256EAD" w:rsidRPr="005244FC" w:rsidRDefault="00256EAD" w:rsidP="00256EAD">
      <w:pPr>
        <w:spacing w:line="240" w:lineRule="auto"/>
        <w:rPr>
          <w:rFonts w:eastAsia="Calibri"/>
          <w:sz w:val="24"/>
        </w:rPr>
      </w:pPr>
      <w:r w:rsidRPr="006835C4">
        <w:rPr>
          <w:rFonts w:eastAsia="Calibri"/>
          <w:b/>
          <w:sz w:val="24"/>
        </w:rPr>
        <w:t xml:space="preserve">Se advierte, que ante el incumplimiento de la normativa vigente en materia de </w:t>
      </w:r>
      <w:r w:rsidRPr="006835C4">
        <w:rPr>
          <w:b/>
          <w:sz w:val="24"/>
        </w:rPr>
        <w:t>prevención del riesgo de Legitimación de Capitales, Financiamiento al Terrorismo y Financiamiento de la Proliferación de Armas de Destrucción Masiva, esta Superintendencia estará ejecutando las potestades de suspensión de la inscripción así como</w:t>
      </w:r>
      <w:r w:rsidRPr="006835C4">
        <w:rPr>
          <w:rFonts w:eastAsia="Calibri"/>
          <w:b/>
          <w:sz w:val="24"/>
        </w:rPr>
        <w:t xml:space="preserve"> de las sanciones establecidas </w:t>
      </w:r>
      <w:r w:rsidRPr="006835C4">
        <w:rPr>
          <w:b/>
          <w:sz w:val="24"/>
        </w:rPr>
        <w:t>en el artículo 81 de la Ley sobre estupefacientes, sustancias psicotrópicas, drogas de uso no autorizado, actividades conexas, legitimación de capitales y financiamiento al terrorismo, Ley 7786 y normativa conexa</w:t>
      </w:r>
      <w:r w:rsidRPr="005244FC">
        <w:rPr>
          <w:sz w:val="24"/>
        </w:rPr>
        <w:t xml:space="preserve">.  </w:t>
      </w:r>
    </w:p>
    <w:p w14:paraId="1DF86E9F" w14:textId="77777777" w:rsidR="00256EAD" w:rsidRDefault="00256EAD" w:rsidP="00256EAD">
      <w:pPr>
        <w:spacing w:line="240" w:lineRule="auto"/>
        <w:rPr>
          <w:sz w:val="24"/>
        </w:rPr>
      </w:pPr>
    </w:p>
    <w:p w14:paraId="5EB88075" w14:textId="77777777" w:rsidR="00256EAD" w:rsidRDefault="00256EAD" w:rsidP="00256EAD">
      <w:pPr>
        <w:spacing w:line="240" w:lineRule="auto"/>
        <w:ind w:left="993" w:hanging="993"/>
        <w:rPr>
          <w:rFonts w:cs="Arial"/>
          <w:bCs/>
          <w:sz w:val="24"/>
          <w:lang w:val="es-CR"/>
        </w:rPr>
      </w:pPr>
    </w:p>
    <w:p w14:paraId="107BB412" w14:textId="1B04B6D6" w:rsidR="00256EAD" w:rsidRPr="00FA5116" w:rsidRDefault="00256EAD" w:rsidP="00256EAD">
      <w:pPr>
        <w:pStyle w:val="Texto"/>
        <w:widowControl w:val="0"/>
        <w:spacing w:before="0" w:after="240" w:line="240" w:lineRule="auto"/>
        <w:rPr>
          <w:sz w:val="24"/>
        </w:rPr>
      </w:pPr>
      <w:r w:rsidRPr="00FA5116">
        <w:rPr>
          <w:sz w:val="24"/>
        </w:rPr>
        <w:t>Atentamente,</w:t>
      </w:r>
    </w:p>
    <w:p w14:paraId="74B7CE82" w14:textId="1EE6F8F3" w:rsidR="00256EAD" w:rsidRPr="00FA5116" w:rsidRDefault="006835C4" w:rsidP="00256EAD">
      <w:pPr>
        <w:widowControl w:val="0"/>
        <w:spacing w:after="240" w:line="240" w:lineRule="auto"/>
        <w:rPr>
          <w:sz w:val="24"/>
        </w:rPr>
      </w:pPr>
      <w:r w:rsidRPr="00FA5116">
        <w:rPr>
          <w:noProof/>
          <w:sz w:val="24"/>
          <w:lang w:val="es-CR" w:eastAsia="es-CR"/>
        </w:rPr>
        <w:drawing>
          <wp:anchor distT="0" distB="0" distL="114300" distR="114300" simplePos="0" relativeHeight="251659264" behindDoc="1" locked="0" layoutInCell="1" allowOverlap="1" wp14:anchorId="73F1931C" wp14:editId="603C8427">
            <wp:simplePos x="0" y="0"/>
            <wp:positionH relativeFrom="column">
              <wp:posOffset>-59055</wp:posOffset>
            </wp:positionH>
            <wp:positionV relativeFrom="paragraph">
              <wp:posOffset>43815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A7A455D" w14:textId="77777777" w:rsidR="00256EAD" w:rsidRDefault="00256EAD" w:rsidP="00256EAD">
      <w:pPr>
        <w:jc w:val="left"/>
        <w:rPr>
          <w:sz w:val="24"/>
        </w:rPr>
      </w:pPr>
    </w:p>
    <w:p w14:paraId="4FC3EF9A" w14:textId="77777777" w:rsidR="00256EAD" w:rsidRPr="00FA5116" w:rsidRDefault="00256EAD" w:rsidP="00256EAD">
      <w:pPr>
        <w:jc w:val="left"/>
        <w:rPr>
          <w:sz w:val="24"/>
        </w:rPr>
      </w:pPr>
      <w:r>
        <w:rPr>
          <w:sz w:val="24"/>
        </w:rPr>
        <w:t>José Armando Fallas Martínez</w:t>
      </w:r>
      <w:r w:rsidRPr="00FA5116">
        <w:rPr>
          <w:sz w:val="24"/>
        </w:rPr>
        <w:br/>
      </w:r>
      <w:r>
        <w:rPr>
          <w:b/>
          <w:bCs/>
          <w:sz w:val="24"/>
        </w:rPr>
        <w:t>I</w:t>
      </w:r>
      <w:r w:rsidRPr="00FA5116">
        <w:rPr>
          <w:b/>
          <w:bCs/>
          <w:sz w:val="24"/>
        </w:rPr>
        <w:t>ntendente General</w:t>
      </w:r>
    </w:p>
    <w:p w14:paraId="2ACBD996" w14:textId="0573506E" w:rsidR="00256EAD" w:rsidRDefault="00256EAD" w:rsidP="00256EAD">
      <w:pPr>
        <w:pStyle w:val="CC"/>
        <w:widowControl w:val="0"/>
        <w:spacing w:after="240" w:line="240" w:lineRule="auto"/>
        <w:rPr>
          <w:b/>
          <w:bCs/>
          <w:sz w:val="20"/>
          <w:szCs w:val="20"/>
        </w:rPr>
      </w:pPr>
    </w:p>
    <w:p w14:paraId="33E13ACB" w14:textId="62994560" w:rsidR="006835C4" w:rsidRDefault="006835C4" w:rsidP="00256EAD">
      <w:pPr>
        <w:pStyle w:val="CC"/>
        <w:widowControl w:val="0"/>
        <w:spacing w:after="240" w:line="240" w:lineRule="auto"/>
        <w:rPr>
          <w:b/>
          <w:bCs/>
          <w:sz w:val="20"/>
          <w:szCs w:val="20"/>
        </w:rPr>
      </w:pPr>
    </w:p>
    <w:p w14:paraId="696725E2" w14:textId="77777777" w:rsidR="00256EAD" w:rsidRPr="005244FC" w:rsidRDefault="00256EAD" w:rsidP="00256EAD">
      <w:pPr>
        <w:pStyle w:val="CC"/>
        <w:widowControl w:val="0"/>
        <w:spacing w:after="240" w:line="240" w:lineRule="auto"/>
        <w:rPr>
          <w:sz w:val="16"/>
          <w:szCs w:val="16"/>
        </w:rPr>
      </w:pPr>
      <w:r w:rsidRPr="005244FC">
        <w:rPr>
          <w:sz w:val="16"/>
          <w:szCs w:val="16"/>
        </w:rPr>
        <w:t>RCA/GAM/AICA/JSC</w:t>
      </w:r>
    </w:p>
    <w:p w14:paraId="35253980" w14:textId="77777777" w:rsidR="00256EAD" w:rsidRPr="00436C42" w:rsidRDefault="00256EAD" w:rsidP="00256EAD">
      <w:pPr>
        <w:spacing w:line="240" w:lineRule="auto"/>
        <w:ind w:left="993" w:hanging="993"/>
        <w:rPr>
          <w:rFonts w:cs="Arial"/>
          <w:bCs/>
          <w:sz w:val="24"/>
        </w:rPr>
      </w:pPr>
    </w:p>
    <w:p w14:paraId="701BBAA4" w14:textId="77777777" w:rsidR="00256EAD" w:rsidRDefault="00256EAD" w:rsidP="00256EAD">
      <w:pPr>
        <w:spacing w:line="240" w:lineRule="auto"/>
        <w:ind w:left="993" w:hanging="993"/>
        <w:rPr>
          <w:rFonts w:cs="Arial"/>
          <w:bCs/>
          <w:sz w:val="24"/>
          <w:lang w:val="es-CR"/>
        </w:rPr>
      </w:pPr>
    </w:p>
    <w:p w14:paraId="72D408EE" w14:textId="77777777" w:rsidR="00256EAD" w:rsidRPr="003F44A3" w:rsidRDefault="00256EAD" w:rsidP="00256EAD">
      <w:pPr>
        <w:rPr>
          <w:lang w:val="es-CR"/>
        </w:rPr>
      </w:pPr>
    </w:p>
    <w:p w14:paraId="4B678D45" w14:textId="77777777" w:rsidR="006972C9" w:rsidRPr="006972C9" w:rsidRDefault="006972C9" w:rsidP="006972C9"/>
    <w:p w14:paraId="5EA35ED1" w14:textId="77777777" w:rsidR="006972C9" w:rsidRPr="006972C9" w:rsidRDefault="006972C9" w:rsidP="006972C9"/>
    <w:p w14:paraId="3C794E18" w14:textId="77777777" w:rsidR="006972C9" w:rsidRPr="006972C9" w:rsidRDefault="006972C9" w:rsidP="006972C9"/>
    <w:p w14:paraId="14B5C437" w14:textId="77777777" w:rsidR="006972C9" w:rsidRDefault="006972C9" w:rsidP="006972C9"/>
    <w:p w14:paraId="1C352F20" w14:textId="77777777" w:rsidR="00AF06C5" w:rsidRPr="006972C9" w:rsidRDefault="006972C9" w:rsidP="006972C9">
      <w:pPr>
        <w:tabs>
          <w:tab w:val="left" w:pos="7187"/>
        </w:tabs>
      </w:pPr>
      <w:r>
        <w:tab/>
      </w:r>
    </w:p>
    <w:sectPr w:rsidR="00AF06C5" w:rsidRPr="006972C9">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45C3B" w14:textId="77777777" w:rsidR="00256EAD" w:rsidRDefault="00256EAD" w:rsidP="009349F3">
      <w:pPr>
        <w:spacing w:line="240" w:lineRule="auto"/>
      </w:pPr>
      <w:r>
        <w:separator/>
      </w:r>
    </w:p>
  </w:endnote>
  <w:endnote w:type="continuationSeparator" w:id="0">
    <w:p w14:paraId="53D2893F" w14:textId="77777777" w:rsidR="00256EAD" w:rsidRDefault="00256EA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57F5F" w14:textId="77777777" w:rsidR="001B6D55" w:rsidRDefault="001B6D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2DCF9B79" w14:textId="77777777" w:rsidTr="00BA2E27">
      <w:tc>
        <w:tcPr>
          <w:tcW w:w="2942" w:type="dxa"/>
        </w:tcPr>
        <w:p w14:paraId="5AD3AB33" w14:textId="77777777" w:rsidR="00DA2424" w:rsidRDefault="00DA2424" w:rsidP="00DA2424">
          <w:pPr>
            <w:pStyle w:val="Piedepgina"/>
            <w:rPr>
              <w:b/>
              <w:color w:val="7F7F7F" w:themeColor="text1" w:themeTint="80"/>
              <w:sz w:val="16"/>
              <w:szCs w:val="16"/>
            </w:rPr>
          </w:pPr>
          <w:r>
            <w:rPr>
              <w:b/>
              <w:color w:val="7F7F7F" w:themeColor="text1" w:themeTint="80"/>
              <w:sz w:val="16"/>
              <w:szCs w:val="16"/>
            </w:rPr>
            <w:t>Teléfono: (506) 2243-4848</w:t>
          </w:r>
        </w:p>
        <w:p w14:paraId="055BA038" w14:textId="77777777" w:rsidR="00DA2424" w:rsidRDefault="00DA2424" w:rsidP="00DA2424">
          <w:pPr>
            <w:pStyle w:val="Piedepgina"/>
            <w:rPr>
              <w:b/>
              <w:color w:val="7F7F7F" w:themeColor="text1" w:themeTint="80"/>
              <w:sz w:val="16"/>
              <w:szCs w:val="16"/>
            </w:rPr>
          </w:pPr>
          <w:r>
            <w:rPr>
              <w:b/>
              <w:color w:val="7F7F7F" w:themeColor="text1" w:themeTint="80"/>
              <w:sz w:val="16"/>
              <w:szCs w:val="16"/>
            </w:rPr>
            <w:t>Facsímile: (506) 2243-4849</w:t>
          </w:r>
        </w:p>
        <w:p w14:paraId="271E2BE8" w14:textId="77777777" w:rsidR="00517D62" w:rsidRPr="009349F3" w:rsidRDefault="00517D62" w:rsidP="00DA2424">
          <w:pPr>
            <w:pStyle w:val="Piedepgina"/>
            <w:rPr>
              <w:b/>
              <w:color w:val="7F7F7F" w:themeColor="text1" w:themeTint="80"/>
              <w:sz w:val="16"/>
              <w:szCs w:val="16"/>
            </w:rPr>
          </w:pPr>
        </w:p>
      </w:tc>
      <w:tc>
        <w:tcPr>
          <w:tcW w:w="2943" w:type="dxa"/>
        </w:tcPr>
        <w:p w14:paraId="4B873986"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1DB6A625"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03109277"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14:paraId="108C4C4D"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74DF" w14:textId="77777777" w:rsidR="001B6D55" w:rsidRDefault="001B6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C4E26" w14:textId="77777777" w:rsidR="00256EAD" w:rsidRDefault="00256EAD" w:rsidP="009349F3">
      <w:pPr>
        <w:spacing w:line="240" w:lineRule="auto"/>
      </w:pPr>
      <w:r>
        <w:separator/>
      </w:r>
    </w:p>
  </w:footnote>
  <w:footnote w:type="continuationSeparator" w:id="0">
    <w:p w14:paraId="66FF9117" w14:textId="77777777" w:rsidR="00256EAD" w:rsidRDefault="00256EA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70EB" w14:textId="77777777" w:rsidR="001B6D55" w:rsidRDefault="001B6D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265D" w14:textId="77777777" w:rsidR="009349F3" w:rsidRDefault="009349F3">
    <w:pPr>
      <w:pStyle w:val="Encabezado"/>
    </w:pPr>
    <w:r>
      <w:ptab w:relativeTo="margin" w:alignment="center" w:leader="none"/>
    </w:r>
    <w:r>
      <w:rPr>
        <w:noProof/>
        <w:lang w:val="es-CR" w:eastAsia="es-CR"/>
      </w:rPr>
      <w:drawing>
        <wp:inline distT="0" distB="0" distL="0" distR="0" wp14:anchorId="6632E9BF" wp14:editId="4A3E2C3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A128" w14:textId="77777777" w:rsidR="001B6D55" w:rsidRDefault="001B6D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6657"/>
    <w:multiLevelType w:val="hybridMultilevel"/>
    <w:tmpl w:val="AC70ED9A"/>
    <w:lvl w:ilvl="0" w:tplc="140A0009">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D55051A"/>
    <w:multiLevelType w:val="hybridMultilevel"/>
    <w:tmpl w:val="A7981AB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A130361"/>
    <w:multiLevelType w:val="hybridMultilevel"/>
    <w:tmpl w:val="618A71F8"/>
    <w:lvl w:ilvl="0" w:tplc="CED45AB2">
      <w:start w:val="1"/>
      <w:numFmt w:val="decimal"/>
      <w:lvlText w:val="%1."/>
      <w:lvlJc w:val="left"/>
      <w:pPr>
        <w:ind w:left="360" w:hanging="360"/>
      </w:pPr>
      <w:rPr>
        <w:b w:val="0"/>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AD"/>
    <w:rsid w:val="001B6D55"/>
    <w:rsid w:val="00256EAD"/>
    <w:rsid w:val="002B02F1"/>
    <w:rsid w:val="002D6ACD"/>
    <w:rsid w:val="00322C6D"/>
    <w:rsid w:val="00326EE5"/>
    <w:rsid w:val="0033173A"/>
    <w:rsid w:val="003F0C64"/>
    <w:rsid w:val="00517D62"/>
    <w:rsid w:val="005F7C14"/>
    <w:rsid w:val="0066384E"/>
    <w:rsid w:val="006835C4"/>
    <w:rsid w:val="006972C9"/>
    <w:rsid w:val="006B5A99"/>
    <w:rsid w:val="008200B7"/>
    <w:rsid w:val="00852F96"/>
    <w:rsid w:val="00855792"/>
    <w:rsid w:val="00900B79"/>
    <w:rsid w:val="0093137D"/>
    <w:rsid w:val="009349F3"/>
    <w:rsid w:val="00AF06C5"/>
    <w:rsid w:val="00B973AF"/>
    <w:rsid w:val="00C0389C"/>
    <w:rsid w:val="00C9308D"/>
    <w:rsid w:val="00CF5CA1"/>
    <w:rsid w:val="00DA2424"/>
    <w:rsid w:val="00DD2EBF"/>
    <w:rsid w:val="00DE2D06"/>
    <w:rsid w:val="00ED4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073F8"/>
  <w15:chartTrackingRefBased/>
  <w15:docId w15:val="{5BC12068-4E9B-4DE7-9479-16516EE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uiPriority w:val="34"/>
    <w:qFormat/>
    <w:rsid w:val="00256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C76D2B583040998CE57E36C610B0E3"/>
        <w:category>
          <w:name w:val="General"/>
          <w:gallery w:val="placeholder"/>
        </w:category>
        <w:types>
          <w:type w:val="bbPlcHdr"/>
        </w:types>
        <w:behaviors>
          <w:behavior w:val="content"/>
        </w:behaviors>
        <w:guid w:val="{8198E7F9-73F8-4481-968A-0DA4B13AA57D}"/>
      </w:docPartPr>
      <w:docPartBody>
        <w:p w:rsidR="00514F4A" w:rsidRDefault="00514F4A">
          <w:pPr>
            <w:pStyle w:val="73C76D2B583040998CE57E36C610B0E3"/>
          </w:pPr>
          <w:r w:rsidRPr="001E0779">
            <w:rPr>
              <w:rStyle w:val="Textodelmarcadordeposicin"/>
            </w:rPr>
            <w:t>Haga clic aquí para escribir texto.</w:t>
          </w:r>
        </w:p>
      </w:docPartBody>
    </w:docPart>
    <w:docPart>
      <w:docPartPr>
        <w:name w:val="17CA514F6AE44AAD80C2B63A790D16B2"/>
        <w:category>
          <w:name w:val="General"/>
          <w:gallery w:val="placeholder"/>
        </w:category>
        <w:types>
          <w:type w:val="bbPlcHdr"/>
        </w:types>
        <w:behaviors>
          <w:behavior w:val="content"/>
        </w:behaviors>
        <w:guid w:val="{ED41B279-A946-4D0E-9A6A-EE0B73794014}"/>
      </w:docPartPr>
      <w:docPartBody>
        <w:p w:rsidR="00514F4A" w:rsidRDefault="00514F4A">
          <w:pPr>
            <w:pStyle w:val="17CA514F6AE44AAD80C2B63A790D16B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4A"/>
    <w:rsid w:val="00514F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3C76D2B583040998CE57E36C610B0E3">
    <w:name w:val="73C76D2B583040998CE57E36C610B0E3"/>
  </w:style>
  <w:style w:type="paragraph" w:customStyle="1" w:styleId="17CA514F6AE44AAD80C2B63A790D16B2">
    <w:name w:val="17CA514F6AE44AAD80C2B63A790D1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bmVeTHaAc4qAnhPJHuSs5EID+2JSJTjBu/mMnxoSE5Q=</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iuVFmFFy/zqZiyulBTRR+PhUf6+f5XFA/nidvh84BZc=</DigestValue>
    </Reference>
  </SignedInfo>
  <SignatureValue>pSMAJNtzdpgnfAvfI78tBuMlrGQCW8SenbBSDQFquJuzo8j+t84/7OJGtDBDWHFQrqQNPajx7HvP
GwPmkHwhMKkI+E4DwnBZ7OuqJh160my/sDnyXz8KnUnGasFdFBo1UUjELZoL2Z4ZZU6d9iOqI1YC
3PH8pApjnWFl8ay7LgwrqKQXrBwR5kCQijEyMGN6fiLeE2ofEl+cou7MTQKASTe1GQ2p/YhG6IEU
ubvImlLz8IuHaX8ZOuVMv43S/Tkgo8cFrq/QIVpDFJAhedGAo68lFcLKTrGZ1AciOE/pCsJQuEWC
niJXwI55tbLF9qJ1DAvuQj6BO7rzTeJRYWqLIQ==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RRqzOaziUEidpOtWWGqeDOo1NH6kcUXbObKeOvKxzis=</DigestValue>
      </Reference>
      <Reference URI="/word/endnotes.xml?ContentType=application/vnd.openxmlformats-officedocument.wordprocessingml.endnotes+xml">
        <DigestMethod Algorithm="http://www.w3.org/2001/04/xmlenc#sha256"/>
        <DigestValue>y9MJmXYybP40AY3AN88xY5NpzwkYpBTsMvEJJ8l9ix8=</DigestValue>
      </Reference>
      <Reference URI="/word/fontTable.xml?ContentType=application/vnd.openxmlformats-officedocument.wordprocessingml.fontTable+xml">
        <DigestMethod Algorithm="http://www.w3.org/2001/04/xmlenc#sha256"/>
        <DigestValue>vH6kgkrkzBEbc930gWXEXX+pJlTkToxAjxWSownMTrI=</DigestValue>
      </Reference>
      <Reference URI="/word/footer1.xml?ContentType=application/vnd.openxmlformats-officedocument.wordprocessingml.footer+xml">
        <DigestMethod Algorithm="http://www.w3.org/2001/04/xmlenc#sha256"/>
        <DigestValue>xi9fRTI5HdwrQHJiZiP2yDP/5hPzJN744kAWADVJEYU=</DigestValue>
      </Reference>
      <Reference URI="/word/footer2.xml?ContentType=application/vnd.openxmlformats-officedocument.wordprocessingml.footer+xml">
        <DigestMethod Algorithm="http://www.w3.org/2001/04/xmlenc#sha256"/>
        <DigestValue>absUFDImWTKjD2pDoIEyrcBBh21rbruqGHnCIKsbcHA=</DigestValue>
      </Reference>
      <Reference URI="/word/footer3.xml?ContentType=application/vnd.openxmlformats-officedocument.wordprocessingml.footer+xml">
        <DigestMethod Algorithm="http://www.w3.org/2001/04/xmlenc#sha256"/>
        <DigestValue>o+YqCNHvxMPxnikjYF0Yh+b0scgalDW3+QYaq1LjMhU=</DigestValue>
      </Reference>
      <Reference URI="/word/footnotes.xml?ContentType=application/vnd.openxmlformats-officedocument.wordprocessingml.footnotes+xml">
        <DigestMethod Algorithm="http://www.w3.org/2001/04/xmlenc#sha256"/>
        <DigestValue>CR3NHozM+OapE3Q3FbXRaqW5SmDeIXaskm3j2P9VMqs=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Zd5wouoKz5Ktz0PpIpPBb62fNMQ2lLi/dV2uFRuco6c=</DigestValue>
      </Reference>
      <Reference URI="/word/glossary/fontTable.xml?ContentType=application/vnd.openxmlformats-officedocument.wordprocessingml.fontTable+xml">
        <DigestMethod Algorithm="http://www.w3.org/2001/04/xmlenc#sha256"/>
        <DigestValue>vH6kgkrkzBEbc930gWXEXX+pJlTkToxAjxWSownMTrI=</DigestValue>
      </Reference>
      <Reference URI="/word/glossary/settings.xml?ContentType=application/vnd.openxmlformats-officedocument.wordprocessingml.settings+xml">
        <DigestMethod Algorithm="http://www.w3.org/2001/04/xmlenc#sha256"/>
        <DigestValue>qMZVIS2lvKkI1r7tjK+ZZrn20+69WKnOEg/MPWX2rr8=</DigestValue>
      </Reference>
      <Reference URI="/word/glossary/styles.xml?ContentType=application/vnd.openxmlformats-officedocument.wordprocessingml.styles+xml">
        <DigestMethod Algorithm="http://www.w3.org/2001/04/xmlenc#sha256"/>
        <DigestValue>2YduQvOYHQJvwSF/QMrr96kujr6AN3xzPytHzt9JRLo=</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tSC8AOM/Exko2+5kbxp3ZalTDBCESsQUiTwz0T+txTc=</DigestValue>
      </Reference>
      <Reference URI="/word/header2.xml?ContentType=application/vnd.openxmlformats-officedocument.wordprocessingml.header+xml">
        <DigestMethod Algorithm="http://www.w3.org/2001/04/xmlenc#sha256"/>
        <DigestValue>x1dkYXlWC6yVlOQm+BejIzVobBJwyQzG882+Pp3+grI=</DigestValue>
      </Reference>
      <Reference URI="/word/header3.xml?ContentType=application/vnd.openxmlformats-officedocument.wordprocessingml.header+xml">
        <DigestMethod Algorithm="http://www.w3.org/2001/04/xmlenc#sha256"/>
        <DigestValue>Qmeg611HPtHlRhcsgzJ6fGA7k2ZnkbWWA6VbNkCVqws=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7SZ2timXoLfAYxvpx7rhngWmqNuIwkLI9xavuHPjyVM=</DigestValue>
      </Reference>
      <Reference URI="/word/settings.xml?ContentType=application/vnd.openxmlformats-officedocument.wordprocessingml.settings+xml">
        <DigestMethod Algorithm="http://www.w3.org/2001/04/xmlenc#sha256"/>
        <DigestValue>73CEuh0KAHl+ye/j8XMl32K3aZcEs2SviWr+wiB1l6E=</DigestValue>
      </Reference>
      <Reference URI="/word/styles.xml?ContentType=application/vnd.openxmlformats-officedocument.wordprocessingml.styles+xml">
        <DigestMethod Algorithm="http://www.w3.org/2001/04/xmlenc#sha256"/>
        <DigestValue>GNkYuVHwXFBVyAKY1hPrvtbU9goK1mE9mazIF7FEh4M=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2021-08-10T20:17:35Z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2021-08-10T20:17:35Z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6R1eLDMsPS/BDx9jPXXLimmuTASRPon71YBYj9f8DcCBAxrD7AYDzIwMjEwODEwMjAxNz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ngwy9/b7kW8iKVwMMA3VhvuwEuk=</xd:ByKey>
                  </xd:ResponderID>
                  <xd:ProducedAt>2021-08-10T20:17:33Z</xd:ProducedAt>
                </xd:OCSPIdentifier>
                <xd:DigestAlgAndValue>
                  <DigestMethod Algorithm="http://www.w3.org/2001/04/xmlenc#sha256"/>
                  <DigestValue>V4TYR45V6IkZZ87YIOU9Sffknp17a2PUi4MNbthM01Q=</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Tzthji7hrMWA1h21BM3VdNtoSRcyKU9G1fq37ImDrgCBAxrD7QYDzIwMjEwODEwMjAxNz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 xsi:nil="true"/>
    <Firmado xmlns="b875e23b-67d9-4b2e-bdec-edacbf90b326">true</Firmado>
    <Responsable xmlns="b875e23b-67d9-4b2e-bdec-edacbf90b326">
      <UserInfo>
        <DisplayName>SANCHEZ CALDERON JEISON ALEJANDRO</DisplayName>
        <AccountId>2439</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i:0#.w|pdc-atlantida\cespedesbj</DisplayName>
        <AccountId>914</AccountId>
        <AccountType/>
      </UserInfo>
      <UserInfo>
        <DisplayName>i:0#.w|pdc-atlantida\sanchezce</DisplayName>
        <AccountId>2439</AccountId>
        <AccountType/>
      </UserInfo>
      <UserInfo>
        <DisplayName>i:0#.w|pdc-atlantida\brenesvi</DisplayName>
        <AccountId>2457</AccountId>
        <AccountType/>
      </UserInfo>
      <UserInfo>
        <DisplayName>i:0#.w|pdc-atlantida\delgadoos</DisplayName>
        <AccountId>2025</AccountId>
        <AccountType/>
      </UserInfo>
      <UserInfo>
        <DisplayName>i:0#.w|pdc-atlantida\soleraqc</DisplayName>
        <AccountId>842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Supervisiòn Integral SO Tipo 1</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2021-08-06T06:00:00+00:00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Supervisión Integral SO Tipo 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AC9C9A9-AD50-4CB8-925C-DEDCFA882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3.xml><?xml version="1.0" encoding="utf-8"?>
<ds:datastoreItem xmlns:ds="http://schemas.openxmlformats.org/officeDocument/2006/customXml" ds:itemID="{F52E0985-DE71-47CB-A111-7E2E42C66926}">
  <ds:schemaRefs>
    <ds:schemaRef ds:uri="http://purl.org/dc/dcmitype/"/>
    <ds:schemaRef ds:uri="http://schemas.microsoft.com/office/2006/metadata/properties"/>
    <ds:schemaRef ds:uri="http://purl.org/dc/terms/"/>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875e23b-67d9-4b2e-bdec-edacbf90b326"/>
  </ds:schemaRefs>
</ds:datastoreItem>
</file>

<file path=customXml/itemProps4.xml><?xml version="1.0" encoding="utf-8"?>
<ds:datastoreItem xmlns:ds="http://schemas.openxmlformats.org/officeDocument/2006/customXml" ds:itemID="{BCF3AFE8-21BD-48B9-8AFC-C5BCC032E0CE}">
  <ds:schemaRefs>
    <ds:schemaRef ds:uri="office.server.policy"/>
  </ds:schemaRefs>
</ds:datastoreItem>
</file>

<file path=customXml/itemProps5.xml><?xml version="1.0" encoding="utf-8"?>
<ds:datastoreItem xmlns:ds="http://schemas.openxmlformats.org/officeDocument/2006/customXml" ds:itemID="{922C185D-D93B-4B76-90D7-F63E616D2CD4}">
  <ds:schemaRefs>
    <ds:schemaRef ds:uri="http://schemas.microsoft.com/sharepoint/events"/>
  </ds:schemaRefs>
</ds:datastoreItem>
</file>

<file path=customXml/itemProps6.xml><?xml version="1.0" encoding="utf-8"?>
<ds:datastoreItem xmlns:ds="http://schemas.openxmlformats.org/officeDocument/2006/customXml" ds:itemID="{61E6A2EE-3D23-4293-B732-1BD13C0D0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15</TotalTime>
  <Pages>3</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CALDERON JEISON ALEJANDRO</dc:creator>
  <cp:keywords/>
  <dc:description/>
  <cp:lastModifiedBy>FALLAS MARTINEZ JOSE ARMANDO</cp:lastModifiedBy>
  <cp:revision>6</cp:revision>
  <dcterms:created xsi:type="dcterms:W3CDTF">2021-08-06T16:03:00Z</dcterms:created>
  <dcterms:modified xsi:type="dcterms:W3CDTF">2021-08-10T20:17:00Z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100800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58129e4d-2a7c-4442-ab86-f4288b01d5ff,4;7dedacbb-5c77-4a35-8847-40abd1245d4d,8;</vt:lpwstr>
  </property>
</Properties>
</file>