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014B9" w:rsidR="003554C5" w:rsidP="006C53CF" w:rsidRDefault="00FD4FB8" w14:paraId="58C35043" w14:textId="2A55AFDB">
      <w:pPr>
        <w:pStyle w:val="Texto0"/>
        <w:spacing w:before="0" w:after="0" w:line="240" w:lineRule="auto"/>
        <w:rPr>
          <w:sz w:val="24"/>
        </w:rPr>
      </w:pPr>
      <w:r>
        <w:rPr>
          <w:sz w:val="24"/>
        </w:rPr>
        <w:t>31</w:t>
      </w:r>
      <w:r w:rsidRPr="008014B9" w:rsidR="003554C5">
        <w:rPr>
          <w:sz w:val="24"/>
        </w:rPr>
        <w:t xml:space="preserve"> de </w:t>
      </w:r>
      <w:r>
        <w:rPr>
          <w:sz w:val="24"/>
        </w:rPr>
        <w:t>mayo</w:t>
      </w:r>
      <w:r w:rsidRPr="008014B9" w:rsidR="003554C5">
        <w:rPr>
          <w:sz w:val="24"/>
        </w:rPr>
        <w:t xml:space="preserve"> de </w:t>
      </w:r>
      <w:r>
        <w:rPr>
          <w:sz w:val="24"/>
        </w:rPr>
        <w:t>2018</w:t>
      </w:r>
    </w:p>
    <w:sdt>
      <w:sdtPr>
        <w:rPr>
          <w:sz w:val="24"/>
        </w:rPr>
        <w:alias w:val="Consecutivo"/>
        <w:tag w:val="Consecutivo"/>
        <w:id w:val="-2000112463"/>
        <w:placeholder>
          <w:docPart w:val="329A63F1B7CB4D13853392BA3E5EA197"/>
        </w:placeholder>
        <w:text/>
      </w:sdtPr>
      <w:sdtEndPr/>
      <w:sdtContent>
        <w:p w:rsidR="00412618" w:rsidP="006C53CF" w:rsidRDefault="00B94E50" w14:paraId="57EB008A" w14:textId="77777777">
          <w:pPr>
            <w:tabs>
              <w:tab w:val="left" w:pos="2843"/>
            </w:tabs>
            <w:spacing w:line="240" w:lineRule="auto"/>
            <w:rPr>
              <w:sz w:val="24"/>
            </w:rPr>
          </w:pPr>
          <w:r>
            <w:t>SGF-1645-2018</w:t>
          </w:r>
        </w:p>
      </w:sdtContent>
    </w:sdt>
    <w:p w:rsidR="002C7E41" w:rsidP="006C53CF" w:rsidRDefault="00FD4FB8" w14:paraId="6D80A50B" w14:textId="77777777">
      <w:pPr>
        <w:tabs>
          <w:tab w:val="left" w:pos="2843"/>
        </w:tabs>
        <w:spacing w:line="240" w:lineRule="auto"/>
        <w:rPr>
          <w:sz w:val="24"/>
        </w:rPr>
      </w:pPr>
      <w:sdt>
        <w:sdtPr>
          <w:rPr>
            <w:sz w:val="24"/>
          </w:rPr>
          <w:alias w:val="Confidencialidad"/>
          <w:tag w:val="Confidencialidad"/>
          <w:id w:val="1447896894"/>
          <w:placeholder>
            <w:docPart w:val="20CAF77B8ADC403582E7F60033CC3D4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9C4F6B">
            <w:rPr>
              <w:sz w:val="24"/>
            </w:rPr>
            <w:t>SGF-PUBLICO</w:t>
          </w:r>
        </w:sdtContent>
      </w:sdt>
    </w:p>
    <w:p w:rsidRPr="008014B9" w:rsidR="003554C5" w:rsidP="006C53CF" w:rsidRDefault="008F1461" w14:paraId="7B487AF2" w14:textId="77777777">
      <w:pPr>
        <w:tabs>
          <w:tab w:val="left" w:pos="2843"/>
        </w:tabs>
        <w:spacing w:line="240" w:lineRule="auto"/>
        <w:rPr>
          <w:sz w:val="24"/>
        </w:rPr>
      </w:pPr>
      <w:r w:rsidRPr="008014B9">
        <w:rPr>
          <w:sz w:val="24"/>
        </w:rPr>
        <w:tab/>
      </w:r>
    </w:p>
    <w:p w:rsidRPr="002E2B0A" w:rsidR="00F54288" w:rsidP="00F54288" w:rsidRDefault="00F54288" w14:paraId="21D4B9F5" w14:textId="77777777">
      <w:pPr>
        <w:pStyle w:val="Texto0"/>
        <w:spacing w:before="0" w:after="0" w:line="240" w:lineRule="auto"/>
        <w:rPr>
          <w:sz w:val="24"/>
        </w:rPr>
      </w:pPr>
    </w:p>
    <w:p w:rsidR="00F54288" w:rsidP="00F54288" w:rsidRDefault="00F54288" w14:paraId="78EE9ECD" w14:textId="77777777">
      <w:pPr>
        <w:tabs>
          <w:tab w:val="left" w:pos="2843"/>
        </w:tabs>
        <w:spacing w:line="240" w:lineRule="auto"/>
        <w:rPr>
          <w:b/>
          <w:sz w:val="28"/>
          <w:szCs w:val="28"/>
        </w:rPr>
      </w:pPr>
      <w:r w:rsidRPr="002E2B0A">
        <w:rPr>
          <w:sz w:val="24"/>
        </w:rPr>
        <w:tab/>
      </w:r>
      <w:r w:rsidRPr="005E5F7A">
        <w:rPr>
          <w:b/>
          <w:sz w:val="28"/>
          <w:szCs w:val="28"/>
        </w:rPr>
        <w:t>CIRCULAR EXTERNA</w:t>
      </w:r>
    </w:p>
    <w:p w:rsidRPr="005E5F7A" w:rsidR="00F54288" w:rsidP="00F54288" w:rsidRDefault="00F54288" w14:paraId="754F2484" w14:textId="77777777">
      <w:pPr>
        <w:tabs>
          <w:tab w:val="left" w:pos="2843"/>
        </w:tabs>
        <w:spacing w:line="240" w:lineRule="auto"/>
        <w:rPr>
          <w:b/>
          <w:sz w:val="28"/>
          <w:szCs w:val="28"/>
        </w:rPr>
      </w:pPr>
    </w:p>
    <w:p w:rsidRPr="00412D43" w:rsidR="00F54288" w:rsidP="00F54288" w:rsidRDefault="00F54288" w14:paraId="7838DA81" w14:textId="77777777">
      <w:pPr>
        <w:jc w:val="center"/>
        <w:rPr>
          <w:b/>
          <w:sz w:val="28"/>
          <w:szCs w:val="28"/>
        </w:rPr>
      </w:pPr>
      <w:r w:rsidRPr="00412D43">
        <w:rPr>
          <w:b/>
          <w:sz w:val="28"/>
          <w:szCs w:val="28"/>
        </w:rPr>
        <w:t xml:space="preserve">A TODAS LAS ENTIDADES </w:t>
      </w:r>
      <w:r>
        <w:rPr>
          <w:b/>
          <w:sz w:val="28"/>
          <w:szCs w:val="28"/>
        </w:rPr>
        <w:t xml:space="preserve">FINANCIERAS </w:t>
      </w:r>
      <w:r w:rsidR="00D8778B">
        <w:rPr>
          <w:b/>
          <w:sz w:val="28"/>
          <w:szCs w:val="28"/>
        </w:rPr>
        <w:t>SUPERVISADAS POR</w:t>
      </w:r>
      <w:r w:rsidRPr="00412D43">
        <w:rPr>
          <w:b/>
          <w:sz w:val="28"/>
          <w:szCs w:val="28"/>
        </w:rPr>
        <w:t xml:space="preserve"> LA SUPERINTENDENCIA GENERAL DE ENTIDADES FINANCIERAS,</w:t>
      </w:r>
    </w:p>
    <w:p w:rsidRPr="00412D43" w:rsidR="00F54288" w:rsidP="00F54288" w:rsidRDefault="00F54288" w14:paraId="38237F20" w14:textId="77777777">
      <w:pPr>
        <w:rPr>
          <w:sz w:val="24"/>
        </w:rPr>
      </w:pPr>
    </w:p>
    <w:p w:rsidRPr="00412D43" w:rsidR="00F54288" w:rsidP="00F54288" w:rsidRDefault="00F54288" w14:paraId="44D0B6A2" w14:textId="77777777">
      <w:pPr>
        <w:spacing w:line="240" w:lineRule="auto"/>
        <w:rPr>
          <w:bCs/>
          <w:sz w:val="24"/>
        </w:rPr>
      </w:pPr>
      <w:r w:rsidRPr="00412D43">
        <w:rPr>
          <w:b/>
          <w:bCs/>
          <w:sz w:val="24"/>
        </w:rPr>
        <w:t>Asunto</w:t>
      </w:r>
      <w:r w:rsidRPr="00412D43">
        <w:rPr>
          <w:bCs/>
          <w:sz w:val="24"/>
        </w:rPr>
        <w:t xml:space="preserve">: </w:t>
      </w:r>
      <w:r>
        <w:rPr>
          <w:bCs/>
          <w:sz w:val="24"/>
        </w:rPr>
        <w:t>Nuevo XML de Riesgo Operativo</w:t>
      </w:r>
      <w:r w:rsidRPr="00412D43">
        <w:rPr>
          <w:bCs/>
          <w:sz w:val="24"/>
        </w:rPr>
        <w:t>.</w:t>
      </w:r>
    </w:p>
    <w:p w:rsidRPr="00412D43" w:rsidR="00F54288" w:rsidP="00F54288" w:rsidRDefault="00F54288" w14:paraId="15FB2DAF" w14:textId="77777777">
      <w:pPr>
        <w:rPr>
          <w:sz w:val="24"/>
        </w:rPr>
      </w:pPr>
    </w:p>
    <w:p w:rsidRPr="00412D43" w:rsidR="00F54288" w:rsidP="00F54288" w:rsidRDefault="00F54288" w14:paraId="60145B54" w14:textId="77777777">
      <w:pPr>
        <w:rPr>
          <w:b/>
          <w:sz w:val="24"/>
        </w:rPr>
      </w:pPr>
      <w:r w:rsidRPr="00412D43">
        <w:rPr>
          <w:b/>
          <w:sz w:val="24"/>
        </w:rPr>
        <w:t>Considerando,</w:t>
      </w:r>
    </w:p>
    <w:p w:rsidRPr="00412D43" w:rsidR="00F54288" w:rsidP="00F54288" w:rsidRDefault="00F54288" w14:paraId="08008DAB" w14:textId="77777777">
      <w:pPr>
        <w:spacing w:line="240" w:lineRule="auto"/>
        <w:ind w:left="720"/>
        <w:contextualSpacing/>
        <w:jc w:val="left"/>
        <w:rPr>
          <w:rFonts w:eastAsia="MS Mincho"/>
          <w:sz w:val="24"/>
          <w:lang w:eastAsia="es-ES"/>
        </w:rPr>
      </w:pPr>
    </w:p>
    <w:p w:rsidRPr="00D92EE9" w:rsidR="00F54288" w:rsidP="00F54288" w:rsidRDefault="00F54288" w14:paraId="18479F08" w14:textId="77777777">
      <w:pPr>
        <w:numPr>
          <w:ilvl w:val="0"/>
          <w:numId w:val="13"/>
        </w:numPr>
        <w:spacing w:line="240" w:lineRule="auto"/>
        <w:contextualSpacing/>
        <w:rPr>
          <w:rFonts w:eastAsia="MS Mincho"/>
          <w:iCs/>
          <w:color w:val="000000" w:themeColor="text1"/>
          <w:sz w:val="24"/>
          <w:lang w:eastAsia="es-ES"/>
        </w:rPr>
      </w:pPr>
      <w:r w:rsidRPr="00374124">
        <w:rPr>
          <w:rFonts w:eastAsia="MS Mincho"/>
          <w:iCs/>
          <w:color w:val="000000" w:themeColor="text1"/>
          <w:sz w:val="24"/>
          <w:lang w:eastAsia="es-ES"/>
        </w:rPr>
        <w:t>De conformidad con el inciso c), del artículo 131 de la Ley Orgánica del Banco Central de Costa Rica, Ley 7558, el Superintendente General de Entidades Financieras propuso al Consejo Nacional de Supervisión del Sistema Financiero (CONASSIF), el Acuerdo SUGEF 18-16 “Reglamento sobre Gestión del Riesgo Operativo”, el cual establece los requerimientos mínimos que deben observar las entidades supervisadas en la gestión del riesgo operativo</w:t>
      </w:r>
      <w:r>
        <w:rPr>
          <w:rFonts w:eastAsia="MS Mincho"/>
          <w:iCs/>
          <w:color w:val="000000" w:themeColor="text1"/>
          <w:sz w:val="24"/>
          <w:lang w:eastAsia="es-ES"/>
        </w:rPr>
        <w:t>;</w:t>
      </w:r>
      <w:r w:rsidRPr="00D92EE9">
        <w:rPr>
          <w:rFonts w:eastAsia="MS Mincho"/>
          <w:iCs/>
          <w:color w:val="000000" w:themeColor="text1"/>
          <w:sz w:val="24"/>
          <w:lang w:eastAsia="es-ES"/>
        </w:rPr>
        <w:t xml:space="preserve"> </w:t>
      </w:r>
      <w:r>
        <w:rPr>
          <w:rFonts w:eastAsia="MS Mincho"/>
          <w:iCs/>
          <w:color w:val="000000" w:themeColor="text1"/>
          <w:sz w:val="24"/>
          <w:lang w:eastAsia="es-ES"/>
        </w:rPr>
        <w:t xml:space="preserve">Este acuerdo </w:t>
      </w:r>
      <w:r w:rsidRPr="00D92EE9">
        <w:rPr>
          <w:rFonts w:eastAsia="MS Mincho"/>
          <w:iCs/>
          <w:color w:val="000000" w:themeColor="text1"/>
          <w:sz w:val="24"/>
          <w:lang w:eastAsia="es-ES"/>
        </w:rPr>
        <w:t xml:space="preserve">fue </w:t>
      </w:r>
      <w:r>
        <w:rPr>
          <w:rFonts w:eastAsia="MS Mincho"/>
          <w:iCs/>
          <w:color w:val="000000" w:themeColor="text1"/>
          <w:sz w:val="24"/>
          <w:lang w:eastAsia="es-ES"/>
        </w:rPr>
        <w:t>aprobado</w:t>
      </w:r>
      <w:r w:rsidRPr="00D92EE9">
        <w:rPr>
          <w:rFonts w:eastAsia="MS Mincho"/>
          <w:iCs/>
          <w:color w:val="000000" w:themeColor="text1"/>
          <w:sz w:val="24"/>
          <w:lang w:eastAsia="es-ES"/>
        </w:rPr>
        <w:t xml:space="preserve"> por el CONASSIF, mediante artículo 5 del acta de la sesión 1242-2016, celebrada el 5 de abril del 2016 </w:t>
      </w:r>
      <w:r>
        <w:rPr>
          <w:rFonts w:eastAsia="MS Mincho"/>
          <w:iCs/>
          <w:color w:val="000000" w:themeColor="text1"/>
          <w:sz w:val="24"/>
          <w:lang w:eastAsia="es-ES"/>
        </w:rPr>
        <w:t>.</w:t>
      </w:r>
    </w:p>
    <w:p w:rsidRPr="00D92EE9" w:rsidR="00F54288" w:rsidP="00F54288" w:rsidRDefault="00F54288" w14:paraId="0EACBB71" w14:textId="77777777">
      <w:pPr>
        <w:spacing w:line="240" w:lineRule="auto"/>
        <w:ind w:left="720"/>
        <w:contextualSpacing/>
        <w:rPr>
          <w:rFonts w:eastAsia="MS Mincho"/>
          <w:iCs/>
          <w:color w:val="000000" w:themeColor="text1"/>
          <w:sz w:val="24"/>
          <w:lang w:eastAsia="es-ES"/>
        </w:rPr>
      </w:pPr>
    </w:p>
    <w:p w:rsidRPr="009E22A0" w:rsidR="00F54288" w:rsidP="00F54288" w:rsidRDefault="00F54288" w14:paraId="139FA71C" w14:textId="77777777">
      <w:pPr>
        <w:numPr>
          <w:ilvl w:val="0"/>
          <w:numId w:val="13"/>
        </w:numPr>
        <w:spacing w:line="240" w:lineRule="auto"/>
        <w:contextualSpacing/>
        <w:rPr>
          <w:rFonts w:eastAsia="MS Mincho"/>
          <w:iCs/>
          <w:color w:val="000000" w:themeColor="text1"/>
          <w:sz w:val="24"/>
          <w:lang w:eastAsia="es-ES"/>
        </w:rPr>
      </w:pPr>
      <w:r w:rsidRPr="009E22A0">
        <w:rPr>
          <w:rFonts w:eastAsia="MS Mincho"/>
          <w:iCs/>
          <w:color w:val="000000" w:themeColor="text1"/>
          <w:sz w:val="24"/>
          <w:lang w:eastAsia="es-ES"/>
        </w:rPr>
        <w:t xml:space="preserve">El artículo 14 del acuerdo SUGEF 18-16 establece que “La entidad debe conformar una base de datos para incidencias y una base de datos para eventos potenciales. Ambas bases deben contener, al menos, la información que establezca el Superintendente mediante Lineamientos Generales (…)” </w:t>
      </w:r>
    </w:p>
    <w:p w:rsidR="00F54288" w:rsidP="00F54288" w:rsidRDefault="00F54288" w14:paraId="6EDA9477" w14:textId="77777777">
      <w:pPr>
        <w:pStyle w:val="Prrafodelista"/>
        <w:rPr>
          <w:sz w:val="23"/>
          <w:szCs w:val="23"/>
        </w:rPr>
      </w:pPr>
    </w:p>
    <w:p w:rsidRPr="009E22A0" w:rsidR="00F54288" w:rsidP="00F54288" w:rsidRDefault="00F54288" w14:paraId="527E9B61" w14:textId="77777777">
      <w:pPr>
        <w:numPr>
          <w:ilvl w:val="0"/>
          <w:numId w:val="13"/>
        </w:numPr>
        <w:spacing w:line="240" w:lineRule="auto"/>
        <w:contextualSpacing/>
        <w:rPr>
          <w:rFonts w:eastAsia="MS Mincho"/>
          <w:iCs/>
          <w:color w:val="000000" w:themeColor="text1"/>
          <w:sz w:val="24"/>
          <w:lang w:eastAsia="es-ES"/>
        </w:rPr>
      </w:pPr>
      <w:r w:rsidRPr="009E22A0">
        <w:rPr>
          <w:rFonts w:eastAsia="MS Mincho"/>
          <w:iCs/>
          <w:color w:val="000000" w:themeColor="text1"/>
          <w:sz w:val="24"/>
          <w:lang w:eastAsia="es-ES"/>
        </w:rPr>
        <w:t>El artículo 19 del acuerdo SUGEF 18-16 establece que “La entidad debe remitir anualmente, por el medio y en el plazo</w:t>
      </w:r>
      <w:bookmarkStart w:name="_GoBack" w:id="0"/>
      <w:bookmarkEnd w:id="0"/>
      <w:r w:rsidRPr="009E22A0">
        <w:rPr>
          <w:rFonts w:eastAsia="MS Mincho"/>
          <w:iCs/>
          <w:color w:val="000000" w:themeColor="text1"/>
          <w:sz w:val="24"/>
          <w:lang w:eastAsia="es-ES"/>
        </w:rPr>
        <w:t xml:space="preserve"> que defina la SUGEF en el Manual de Información-SICVECA, los datos sobre incidencias y eventos potenciales contenidos en las respectivas bases de datos a que hace mención este reglamento en el artículo 14”.</w:t>
      </w:r>
    </w:p>
    <w:p w:rsidR="00F54288" w:rsidP="00F54288" w:rsidRDefault="00F54288" w14:paraId="5E1BC5B5" w14:textId="77777777">
      <w:pPr>
        <w:pStyle w:val="Prrafodelista"/>
        <w:rPr>
          <w:sz w:val="23"/>
          <w:szCs w:val="23"/>
        </w:rPr>
      </w:pPr>
    </w:p>
    <w:p w:rsidRPr="009E22A0" w:rsidR="00F54288" w:rsidP="00F54288" w:rsidRDefault="00F54288" w14:paraId="6A7C990D" w14:textId="77777777">
      <w:pPr>
        <w:numPr>
          <w:ilvl w:val="0"/>
          <w:numId w:val="13"/>
        </w:numPr>
        <w:spacing w:line="240" w:lineRule="auto"/>
        <w:contextualSpacing/>
        <w:rPr>
          <w:rFonts w:eastAsia="MS Mincho"/>
          <w:iCs/>
          <w:color w:val="000000" w:themeColor="text1"/>
          <w:sz w:val="24"/>
          <w:lang w:eastAsia="es-ES"/>
        </w:rPr>
      </w:pPr>
      <w:r w:rsidRPr="009E22A0">
        <w:rPr>
          <w:rFonts w:eastAsia="MS Mincho"/>
          <w:iCs/>
          <w:color w:val="000000" w:themeColor="text1"/>
          <w:sz w:val="24"/>
          <w:lang w:eastAsia="es-ES"/>
        </w:rPr>
        <w:t>El transitorio 2 del acuerdo SUGEF 18-16 indica que las entidades cuentan con dieciocho meses, contados a partir de la entrada en vigencia de dicho reglamento para poner en funcionamiento las bases de datos de incidencias y de los eventos potenciales de riesgo operativo y que la primera remisión de los datos de las bases de datos, será un año posterior a su puesta en funcionamiento.</w:t>
      </w:r>
    </w:p>
    <w:p w:rsidR="00F54288" w:rsidP="00F54288" w:rsidRDefault="00F54288" w14:paraId="490881EE" w14:textId="77777777">
      <w:pPr>
        <w:pStyle w:val="Prrafodelista"/>
        <w:rPr>
          <w:sz w:val="23"/>
          <w:szCs w:val="23"/>
        </w:rPr>
      </w:pPr>
    </w:p>
    <w:p w:rsidR="00FD4FB8" w:rsidP="00F54288" w:rsidRDefault="00FD4FB8" w14:paraId="2F8ED20B" w14:textId="77777777">
      <w:pPr>
        <w:pStyle w:val="Prrafodelista"/>
        <w:rPr>
          <w:sz w:val="23"/>
          <w:szCs w:val="23"/>
        </w:rPr>
      </w:pPr>
    </w:p>
    <w:p w:rsidRPr="009E22A0" w:rsidR="00F54288" w:rsidP="00F54288" w:rsidRDefault="00F54288" w14:paraId="666D6B1D" w14:textId="77777777">
      <w:pPr>
        <w:numPr>
          <w:ilvl w:val="0"/>
          <w:numId w:val="13"/>
        </w:numPr>
        <w:spacing w:line="240" w:lineRule="auto"/>
        <w:contextualSpacing/>
        <w:rPr>
          <w:rFonts w:eastAsia="MS Mincho"/>
          <w:iCs/>
          <w:color w:val="000000" w:themeColor="text1"/>
          <w:sz w:val="24"/>
          <w:lang w:eastAsia="es-ES"/>
        </w:rPr>
      </w:pPr>
      <w:r>
        <w:rPr>
          <w:rFonts w:eastAsia="MS Mincho"/>
          <w:iCs/>
          <w:color w:val="000000" w:themeColor="text1"/>
          <w:sz w:val="24"/>
          <w:lang w:eastAsia="es-ES"/>
        </w:rPr>
        <w:t xml:space="preserve">Para el cumplimiento de lo citado en el </w:t>
      </w:r>
      <w:r w:rsidR="00D8778B">
        <w:rPr>
          <w:rFonts w:eastAsia="MS Mincho"/>
          <w:iCs/>
          <w:color w:val="000000" w:themeColor="text1"/>
          <w:sz w:val="24"/>
          <w:lang w:eastAsia="es-ES"/>
        </w:rPr>
        <w:t xml:space="preserve">artículo 19 del </w:t>
      </w:r>
      <w:r>
        <w:rPr>
          <w:rFonts w:eastAsia="MS Mincho"/>
          <w:iCs/>
          <w:color w:val="000000" w:themeColor="text1"/>
          <w:sz w:val="24"/>
          <w:lang w:eastAsia="es-ES"/>
        </w:rPr>
        <w:t>acuerdo</w:t>
      </w:r>
      <w:r w:rsidR="00D8778B">
        <w:rPr>
          <w:rFonts w:eastAsia="MS Mincho"/>
          <w:iCs/>
          <w:color w:val="000000" w:themeColor="text1"/>
          <w:sz w:val="24"/>
          <w:lang w:eastAsia="es-ES"/>
        </w:rPr>
        <w:t xml:space="preserve"> </w:t>
      </w:r>
      <w:r w:rsidRPr="009E22A0" w:rsidR="00D8778B">
        <w:rPr>
          <w:rFonts w:eastAsia="MS Mincho"/>
          <w:iCs/>
          <w:color w:val="000000" w:themeColor="text1"/>
          <w:sz w:val="24"/>
          <w:lang w:eastAsia="es-ES"/>
        </w:rPr>
        <w:t>SUGEF 18-16</w:t>
      </w:r>
      <w:r>
        <w:rPr>
          <w:rFonts w:eastAsia="MS Mincho"/>
          <w:iCs/>
          <w:color w:val="000000" w:themeColor="text1"/>
          <w:sz w:val="24"/>
          <w:lang w:eastAsia="es-ES"/>
        </w:rPr>
        <w:t xml:space="preserve">, </w:t>
      </w:r>
      <w:r w:rsidR="00D8778B">
        <w:rPr>
          <w:rFonts w:eastAsia="MS Mincho"/>
          <w:iCs/>
          <w:color w:val="000000" w:themeColor="text1"/>
          <w:sz w:val="24"/>
          <w:lang w:eastAsia="es-ES"/>
        </w:rPr>
        <w:t xml:space="preserve">esta </w:t>
      </w:r>
      <w:r w:rsidRPr="009E22A0">
        <w:rPr>
          <w:rFonts w:eastAsia="MS Mincho"/>
          <w:iCs/>
          <w:color w:val="000000" w:themeColor="text1"/>
          <w:sz w:val="24"/>
          <w:lang w:eastAsia="es-ES"/>
        </w:rPr>
        <w:t xml:space="preserve">Superintendencia ha </w:t>
      </w:r>
      <w:r>
        <w:rPr>
          <w:rFonts w:eastAsia="MS Mincho"/>
          <w:iCs/>
          <w:color w:val="000000" w:themeColor="text1"/>
          <w:sz w:val="24"/>
          <w:lang w:eastAsia="es-ES"/>
        </w:rPr>
        <w:t xml:space="preserve">diseñado </w:t>
      </w:r>
      <w:r w:rsidRPr="009E22A0">
        <w:rPr>
          <w:rFonts w:eastAsia="MS Mincho"/>
          <w:iCs/>
          <w:color w:val="000000" w:themeColor="text1"/>
          <w:sz w:val="24"/>
          <w:lang w:eastAsia="es-ES"/>
        </w:rPr>
        <w:t xml:space="preserve">el XML de Riesgo Operativo con el propósito de </w:t>
      </w:r>
      <w:r w:rsidR="00D8778B">
        <w:rPr>
          <w:rFonts w:eastAsia="MS Mincho"/>
          <w:iCs/>
          <w:color w:val="000000" w:themeColor="text1"/>
          <w:sz w:val="24"/>
          <w:lang w:eastAsia="es-ES"/>
        </w:rPr>
        <w:t xml:space="preserve">que las entidades remitan la información en el plazo </w:t>
      </w:r>
      <w:r w:rsidRPr="009E22A0">
        <w:rPr>
          <w:rFonts w:eastAsia="MS Mincho"/>
          <w:iCs/>
          <w:color w:val="000000" w:themeColor="text1"/>
          <w:sz w:val="24"/>
          <w:lang w:eastAsia="es-ES"/>
        </w:rPr>
        <w:t xml:space="preserve">establecido en el </w:t>
      </w:r>
      <w:r w:rsidRPr="009E22A0" w:rsidR="00D8778B">
        <w:rPr>
          <w:rFonts w:eastAsia="MS Mincho"/>
          <w:iCs/>
          <w:color w:val="000000" w:themeColor="text1"/>
          <w:sz w:val="24"/>
          <w:lang w:eastAsia="es-ES"/>
        </w:rPr>
        <w:t xml:space="preserve">transitorio 2 del acuerdo </w:t>
      </w:r>
      <w:r w:rsidR="00D8778B">
        <w:rPr>
          <w:rFonts w:eastAsia="MS Mincho"/>
          <w:iCs/>
          <w:color w:val="000000" w:themeColor="text1"/>
          <w:sz w:val="24"/>
          <w:lang w:eastAsia="es-ES"/>
        </w:rPr>
        <w:t>citado</w:t>
      </w:r>
      <w:r w:rsidRPr="009E22A0">
        <w:rPr>
          <w:rFonts w:eastAsia="MS Mincho"/>
          <w:iCs/>
          <w:color w:val="000000" w:themeColor="text1"/>
          <w:sz w:val="24"/>
          <w:lang w:eastAsia="es-ES"/>
        </w:rPr>
        <w:t>.</w:t>
      </w:r>
    </w:p>
    <w:p w:rsidRPr="00412D43" w:rsidR="00F54288" w:rsidP="00F54288" w:rsidRDefault="00F54288" w14:paraId="0EB327B5" w14:textId="77777777">
      <w:pPr>
        <w:spacing w:line="240" w:lineRule="auto"/>
        <w:ind w:left="720"/>
        <w:contextualSpacing/>
        <w:rPr>
          <w:rFonts w:eastAsia="Calibri"/>
          <w:color w:val="181818"/>
          <w:sz w:val="24"/>
          <w:lang w:val="es-CR"/>
        </w:rPr>
      </w:pPr>
    </w:p>
    <w:p w:rsidRPr="00FD4FB8" w:rsidR="00F54288" w:rsidP="00F54288" w:rsidRDefault="00F54288" w14:paraId="0A06FB03" w14:textId="77777777">
      <w:pPr>
        <w:outlineLvl w:val="0"/>
        <w:rPr>
          <w:b/>
          <w:sz w:val="24"/>
          <w:szCs w:val="28"/>
        </w:rPr>
      </w:pPr>
      <w:r w:rsidRPr="00FD4FB8">
        <w:rPr>
          <w:b/>
          <w:sz w:val="24"/>
          <w:szCs w:val="28"/>
        </w:rPr>
        <w:t>Dispone:</w:t>
      </w:r>
    </w:p>
    <w:p w:rsidRPr="00412D43" w:rsidR="00F54288" w:rsidP="00F54288" w:rsidRDefault="00F54288" w14:paraId="48D854AB" w14:textId="77777777">
      <w:pPr>
        <w:rPr>
          <w:iCs/>
        </w:rPr>
      </w:pPr>
    </w:p>
    <w:p w:rsidRPr="000231C3" w:rsidR="00F54288" w:rsidP="00F54288" w:rsidRDefault="00F54288" w14:paraId="2E34EEE7" w14:textId="77777777">
      <w:pPr>
        <w:numPr>
          <w:ilvl w:val="0"/>
          <w:numId w:val="13"/>
        </w:numPr>
        <w:spacing w:line="240" w:lineRule="auto"/>
        <w:contextualSpacing/>
        <w:rPr>
          <w:rFonts w:eastAsia="MS Mincho"/>
          <w:iCs/>
          <w:color w:val="000000" w:themeColor="text1"/>
          <w:sz w:val="24"/>
          <w:lang w:eastAsia="es-ES"/>
        </w:rPr>
      </w:pPr>
      <w:r>
        <w:rPr>
          <w:rFonts w:eastAsia="MS Mincho"/>
          <w:iCs/>
          <w:color w:val="000000" w:themeColor="text1"/>
          <w:sz w:val="24"/>
          <w:lang w:eastAsia="es-ES"/>
        </w:rPr>
        <w:lastRenderedPageBreak/>
        <w:t xml:space="preserve">Comunicar a las entidades supervisadas, la publicación de los documentos denominados </w:t>
      </w:r>
      <w:r w:rsidRPr="000057DB">
        <w:rPr>
          <w:rFonts w:eastAsia="Calibri"/>
          <w:color w:val="000000" w:themeColor="text1"/>
          <w:sz w:val="24"/>
          <w:lang w:val="es-CR"/>
        </w:rPr>
        <w:t xml:space="preserve">Línea Base 1.0 de la Clase de Datos </w:t>
      </w:r>
      <w:r>
        <w:rPr>
          <w:rFonts w:eastAsia="Calibri"/>
          <w:color w:val="000000" w:themeColor="text1"/>
          <w:sz w:val="24"/>
          <w:lang w:val="es-CR"/>
        </w:rPr>
        <w:t xml:space="preserve">Riesgo Operativo </w:t>
      </w:r>
      <w:r w:rsidRPr="000057DB">
        <w:rPr>
          <w:rFonts w:eastAsia="Calibri"/>
          <w:color w:val="000000" w:themeColor="text1"/>
          <w:sz w:val="24"/>
          <w:lang w:val="es-CR"/>
        </w:rPr>
        <w:t>y las tablas</w:t>
      </w:r>
      <w:r>
        <w:rPr>
          <w:rFonts w:eastAsia="Calibri"/>
          <w:color w:val="000000" w:themeColor="text1"/>
          <w:sz w:val="24"/>
          <w:lang w:val="es-CR"/>
        </w:rPr>
        <w:t xml:space="preserve"> asociadas</w:t>
      </w:r>
      <w:r>
        <w:rPr>
          <w:rFonts w:eastAsia="MS Mincho"/>
          <w:iCs/>
          <w:color w:val="000000" w:themeColor="text1"/>
          <w:sz w:val="24"/>
          <w:lang w:eastAsia="es-ES"/>
        </w:rPr>
        <w:t>, a partir del 31 de mayo del 2018</w:t>
      </w:r>
      <w:r w:rsidRPr="00412D43">
        <w:rPr>
          <w:rFonts w:eastAsia="Calibri"/>
          <w:color w:val="000000" w:themeColor="text1"/>
          <w:sz w:val="24"/>
          <w:lang w:val="es-CR"/>
        </w:rPr>
        <w:t>, en el apartado Manuales/</w:t>
      </w:r>
      <w:r>
        <w:rPr>
          <w:rFonts w:eastAsia="Calibri"/>
          <w:color w:val="000000" w:themeColor="text1"/>
          <w:sz w:val="24"/>
          <w:lang w:val="es-CR"/>
        </w:rPr>
        <w:t xml:space="preserve">Manuales de información </w:t>
      </w:r>
      <w:r w:rsidRPr="00412D43">
        <w:rPr>
          <w:rFonts w:eastAsia="Calibri"/>
          <w:color w:val="000000" w:themeColor="text1"/>
          <w:sz w:val="24"/>
          <w:lang w:val="es-CR"/>
        </w:rPr>
        <w:t>SICVECA</w:t>
      </w:r>
      <w:r>
        <w:rPr>
          <w:rFonts w:eastAsia="Calibri"/>
          <w:color w:val="000000" w:themeColor="text1"/>
          <w:sz w:val="24"/>
          <w:lang w:val="es-CR"/>
        </w:rPr>
        <w:t xml:space="preserve">/Riesgo Operativo, </w:t>
      </w:r>
      <w:r w:rsidRPr="00412D43">
        <w:rPr>
          <w:rFonts w:eastAsia="Calibri"/>
          <w:color w:val="000000" w:themeColor="text1"/>
          <w:sz w:val="24"/>
          <w:lang w:val="es-CR"/>
        </w:rPr>
        <w:t>del sitio Web de esta Superintendencia</w:t>
      </w:r>
      <w:r>
        <w:rPr>
          <w:rFonts w:eastAsia="Calibri"/>
          <w:color w:val="000000" w:themeColor="text1"/>
          <w:sz w:val="24"/>
          <w:lang w:val="es-CR"/>
        </w:rPr>
        <w:t>.</w:t>
      </w:r>
    </w:p>
    <w:p w:rsidR="00F54288" w:rsidP="00F54288" w:rsidRDefault="00F54288" w14:paraId="3FBDD209" w14:textId="77777777">
      <w:pPr>
        <w:spacing w:line="240" w:lineRule="auto"/>
        <w:ind w:left="720"/>
        <w:contextualSpacing/>
        <w:jc w:val="left"/>
        <w:rPr>
          <w:rFonts w:eastAsia="Calibri"/>
          <w:color w:val="000000" w:themeColor="text1"/>
          <w:sz w:val="24"/>
          <w:lang w:val="es-CR"/>
        </w:rPr>
      </w:pPr>
    </w:p>
    <w:p w:rsidRPr="00412D43" w:rsidR="00F54288" w:rsidP="00F54288" w:rsidRDefault="00F54288" w14:paraId="702F6CFF" w14:textId="77777777">
      <w:pPr>
        <w:numPr>
          <w:ilvl w:val="0"/>
          <w:numId w:val="13"/>
        </w:numPr>
        <w:spacing w:line="240" w:lineRule="auto"/>
        <w:contextualSpacing/>
        <w:rPr>
          <w:rFonts w:eastAsia="Calibri"/>
          <w:color w:val="000000" w:themeColor="text1"/>
          <w:sz w:val="24"/>
          <w:lang w:val="es-CR"/>
        </w:rPr>
      </w:pPr>
      <w:r>
        <w:rPr>
          <w:rFonts w:eastAsia="Calibri"/>
          <w:color w:val="000000" w:themeColor="text1"/>
          <w:sz w:val="24"/>
          <w:lang w:val="es-CR"/>
        </w:rPr>
        <w:t>Se otorga un plazo de 10 días hábiles, a partir de la notificación de esta circular, para remitir comentarios y observaciones respecto a la clase de datos XML de Riesgo Operativo</w:t>
      </w:r>
      <w:r w:rsidRPr="00412D43">
        <w:rPr>
          <w:rFonts w:eastAsia="Calibri"/>
          <w:color w:val="000000" w:themeColor="text1"/>
          <w:sz w:val="24"/>
          <w:lang w:val="es-CR"/>
        </w:rPr>
        <w:t>.</w:t>
      </w:r>
    </w:p>
    <w:p w:rsidR="00F54288" w:rsidP="00F54288" w:rsidRDefault="00F54288" w14:paraId="667568A6" w14:textId="77777777">
      <w:pPr>
        <w:tabs>
          <w:tab w:val="left" w:pos="1200"/>
        </w:tabs>
        <w:spacing w:line="240" w:lineRule="auto"/>
        <w:contextualSpacing/>
        <w:jc w:val="left"/>
        <w:rPr>
          <w:rFonts w:eastAsia="Calibri"/>
          <w:color w:val="000000" w:themeColor="text1"/>
          <w:sz w:val="24"/>
          <w:lang w:val="es-CR"/>
        </w:rPr>
      </w:pPr>
    </w:p>
    <w:p w:rsidRPr="00412D43" w:rsidR="00F54288" w:rsidP="00F54288" w:rsidRDefault="00F54288" w14:paraId="413C8571" w14:textId="77777777">
      <w:pPr>
        <w:numPr>
          <w:ilvl w:val="0"/>
          <w:numId w:val="13"/>
        </w:numPr>
        <w:spacing w:line="240" w:lineRule="auto"/>
        <w:contextualSpacing/>
        <w:rPr>
          <w:rFonts w:eastAsia="Calibri"/>
          <w:color w:val="000000" w:themeColor="text1"/>
          <w:sz w:val="24"/>
          <w:lang w:val="es-CR"/>
        </w:rPr>
      </w:pPr>
      <w:r>
        <w:rPr>
          <w:rFonts w:eastAsia="Calibri"/>
          <w:color w:val="000000" w:themeColor="text1"/>
          <w:sz w:val="24"/>
          <w:lang w:val="es-CR"/>
        </w:rPr>
        <w:t xml:space="preserve">Las observaciones y comentarios deben realizarlas </w:t>
      </w:r>
      <w:r w:rsidRPr="00412D43">
        <w:rPr>
          <w:rFonts w:eastAsia="Calibri"/>
          <w:color w:val="000000" w:themeColor="text1"/>
          <w:sz w:val="24"/>
          <w:lang w:val="es-CR"/>
        </w:rPr>
        <w:t>a la dirección de correo</w:t>
      </w:r>
      <w:r>
        <w:rPr>
          <w:rFonts w:eastAsia="Calibri"/>
          <w:color w:val="000000" w:themeColor="text1"/>
          <w:sz w:val="24"/>
          <w:lang w:val="es-CR"/>
        </w:rPr>
        <w:t>:</w:t>
      </w:r>
      <w:r w:rsidRPr="00412D43">
        <w:rPr>
          <w:rFonts w:eastAsia="Calibri"/>
          <w:color w:val="000000" w:themeColor="text1"/>
          <w:sz w:val="24"/>
          <w:lang w:val="es-CR"/>
        </w:rPr>
        <w:t xml:space="preserve"> </w:t>
      </w:r>
      <w:hyperlink w:history="1" r:id="rId13">
        <w:r w:rsidRPr="001F6287">
          <w:rPr>
            <w:rStyle w:val="Hipervnculo"/>
            <w:rFonts w:eastAsia="Calibri"/>
            <w:sz w:val="24"/>
            <w:lang w:val="es-CR"/>
          </w:rPr>
          <w:t>consultasriesgooperativo@sugef.fi.cr</w:t>
        </w:r>
      </w:hyperlink>
    </w:p>
    <w:p w:rsidRPr="00412D43" w:rsidR="00F54288" w:rsidP="00F54288" w:rsidRDefault="00F54288" w14:paraId="49D8116C" w14:textId="77777777">
      <w:pPr>
        <w:rPr>
          <w:rFonts w:eastAsia="Calibri"/>
          <w:color w:val="000000" w:themeColor="text1"/>
          <w:lang w:val="es-CR"/>
        </w:rPr>
      </w:pPr>
    </w:p>
    <w:p w:rsidR="008014B9" w:rsidP="006C53CF" w:rsidRDefault="008014B9" w14:paraId="0121401E" w14:textId="45D36023">
      <w:pPr>
        <w:spacing w:line="240" w:lineRule="auto"/>
        <w:rPr>
          <w:sz w:val="24"/>
        </w:rPr>
      </w:pPr>
    </w:p>
    <w:p w:rsidRPr="008014B9" w:rsidR="0071134B" w:rsidP="006C53CF" w:rsidRDefault="0071134B" w14:paraId="73A5773E" w14:textId="5E64D86F">
      <w:pPr>
        <w:spacing w:line="240" w:lineRule="auto"/>
        <w:rPr>
          <w:sz w:val="24"/>
        </w:rPr>
      </w:pPr>
      <w:r w:rsidRPr="008014B9">
        <w:rPr>
          <w:sz w:val="24"/>
        </w:rPr>
        <w:t>Atentamente,</w:t>
      </w:r>
    </w:p>
    <w:p w:rsidRPr="008014B9" w:rsidR="000F34AE" w:rsidP="006C53CF" w:rsidRDefault="00FD4FB8" w14:paraId="2DDC7625" w14:textId="5DCFF5F6">
      <w:pPr>
        <w:spacing w:line="240" w:lineRule="auto"/>
        <w:rPr>
          <w:sz w:val="24"/>
        </w:rPr>
      </w:pPr>
      <w:r>
        <w:rPr>
          <w:noProof/>
          <w:lang w:val="es-CR" w:eastAsia="es-CR"/>
        </w:rPr>
        <w:drawing>
          <wp:anchor distT="0" distB="0" distL="114300" distR="114300" simplePos="0" relativeHeight="251658240" behindDoc="1" locked="0" layoutInCell="1" allowOverlap="1" wp14:editId="56521DA4" wp14:anchorId="6357F396">
            <wp:simplePos x="0" y="0"/>
            <wp:positionH relativeFrom="column">
              <wp:posOffset>-144780</wp:posOffset>
            </wp:positionH>
            <wp:positionV relativeFrom="paragraph">
              <wp:posOffset>71755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727B7A" w:rsidP="006C53CF" w:rsidRDefault="00727B7A" w14:paraId="7DAD28C1" w14:textId="652589F3">
      <w:pPr>
        <w:spacing w:line="240" w:lineRule="auto"/>
        <w:rPr>
          <w:sz w:val="24"/>
        </w:rPr>
      </w:pPr>
    </w:p>
    <w:p w:rsidRPr="008014B9" w:rsidR="00FD4FB8" w:rsidP="006C53CF" w:rsidRDefault="00FD4FB8" w14:paraId="67231C52" w14:textId="791F5B7F">
      <w:pPr>
        <w:spacing w:line="240" w:lineRule="auto"/>
        <w:rPr>
          <w:sz w:val="24"/>
        </w:rPr>
      </w:pPr>
    </w:p>
    <w:p w:rsidR="00BE6A33" w:rsidP="00BE6A33" w:rsidRDefault="00BE6A33" w14:paraId="7701609B" w14:textId="39A6FA16">
      <w:pPr>
        <w:jc w:val="left"/>
        <w:rPr>
          <w:b/>
          <w:sz w:val="24"/>
        </w:rPr>
      </w:pPr>
      <w:r>
        <w:rPr>
          <w:sz w:val="24"/>
        </w:rPr>
        <w:t xml:space="preserve">Jenaro Segura Calderón </w:t>
      </w:r>
      <w:r>
        <w:rPr>
          <w:sz w:val="24"/>
        </w:rPr>
        <w:br/>
      </w:r>
      <w:r w:rsidR="002A3AF0">
        <w:rPr>
          <w:b/>
          <w:sz w:val="24"/>
        </w:rPr>
        <w:t>Superi</w:t>
      </w:r>
      <w:r w:rsidRPr="00651BF7">
        <w:rPr>
          <w:b/>
          <w:sz w:val="24"/>
        </w:rPr>
        <w:t xml:space="preserve">ntendente </w:t>
      </w:r>
      <w:r w:rsidR="00151D8C">
        <w:rPr>
          <w:b/>
          <w:sz w:val="24"/>
        </w:rPr>
        <w:t>a.</w:t>
      </w:r>
      <w:r w:rsidR="002A3AF0">
        <w:rPr>
          <w:b/>
          <w:sz w:val="24"/>
        </w:rPr>
        <w:t xml:space="preserve"> </w:t>
      </w:r>
      <w:r w:rsidR="00151D8C">
        <w:rPr>
          <w:b/>
          <w:sz w:val="24"/>
        </w:rPr>
        <w:t>í.</w:t>
      </w:r>
    </w:p>
    <w:p w:rsidRPr="003204E8" w:rsidR="00BA112E" w:rsidP="00EB1B25" w:rsidRDefault="00984A65" w14:paraId="0AE41B1D" w14:textId="39E97874">
      <w:pPr>
        <w:pStyle w:val="Negrita"/>
        <w:tabs>
          <w:tab w:val="left" w:pos="6847"/>
        </w:tabs>
        <w:spacing w:line="240" w:lineRule="auto"/>
        <w:jc w:val="left"/>
      </w:pPr>
      <w:r w:rsidRPr="003204E8">
        <w:tab/>
      </w:r>
    </w:p>
    <w:p w:rsidR="00577A95" w:rsidP="0085692C" w:rsidRDefault="00577A95" w14:paraId="6BF0E44D" w14:textId="7688B0E4">
      <w:pPr>
        <w:pStyle w:val="Negrita"/>
      </w:pPr>
    </w:p>
    <w:p w:rsidRPr="00FD4FB8" w:rsidR="00577A95" w:rsidP="0085692C" w:rsidRDefault="00FD4FB8" w14:paraId="137343BA" w14:textId="498AA898">
      <w:pPr>
        <w:pStyle w:val="Negrita"/>
        <w:rPr>
          <w:b w:val="0"/>
          <w:sz w:val="18"/>
        </w:rPr>
      </w:pPr>
      <w:r w:rsidRPr="00FD4FB8">
        <w:rPr>
          <w:b w:val="0"/>
          <w:sz w:val="18"/>
        </w:rPr>
        <w:t>JSC/OMMB</w:t>
      </w:r>
    </w:p>
    <w:p w:rsidR="008F1461" w:rsidP="0085692C" w:rsidRDefault="008F1461" w14:paraId="47FA03D2" w14:textId="77777777">
      <w:pPr>
        <w:pStyle w:val="Negrita"/>
      </w:pPr>
    </w:p>
    <w:p w:rsidR="0071134B" w:rsidP="0085692C" w:rsidRDefault="0071134B" w14:paraId="5D71738B" w14:textId="77777777">
      <w:pPr>
        <w:pStyle w:val="Negrita"/>
      </w:pPr>
    </w:p>
    <w:sectPr w:rsidR="0071134B" w:rsidSect="007975AD">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EDEA" w14:textId="77777777" w:rsidR="00221E1A" w:rsidRDefault="00221E1A" w:rsidP="00D43D57">
      <w:r>
        <w:separator/>
      </w:r>
    </w:p>
  </w:endnote>
  <w:endnote w:type="continuationSeparator" w:id="0">
    <w:p w14:paraId="62C73DE9" w14:textId="77777777" w:rsidR="00221E1A" w:rsidRDefault="00221E1A"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6A5EAEDF"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67B59125" w14:textId="77777777">
      <w:trPr>
        <w:trHeight w:val="546"/>
      </w:trPr>
      <w:tc>
        <w:tcPr>
          <w:tcW w:w="3189" w:type="dxa"/>
          <w:shd w:val="clear" w:color="auto" w:fill="FFFFFF"/>
          <w:vAlign w:val="center"/>
        </w:tcPr>
        <w:p w:rsidR="008F1461" w:rsidP="000C62BB" w:rsidRDefault="008F1461" w14:paraId="4D67A004" w14:textId="77777777">
          <w:pPr>
            <w:pStyle w:val="Piepagina"/>
          </w:pPr>
          <w:r>
            <w:rPr>
              <w:b/>
              <w:bCs/>
            </w:rPr>
            <w:t>Teléfono</w:t>
          </w:r>
          <w:r>
            <w:t xml:space="preserve">   (506) 2243-4848</w:t>
          </w:r>
        </w:p>
        <w:p w:rsidR="008F1461" w:rsidP="000C62BB" w:rsidRDefault="008F1461" w14:paraId="1B728EB9"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14DA1DCF" w14:textId="77777777">
          <w:pPr>
            <w:pStyle w:val="Piepagina"/>
          </w:pPr>
          <w:r>
            <w:rPr>
              <w:b/>
              <w:bCs/>
            </w:rPr>
            <w:t>Apartado</w:t>
          </w:r>
          <w:r>
            <w:t xml:space="preserve"> 2762-1000</w:t>
          </w:r>
        </w:p>
        <w:p w:rsidR="008F1461" w:rsidP="000C62BB" w:rsidRDefault="008F1461" w14:paraId="0EB6566F" w14:textId="77777777">
          <w:pPr>
            <w:pStyle w:val="Piepagina"/>
          </w:pPr>
          <w:r>
            <w:t>San José, Costa Rica</w:t>
          </w:r>
        </w:p>
      </w:tc>
      <w:tc>
        <w:tcPr>
          <w:tcW w:w="2410" w:type="dxa"/>
          <w:shd w:val="clear" w:color="auto" w:fill="FFFFFF"/>
          <w:vAlign w:val="center"/>
        </w:tcPr>
        <w:p w:rsidR="008F1461" w:rsidP="000C62BB" w:rsidRDefault="008F1461" w14:paraId="041E97B3" w14:textId="77777777">
          <w:pPr>
            <w:pStyle w:val="Piepagina"/>
          </w:pPr>
          <w:r>
            <w:t>www.sugef.fi.cr</w:t>
          </w:r>
        </w:p>
        <w:p w:rsidR="008F1461" w:rsidP="000C62BB" w:rsidRDefault="008F1461" w14:paraId="24AE6A6C" w14:textId="77777777">
          <w:pPr>
            <w:pStyle w:val="Piepagina"/>
          </w:pPr>
          <w:r>
            <w:t>sugefcr@sugef.fi.cr</w:t>
          </w:r>
        </w:p>
      </w:tc>
      <w:tc>
        <w:tcPr>
          <w:tcW w:w="260" w:type="dxa"/>
          <w:shd w:val="clear" w:color="auto" w:fill="FFFFFF"/>
        </w:tcPr>
        <w:p w:rsidR="008F1461" w:rsidP="000C62BB" w:rsidRDefault="008F1461" w14:paraId="52357425" w14:textId="77777777">
          <w:pPr>
            <w:pStyle w:val="Piepagina"/>
          </w:pPr>
          <w:r>
            <w:fldChar w:fldCharType="begin"/>
          </w:r>
          <w:r>
            <w:instrText>PAGE   \* MERGEFORMAT</w:instrText>
          </w:r>
          <w:r>
            <w:fldChar w:fldCharType="separate"/>
          </w:r>
          <w:r w:rsidR="00FD4FB8">
            <w:rPr>
              <w:noProof/>
            </w:rPr>
            <w:t>1</w:t>
          </w:r>
          <w:r>
            <w:fldChar w:fldCharType="end"/>
          </w:r>
        </w:p>
      </w:tc>
    </w:tr>
  </w:tbl>
  <w:p w:rsidRPr="000C62BB" w:rsidR="00590F07" w:rsidRDefault="00590F07" w14:paraId="3B8E3340" w14:textId="77777777">
    <w:pPr>
      <w:pStyle w:val="Piedepgina"/>
      <w:jc w:val="right"/>
      <w:rPr>
        <w:color w:val="969696"/>
        <w:sz w:val="20"/>
        <w:szCs w:val="20"/>
      </w:rPr>
    </w:pPr>
  </w:p>
  <w:p w:rsidR="001C075B" w:rsidP="00FA54DF" w:rsidRDefault="001C075B" w14:paraId="5950ECEC"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569F9563" w14:textId="77777777">
    <w:pPr>
      <w:pStyle w:val="Piepagina"/>
      <w:jc w:val="center"/>
    </w:pPr>
    <w:r>
      <w:rPr>
        <w:noProof/>
        <w:lang w:val="es-CR" w:eastAsia="es-CR"/>
      </w:rPr>
      <w:drawing>
        <wp:anchor distT="0" distB="0" distL="114300" distR="114300" simplePos="0" relativeHeight="251669504" behindDoc="1" locked="0" layoutInCell="1" allowOverlap="1" wp14:editId="37766BE5" wp14:anchorId="6D9991AC">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48F62D4E" wp14:anchorId="55160622">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2734D2D8" w14:textId="77777777">
                          <w:pPr>
                            <w:rPr>
                              <w:color w:val="003A68"/>
                              <w:sz w:val="14"/>
                              <w:szCs w:val="14"/>
                            </w:rPr>
                          </w:pPr>
                          <w:r w:rsidRPr="00FA54DF">
                            <w:rPr>
                              <w:color w:val="003A68"/>
                              <w:sz w:val="14"/>
                              <w:szCs w:val="14"/>
                            </w:rPr>
                            <w:t xml:space="preserve">T. (506) 2243-3631   </w:t>
                          </w:r>
                        </w:p>
                        <w:p w:rsidRPr="00FA54DF" w:rsidR="001C075B" w:rsidRDefault="001C075B" w14:paraId="30896337" w14:textId="77777777">
                          <w:pPr>
                            <w:rPr>
                              <w:color w:val="003A68"/>
                              <w:sz w:val="14"/>
                              <w:szCs w:val="14"/>
                            </w:rPr>
                          </w:pPr>
                          <w:r w:rsidRPr="00FA54DF">
                            <w:rPr>
                              <w:color w:val="003A68"/>
                              <w:sz w:val="14"/>
                              <w:szCs w:val="14"/>
                            </w:rPr>
                            <w:t xml:space="preserve">F. (506) 2243-4579   </w:t>
                          </w:r>
                        </w:p>
                        <w:p w:rsidR="001C075B" w:rsidRDefault="001C075B" w14:paraId="21AFF80B" w14:textId="77777777">
                          <w:pPr>
                            <w:rPr>
                              <w:color w:val="003A68"/>
                              <w:sz w:val="14"/>
                              <w:szCs w:val="14"/>
                            </w:rPr>
                          </w:pPr>
                          <w:r w:rsidRPr="00FA54DF">
                            <w:rPr>
                              <w:color w:val="003A68"/>
                              <w:sz w:val="14"/>
                              <w:szCs w:val="14"/>
                            </w:rPr>
                            <w:t>Apdo. 10058-1000</w:t>
                          </w:r>
                        </w:p>
                        <w:p w:rsidR="001C075B" w:rsidRDefault="001C075B" w14:paraId="76CB8746" w14:textId="77777777">
                          <w:pPr>
                            <w:rPr>
                              <w:color w:val="003A68"/>
                              <w:sz w:val="14"/>
                              <w:szCs w:val="14"/>
                            </w:rPr>
                          </w:pPr>
                          <w:r w:rsidRPr="00FA54DF">
                            <w:rPr>
                              <w:color w:val="003A68"/>
                              <w:sz w:val="14"/>
                              <w:szCs w:val="14"/>
                            </w:rPr>
                            <w:t>Av. 1 y Central, Calles 2 y 4</w:t>
                          </w:r>
                        </w:p>
                        <w:p w:rsidRPr="00FA54DF" w:rsidR="001C075B" w:rsidRDefault="001C075B" w14:paraId="79117AFE"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160622">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734D2D8" w14:textId="77777777">
                    <w:pPr>
                      <w:rPr>
                        <w:color w:val="003A68"/>
                        <w:sz w:val="14"/>
                        <w:szCs w:val="14"/>
                      </w:rPr>
                    </w:pPr>
                    <w:r w:rsidRPr="00FA54DF">
                      <w:rPr>
                        <w:color w:val="003A68"/>
                        <w:sz w:val="14"/>
                        <w:szCs w:val="14"/>
                      </w:rPr>
                      <w:t xml:space="preserve">T. (506) 2243-3631   </w:t>
                    </w:r>
                  </w:p>
                  <w:p w:rsidRPr="00FA54DF" w:rsidR="001C075B" w:rsidRDefault="001C075B" w14:paraId="30896337" w14:textId="77777777">
                    <w:pPr>
                      <w:rPr>
                        <w:color w:val="003A68"/>
                        <w:sz w:val="14"/>
                        <w:szCs w:val="14"/>
                      </w:rPr>
                    </w:pPr>
                    <w:r w:rsidRPr="00FA54DF">
                      <w:rPr>
                        <w:color w:val="003A68"/>
                        <w:sz w:val="14"/>
                        <w:szCs w:val="14"/>
                      </w:rPr>
                      <w:t xml:space="preserve">F. (506) 2243-4579   </w:t>
                    </w:r>
                  </w:p>
                  <w:p w:rsidR="001C075B" w:rsidRDefault="001C075B" w14:paraId="21AFF80B" w14:textId="77777777">
                    <w:pPr>
                      <w:rPr>
                        <w:color w:val="003A68"/>
                        <w:sz w:val="14"/>
                        <w:szCs w:val="14"/>
                      </w:rPr>
                    </w:pPr>
                    <w:r w:rsidRPr="00FA54DF">
                      <w:rPr>
                        <w:color w:val="003A68"/>
                        <w:sz w:val="14"/>
                        <w:szCs w:val="14"/>
                      </w:rPr>
                      <w:t>Apdo. 10058-1000</w:t>
                    </w:r>
                  </w:p>
                  <w:p w:rsidR="001C075B" w:rsidRDefault="001C075B" w14:paraId="76CB8746" w14:textId="77777777">
                    <w:pPr>
                      <w:rPr>
                        <w:color w:val="003A68"/>
                        <w:sz w:val="14"/>
                        <w:szCs w:val="14"/>
                      </w:rPr>
                    </w:pPr>
                    <w:r w:rsidRPr="00FA54DF">
                      <w:rPr>
                        <w:color w:val="003A68"/>
                        <w:sz w:val="14"/>
                        <w:szCs w:val="14"/>
                      </w:rPr>
                      <w:t>Av. 1 y Central, Calles 2 y 4</w:t>
                    </w:r>
                  </w:p>
                  <w:p w:rsidRPr="00FA54DF" w:rsidR="001C075B" w:rsidRDefault="001C075B" w14:paraId="79117AFE" w14:textId="77777777">
                    <w:pPr>
                      <w:rPr>
                        <w:color w:val="003A68"/>
                        <w:sz w:val="14"/>
                        <w:szCs w:val="14"/>
                      </w:rPr>
                    </w:pPr>
                  </w:p>
                </w:txbxContent>
              </v:textbox>
            </v:shape>
          </w:pict>
        </mc:Fallback>
      </mc:AlternateContent>
    </w:r>
  </w:p>
  <w:p w:rsidRPr="00D43D57" w:rsidR="001C075B" w:rsidP="008C0BF0" w:rsidRDefault="001C075B" w14:paraId="4332DB4B" w14:textId="77777777">
    <w:pPr>
      <w:pStyle w:val="Piepagina"/>
      <w:jc w:val="center"/>
    </w:pPr>
  </w:p>
  <w:p w:rsidR="001C075B" w:rsidRDefault="001C075B" w14:paraId="1113AE68"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0F5B8" w14:textId="77777777" w:rsidR="00221E1A" w:rsidRDefault="00221E1A" w:rsidP="00D43D57">
      <w:r>
        <w:separator/>
      </w:r>
    </w:p>
  </w:footnote>
  <w:footnote w:type="continuationSeparator" w:id="0">
    <w:p w14:paraId="2FA61648" w14:textId="77777777" w:rsidR="00221E1A" w:rsidRDefault="00221E1A"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3EAFE133" w14:textId="77777777">
    <w:pPr>
      <w:pStyle w:val="Piedepgina"/>
      <w:jc w:val="center"/>
    </w:pPr>
    <w:r>
      <w:rPr>
        <w:noProof/>
        <w:lang w:val="es-CR" w:eastAsia="es-CR"/>
      </w:rPr>
      <w:drawing>
        <wp:inline distT="0" distB="0" distL="0" distR="0" wp14:anchorId="5F897089" wp14:editId="36AF229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ABDB03A" w14:textId="77777777">
    <w:pPr>
      <w:pStyle w:val="Encabezado"/>
      <w:pBdr>
        <w:bottom w:val="single" w:color="auto" w:sz="4" w:space="3"/>
      </w:pBdr>
      <w:ind w:right="-1"/>
      <w:rPr>
        <w:b/>
        <w:sz w:val="20"/>
        <w:szCs w:val="20"/>
      </w:rPr>
    </w:pPr>
    <w:r>
      <w:rPr>
        <w:noProof/>
        <w:lang w:val="es-CR" w:eastAsia="es-CR"/>
      </w:rPr>
      <w:drawing>
        <wp:inline distT="0" distB="0" distL="0" distR="0" wp14:anchorId="77CFE1FC" wp14:editId="7D1D7189">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7A1E5DD5"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98E8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022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102C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5C4E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70D9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CD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C6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460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ED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E1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C4C6E91"/>
    <w:multiLevelType w:val="hybridMultilevel"/>
    <w:tmpl w:val="27C042E6"/>
    <w:lvl w:ilvl="0" w:tplc="140A000F">
      <w:start w:val="1"/>
      <w:numFmt w:val="decimal"/>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1A"/>
    <w:rsid w:val="000064A4"/>
    <w:rsid w:val="000235B5"/>
    <w:rsid w:val="00026C85"/>
    <w:rsid w:val="000439A6"/>
    <w:rsid w:val="00060C03"/>
    <w:rsid w:val="00061785"/>
    <w:rsid w:val="000646DD"/>
    <w:rsid w:val="00080B94"/>
    <w:rsid w:val="00081865"/>
    <w:rsid w:val="00082968"/>
    <w:rsid w:val="00096D6C"/>
    <w:rsid w:val="000C62BB"/>
    <w:rsid w:val="000E0AC6"/>
    <w:rsid w:val="000F34AE"/>
    <w:rsid w:val="00117501"/>
    <w:rsid w:val="001322B4"/>
    <w:rsid w:val="001327EB"/>
    <w:rsid w:val="00146659"/>
    <w:rsid w:val="00151D8C"/>
    <w:rsid w:val="0016220C"/>
    <w:rsid w:val="001653C6"/>
    <w:rsid w:val="001946F4"/>
    <w:rsid w:val="001A6574"/>
    <w:rsid w:val="001C075B"/>
    <w:rsid w:val="001C1F7B"/>
    <w:rsid w:val="001C5806"/>
    <w:rsid w:val="001E0448"/>
    <w:rsid w:val="00221E1A"/>
    <w:rsid w:val="00230C67"/>
    <w:rsid w:val="002645B7"/>
    <w:rsid w:val="002A3AF0"/>
    <w:rsid w:val="002C56A4"/>
    <w:rsid w:val="002C7E41"/>
    <w:rsid w:val="002E3589"/>
    <w:rsid w:val="002E56D1"/>
    <w:rsid w:val="002E571B"/>
    <w:rsid w:val="002F08D5"/>
    <w:rsid w:val="003060E2"/>
    <w:rsid w:val="00310570"/>
    <w:rsid w:val="00317BBB"/>
    <w:rsid w:val="003204E8"/>
    <w:rsid w:val="00322A87"/>
    <w:rsid w:val="003267FB"/>
    <w:rsid w:val="003312B8"/>
    <w:rsid w:val="003503A2"/>
    <w:rsid w:val="003554C5"/>
    <w:rsid w:val="00355B90"/>
    <w:rsid w:val="00365794"/>
    <w:rsid w:val="00373B22"/>
    <w:rsid w:val="003C4C71"/>
    <w:rsid w:val="003E4EDB"/>
    <w:rsid w:val="00410551"/>
    <w:rsid w:val="00412618"/>
    <w:rsid w:val="00414B77"/>
    <w:rsid w:val="00427002"/>
    <w:rsid w:val="00437A93"/>
    <w:rsid w:val="00447A41"/>
    <w:rsid w:val="004822E6"/>
    <w:rsid w:val="00492FE3"/>
    <w:rsid w:val="004D7F44"/>
    <w:rsid w:val="004F05CA"/>
    <w:rsid w:val="004F74E7"/>
    <w:rsid w:val="005076CB"/>
    <w:rsid w:val="005105C4"/>
    <w:rsid w:val="0053623F"/>
    <w:rsid w:val="00550D78"/>
    <w:rsid w:val="00557369"/>
    <w:rsid w:val="005706D1"/>
    <w:rsid w:val="005751FC"/>
    <w:rsid w:val="00577A95"/>
    <w:rsid w:val="0058011B"/>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A35FD"/>
    <w:rsid w:val="006C2059"/>
    <w:rsid w:val="006C53CF"/>
    <w:rsid w:val="006E3610"/>
    <w:rsid w:val="006E6F58"/>
    <w:rsid w:val="0071134B"/>
    <w:rsid w:val="00714DC4"/>
    <w:rsid w:val="00727B7A"/>
    <w:rsid w:val="0074397B"/>
    <w:rsid w:val="007455FF"/>
    <w:rsid w:val="00755896"/>
    <w:rsid w:val="00765619"/>
    <w:rsid w:val="007736D4"/>
    <w:rsid w:val="00774FA9"/>
    <w:rsid w:val="0079518D"/>
    <w:rsid w:val="007975AD"/>
    <w:rsid w:val="007B18D6"/>
    <w:rsid w:val="007B51DD"/>
    <w:rsid w:val="007D1328"/>
    <w:rsid w:val="007F1723"/>
    <w:rsid w:val="007F327D"/>
    <w:rsid w:val="007F3A44"/>
    <w:rsid w:val="007F5430"/>
    <w:rsid w:val="008014B9"/>
    <w:rsid w:val="008202A0"/>
    <w:rsid w:val="008310AB"/>
    <w:rsid w:val="00832753"/>
    <w:rsid w:val="008419AC"/>
    <w:rsid w:val="00842773"/>
    <w:rsid w:val="0085692C"/>
    <w:rsid w:val="00864362"/>
    <w:rsid w:val="00887400"/>
    <w:rsid w:val="00892708"/>
    <w:rsid w:val="00893B0D"/>
    <w:rsid w:val="00895097"/>
    <w:rsid w:val="008A1AA2"/>
    <w:rsid w:val="008A3B33"/>
    <w:rsid w:val="008A63B7"/>
    <w:rsid w:val="008B3838"/>
    <w:rsid w:val="008C0BF0"/>
    <w:rsid w:val="008D0528"/>
    <w:rsid w:val="008E5850"/>
    <w:rsid w:val="008F1461"/>
    <w:rsid w:val="008F33F5"/>
    <w:rsid w:val="0090327A"/>
    <w:rsid w:val="00904CBE"/>
    <w:rsid w:val="00936085"/>
    <w:rsid w:val="0094298E"/>
    <w:rsid w:val="00944989"/>
    <w:rsid w:val="009475B6"/>
    <w:rsid w:val="00962265"/>
    <w:rsid w:val="0097235C"/>
    <w:rsid w:val="00977CEE"/>
    <w:rsid w:val="00982147"/>
    <w:rsid w:val="00983CB1"/>
    <w:rsid w:val="00984A65"/>
    <w:rsid w:val="009908DE"/>
    <w:rsid w:val="009B5E5E"/>
    <w:rsid w:val="009C47FE"/>
    <w:rsid w:val="009C4F6B"/>
    <w:rsid w:val="009E0EAB"/>
    <w:rsid w:val="009F54CB"/>
    <w:rsid w:val="00A26E9E"/>
    <w:rsid w:val="00A34523"/>
    <w:rsid w:val="00A76A2E"/>
    <w:rsid w:val="00A84CDB"/>
    <w:rsid w:val="00A906DD"/>
    <w:rsid w:val="00AC5138"/>
    <w:rsid w:val="00AE3929"/>
    <w:rsid w:val="00AF45B7"/>
    <w:rsid w:val="00B079EC"/>
    <w:rsid w:val="00B1318C"/>
    <w:rsid w:val="00B464F6"/>
    <w:rsid w:val="00B7176B"/>
    <w:rsid w:val="00B77CF0"/>
    <w:rsid w:val="00B80284"/>
    <w:rsid w:val="00B84E87"/>
    <w:rsid w:val="00B85E03"/>
    <w:rsid w:val="00B94DE2"/>
    <w:rsid w:val="00B94E50"/>
    <w:rsid w:val="00BA112E"/>
    <w:rsid w:val="00BA711C"/>
    <w:rsid w:val="00BB0F2F"/>
    <w:rsid w:val="00BB470C"/>
    <w:rsid w:val="00BC03D6"/>
    <w:rsid w:val="00BE6A0B"/>
    <w:rsid w:val="00BE6A33"/>
    <w:rsid w:val="00BE7B10"/>
    <w:rsid w:val="00C039CE"/>
    <w:rsid w:val="00C1795E"/>
    <w:rsid w:val="00C22C6C"/>
    <w:rsid w:val="00C414C9"/>
    <w:rsid w:val="00C42047"/>
    <w:rsid w:val="00C5093E"/>
    <w:rsid w:val="00C60480"/>
    <w:rsid w:val="00C64425"/>
    <w:rsid w:val="00C809BA"/>
    <w:rsid w:val="00C9305E"/>
    <w:rsid w:val="00CB07CA"/>
    <w:rsid w:val="00CB3E71"/>
    <w:rsid w:val="00D03728"/>
    <w:rsid w:val="00D06E99"/>
    <w:rsid w:val="00D102F8"/>
    <w:rsid w:val="00D10AD8"/>
    <w:rsid w:val="00D2424F"/>
    <w:rsid w:val="00D32808"/>
    <w:rsid w:val="00D43D57"/>
    <w:rsid w:val="00D45FC0"/>
    <w:rsid w:val="00D54C08"/>
    <w:rsid w:val="00D55CA3"/>
    <w:rsid w:val="00D636B6"/>
    <w:rsid w:val="00D8006F"/>
    <w:rsid w:val="00D8778B"/>
    <w:rsid w:val="00D900BF"/>
    <w:rsid w:val="00D96D0A"/>
    <w:rsid w:val="00DB3508"/>
    <w:rsid w:val="00DB3E70"/>
    <w:rsid w:val="00DC2193"/>
    <w:rsid w:val="00DC3B8E"/>
    <w:rsid w:val="00DE08C6"/>
    <w:rsid w:val="00E11252"/>
    <w:rsid w:val="00E13C47"/>
    <w:rsid w:val="00E5185D"/>
    <w:rsid w:val="00E75AC8"/>
    <w:rsid w:val="00E82177"/>
    <w:rsid w:val="00EB1B25"/>
    <w:rsid w:val="00EB65D1"/>
    <w:rsid w:val="00EB71D8"/>
    <w:rsid w:val="00EC2E48"/>
    <w:rsid w:val="00ED0FDD"/>
    <w:rsid w:val="00EE00D4"/>
    <w:rsid w:val="00EE3A47"/>
    <w:rsid w:val="00EF0C8B"/>
    <w:rsid w:val="00F10AFE"/>
    <w:rsid w:val="00F1102D"/>
    <w:rsid w:val="00F1297C"/>
    <w:rsid w:val="00F265AF"/>
    <w:rsid w:val="00F533CD"/>
    <w:rsid w:val="00F54288"/>
    <w:rsid w:val="00F6038D"/>
    <w:rsid w:val="00F654F5"/>
    <w:rsid w:val="00F731A3"/>
    <w:rsid w:val="00F8680D"/>
    <w:rsid w:val="00FA1E58"/>
    <w:rsid w:val="00FA54DF"/>
    <w:rsid w:val="00FB79EB"/>
    <w:rsid w:val="00FD4FB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17A5E4"/>
  <w15:docId w15:val="{B55E8065-EF3F-4DD5-9B8A-6A03AAD9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727B7A"/>
    <w:pPr>
      <w:spacing w:line="240" w:lineRule="atLeast"/>
      <w:jc w:val="both"/>
    </w:pPr>
    <w:rPr>
      <w:rFonts w:ascii="Cambria" w:eastAsia="Times New Roman" w:hAnsi="Cambria"/>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0C62BB"/>
    <w:pPr>
      <w:spacing w:before="120" w:after="120" w:line="360" w:lineRule="auto"/>
    </w:pPr>
  </w:style>
  <w:style w:type="paragraph" w:customStyle="1" w:styleId="Negrita">
    <w:name w:val="Negrita"/>
    <w:basedOn w:val="Texto0"/>
    <w:link w:val="NegritaChar1"/>
    <w:uiPriority w:val="1"/>
    <w:qFormat/>
    <w:rsid w:val="005B448F"/>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0C62BB"/>
    <w:rPr>
      <w:rFonts w:ascii="Arial" w:eastAsia="Times New Roman" w:hAnsi="Arial"/>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5B448F"/>
    <w:rPr>
      <w:rFonts w:ascii="Arial" w:eastAsia="Times New Roman" w:hAnsi="Arial"/>
      <w:b/>
      <w:sz w:val="22"/>
      <w:szCs w:val="24"/>
      <w:lang w:val="es-ES" w:eastAsia="en-US"/>
    </w:rPr>
  </w:style>
  <w:style w:type="paragraph" w:customStyle="1" w:styleId="CentradoResaltado">
    <w:name w:val="Centrado Resaltado"/>
    <w:basedOn w:val="Normal"/>
    <w:link w:val="CentradoResaltadoChar"/>
    <w:uiPriority w:val="1"/>
    <w:qFormat/>
    <w:rsid w:val="005B448F"/>
    <w:pPr>
      <w:spacing w:before="240" w:after="240"/>
      <w:jc w:val="center"/>
    </w:pPr>
    <w:rPr>
      <w:b/>
    </w:rPr>
  </w:style>
  <w:style w:type="character" w:customStyle="1" w:styleId="CentradoResaltadoChar">
    <w:name w:val="Centrado Resaltado Char"/>
    <w:basedOn w:val="Fuentedeprrafopredeter"/>
    <w:link w:val="CentradoResaltado"/>
    <w:uiPriority w:val="1"/>
    <w:rsid w:val="005B448F"/>
    <w:rPr>
      <w:rFonts w:ascii="Arial" w:eastAsia="Times New Roman" w:hAnsi="Arial"/>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727B7A"/>
    <w:rPr>
      <w:rFonts w:ascii="Cambria" w:hAnsi="Cambria"/>
      <w:b/>
      <w:bCs/>
      <w:sz w:val="22"/>
    </w:rPr>
  </w:style>
  <w:style w:type="character" w:styleId="Textodelmarcadordeposicin">
    <w:name w:val="Placeholder Text"/>
    <w:basedOn w:val="Fuentedeprrafopredeter"/>
    <w:uiPriority w:val="99"/>
    <w:semiHidden/>
    <w:locked/>
    <w:rsid w:val="00412618"/>
    <w:rPr>
      <w:color w:val="808080"/>
    </w:rPr>
  </w:style>
  <w:style w:type="paragraph" w:styleId="Prrafodelista">
    <w:name w:val="List Paragraph"/>
    <w:basedOn w:val="Normal"/>
    <w:uiPriority w:val="34"/>
    <w:locked/>
    <w:rsid w:val="00F54288"/>
    <w:pPr>
      <w:ind w:left="720"/>
      <w:contextualSpacing/>
    </w:pPr>
  </w:style>
  <w:style w:type="character" w:styleId="Hipervnculo">
    <w:name w:val="Hyperlink"/>
    <w:basedOn w:val="Fuentedeprrafopredeter"/>
    <w:uiPriority w:val="99"/>
    <w:unhideWhenUsed/>
    <w:locked/>
    <w:rsid w:val="00F54288"/>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sriesgooperativ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9A63F1B7CB4D13853392BA3E5EA197"/>
        <w:category>
          <w:name w:val="General"/>
          <w:gallery w:val="placeholder"/>
        </w:category>
        <w:types>
          <w:type w:val="bbPlcHdr"/>
        </w:types>
        <w:behaviors>
          <w:behavior w:val="content"/>
        </w:behaviors>
        <w:guid w:val="{97F06367-2F11-41A4-A4D6-89A6265834C6}"/>
      </w:docPartPr>
      <w:docPartBody>
        <w:p w:rsidR="00354CA2" w:rsidRDefault="00354CA2">
          <w:pPr>
            <w:pStyle w:val="329A63F1B7CB4D13853392BA3E5EA197"/>
          </w:pPr>
          <w:r w:rsidRPr="002B4B22">
            <w:rPr>
              <w:rStyle w:val="Textodelmarcadordeposicin"/>
            </w:rPr>
            <w:t>Haga clic aquí para escribir texto.</w:t>
          </w:r>
        </w:p>
      </w:docPartBody>
    </w:docPart>
    <w:docPart>
      <w:docPartPr>
        <w:name w:val="20CAF77B8ADC403582E7F60033CC3D48"/>
        <w:category>
          <w:name w:val="General"/>
          <w:gallery w:val="placeholder"/>
        </w:category>
        <w:types>
          <w:type w:val="bbPlcHdr"/>
        </w:types>
        <w:behaviors>
          <w:behavior w:val="content"/>
        </w:behaviors>
        <w:guid w:val="{23C3445B-4ABB-4E0A-A66F-39381882A254}"/>
      </w:docPartPr>
      <w:docPartBody>
        <w:p w:rsidR="00354CA2" w:rsidRDefault="00354CA2">
          <w:pPr>
            <w:pStyle w:val="20CAF77B8ADC403582E7F60033CC3D48"/>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2"/>
    <w:rsid w:val="00354CA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29A63F1B7CB4D13853392BA3E5EA197">
    <w:name w:val="329A63F1B7CB4D13853392BA3E5EA197"/>
  </w:style>
  <w:style w:type="paragraph" w:customStyle="1" w:styleId="20CAF77B8ADC403582E7F60033CC3D48">
    <w:name w:val="20CAF77B8ADC403582E7F60033CC3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amIZ9s8uGMlfDEeKajKnlslgjqdj9b64qhzi5UyL4IQ=</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p5B86xq++jAVQiWiYaQt4gKXnLGCpGuO1rVmC7yPS18=</DigestValue>
    </Reference>
  </SignedInfo>
  <SignatureValue>qWHS175r2ZyiIUpCLFjAmOpAdmtqIQMrMzaMLNPd/C0To1EHHTYInJDc8WoIlC6Pn8hTOBpEUiaA
u9CExbZCwey3MNI8Ek7SF+gy1EmXKCw0an276rrlBqUN/xu1dBYt8pM7uTdEeveOhfJqplnvLVjZ
55sI0xTc38a+tnwZ14SmbTrluX4EvATCWjSVnGIetRpr3Ubzz6bgQDFH+yCCo2iuuKfQNMPOyDu0
A4q0hH/5HAfluJ0YHCphfrp1Zg5/UP3PITP2PWIdxM/Qrs2nFZZukTs2tAYrZMeSq9VOcISnqtuX
g0QXfGDWjOrikWB2jG8WHfQ9r3wk7154azha0g==</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JmUBehpHN/jfA1oyrYxaUN12RBuEMQW/KC/6E8pWH9A=</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TykPlqXDnqrGiUV2mmLWy/7QnBtqJVexMdfB24CjlLk=</DigestValue>
      </Reference>
      <Reference URI="/word/endnotes.xml?ContentType=application/vnd.openxmlformats-officedocument.wordprocessingml.endnotes+xml">
        <DigestMethod Algorithm="http://www.w3.org/2001/04/xmlenc#sha256"/>
        <DigestValue>XwxbEaYYugcir9och3OTLQi4rA2sLepqjI1IPj6KNWk=</DigestValue>
      </Reference>
      <Reference URI="/word/fontTable.xml?ContentType=application/vnd.openxmlformats-officedocument.wordprocessingml.fontTable+xml">
        <DigestMethod Algorithm="http://www.w3.org/2001/04/xmlenc#sha256"/>
        <DigestValue>pz+6e/ubYI8j6/xXAgyZNNEST6kIy6VGk9r5xPXavcE=</DigestValue>
      </Reference>
      <Reference URI="/word/footer1.xml?ContentType=application/vnd.openxmlformats-officedocument.wordprocessingml.footer+xml">
        <DigestMethod Algorithm="http://www.w3.org/2001/04/xmlenc#sha256"/>
        <DigestValue>EfeqtldSDeaf6NCiPDcCbuju2QngrQvRwG64LSUsy2Y=</DigestValue>
      </Reference>
      <Reference URI="/word/footer2.xml?ContentType=application/vnd.openxmlformats-officedocument.wordprocessingml.footer+xml">
        <DigestMethod Algorithm="http://www.w3.org/2001/04/xmlenc#sha256"/>
        <DigestValue>4Esr+v3gsuDbfjPqKnzSiwF4cq+e5GMSGbRyWv/Zj0I=</DigestValue>
      </Reference>
      <Reference URI="/word/footnotes.xml?ContentType=application/vnd.openxmlformats-officedocument.wordprocessingml.footnotes+xml">
        <DigestMethod Algorithm="http://www.w3.org/2001/04/xmlenc#sha256"/>
        <DigestValue>h1YpzepyaoFJEW/XkoznMSvtoIdEGUrnzSTXdNANsrE=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rym8pNVfibzWXzcIfyBe+OV73LJplQM0QDDQzIV5uso=</DigestValue>
      </Reference>
      <Reference URI="/word/glossary/fontTable.xml?ContentType=application/vnd.openxmlformats-officedocument.wordprocessingml.fontTable+xml">
        <DigestMethod Algorithm="http://www.w3.org/2001/04/xmlenc#sha256"/>
        <DigestValue>cCiitTcD2aN/iUPwP3A1hNzQ+ZYM/YMGSFxkHSqebPw=</DigestValue>
      </Reference>
      <Reference URI="/word/glossary/settings.xml?ContentType=application/vnd.openxmlformats-officedocument.wordprocessingml.settings+xml">
        <DigestMethod Algorithm="http://www.w3.org/2001/04/xmlenc#sha256"/>
        <DigestValue>AiN/H1BvnlzifZtTKc22H5s0pv5oV2dRBMkvmOOoU4I=</DigestValue>
      </Reference>
      <Reference URI="/word/glossary/styles.xml?ContentType=application/vnd.openxmlformats-officedocument.wordprocessingml.styles+xml">
        <DigestMethod Algorithm="http://www.w3.org/2001/04/xmlenc#sha256"/>
        <DigestValue>zNZZCpWgJUaauuNH2YrVs6gN8X/h6hKWblMwcwqUCpQ=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oFRIQfHNJ0NTkm/LPAuCt8mlYfq+38qK11ErFhqzxWg=</DigestValue>
      </Reference>
      <Reference URI="/word/header2.xml?ContentType=application/vnd.openxmlformats-officedocument.wordprocessingml.header+xml">
        <DigestMethod Algorithm="http://www.w3.org/2001/04/xmlenc#sha256"/>
        <DigestValue>ogcuO/cgFzAv/0bp/ME7gSwuUejw9AILSRM8y9rsv/k=</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16Y2dnF48qXRncOOf4J32ttajU57DKA7dTwLIxPXrC4=</DigestValue>
      </Reference>
      <Reference URI="/word/settings.xml?ContentType=application/vnd.openxmlformats-officedocument.wordprocessingml.settings+xml">
        <DigestMethod Algorithm="http://www.w3.org/2001/04/xmlenc#sha256"/>
        <DigestValue>vP9epc+P1DJUw7vxiPZoIPxp+hroaXeJg1JYJCWR4cA=</DigestValue>
      </Reference>
      <Reference URI="/word/styles.xml?ContentType=application/vnd.openxmlformats-officedocument.wordprocessingml.styles+xml">
        <DigestMethod Algorithm="http://www.w3.org/2001/04/xmlenc#sha256"/>
        <DigestValue>NSlOoiI0RrNADB2o3SXufpm2PNSyisu5qPiWif56PZk=</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2018-06-01T15:11:53Z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2018-06-01T15:11:53Z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i:0#.w|pdc-atlantida\moralesbo</DisplayName>
        <AccountId>297</AccountId>
        <AccountType/>
      </UserInfo>
    </InformarA>
    <EstadoCorrespondencia xmlns="b875e23b-67d9-4b2e-bdec-edacbf90b326">Aprobado para envío</EstadoCorrespondencia>
    <FechaEnvio xmlns="b875e23b-67d9-4b2e-bdec-edacbf90b326">2018-05-31T06:00:00+00:00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No enviar a artículo 15 y grupos financieros. 
Incluir en el envío a los todos los Bancos públicos y privados, las cooperativas, financieras, mutuales y Caja de Ande. </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2018-05-31T06:00:00+00:00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CARTA CIRCULAR IMPLEMENTACION DE RIESGO OPERATIVO</Subject1>
    <Entrante_x0020_relacionado xmlns="b875e23b-67d9-4b2e-bdec-edacbf90b326">
      <Url xsi:nil="true"/>
      <Description xsi:nil="true"/>
    </Entrante_x0020_relacionado>
    <OtraEntidadExterna xmlns="b875e23b-67d9-4b2e-bdec-edacbf90b326" xsi:nil="true"/>
    <oe70cbf463ba4d19a6203d9e6cd457e4 xmlns="b875e23b-67d9-4b2e-bdec-edacbf90b326">
      <Terms xmlns="http://schemas.microsoft.com/office/infopath/2007/PartnerControls"/>
    </oe70cbf463ba4d19a6203d9e6cd457e4>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6CF4-E077-4098-87AA-B89D2BD13DF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0D2017AE-E04F-4DBA-ADBB-9AB02A32DEDA}"/>
</file>

<file path=customXml/itemProps4.xml><?xml version="1.0" encoding="utf-8"?>
<ds:datastoreItem xmlns:ds="http://schemas.openxmlformats.org/officeDocument/2006/customXml" ds:itemID="{490E2390-FA33-45D6-8FF3-22496A6756E4}"/>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745E33BA-EE5E-4815-8DB6-4F4E2CECB7DF}"/>
</file>

<file path=docProps/app.xml><?xml version="1.0" encoding="utf-8"?>
<Properties xmlns="http://schemas.openxmlformats.org/officeDocument/2006/extended-properties" xmlns:vt="http://schemas.openxmlformats.org/officeDocument/2006/docPropsVTypes">
  <Template>Normal.dotm</Template>
  <TotalTime>116</TotalTime>
  <Pages>2</Pages>
  <Words>440</Words>
  <Characters>2424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Mario Morales Berrocal</dc:creator>
  <cp:lastModifiedBy>Alejandra Arias Alfaro</cp:lastModifiedBy>
  <cp:revision>2</cp:revision>
  <cp:lastPrinted>2015-07-30T22:36:00Z</cp:lastPrinted>
  <dcterms:created xsi:type="dcterms:W3CDTF">2018-05-31T15:11:00Z</dcterms:created>
  <dcterms:modified xsi:type="dcterms:W3CDTF">2018-05-31T18:07:00Z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5900</vt:r8>
  </property>
  <property fmtid="{D5CDD505-2E9C-101B-9397-08002B2CF9AE}" pid="13" name="WorkflowChangePath">
    <vt:lpwstr>d6c6aed4-e342-4faf-a234-cd9a4f593e49,4;cb1954ac-0595-4038-a807-eb26625a3b7c,7;cb1954ac-0595-4038-a807-eb26625a3b7c,7;</vt:lpwstr>
  </property>
</Properties>
</file>