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86B" w:rsidP="00B6347B" w:rsidRDefault="0061286B" w14:paraId="6421FF05" w14:textId="77777777">
      <w:pPr>
        <w:pStyle w:val="Texto"/>
        <w:spacing w:before="0" w:after="0" w:line="240" w:lineRule="auto"/>
        <w:jc w:val="center"/>
        <w:rPr>
          <w:b/>
          <w:sz w:val="24"/>
        </w:rPr>
      </w:pPr>
      <w:bookmarkStart w:name="_Hlk71036599" w:id="0"/>
    </w:p>
    <w:p w:rsidRPr="00E51701" w:rsidR="00B6347B" w:rsidP="00B6347B" w:rsidRDefault="00B6347B" w14:paraId="43469A42" w14:textId="4F46A482">
      <w:pPr>
        <w:pStyle w:val="Texto"/>
        <w:spacing w:before="0" w:after="0" w:line="240" w:lineRule="auto"/>
        <w:jc w:val="center"/>
        <w:rPr>
          <w:b/>
          <w:sz w:val="24"/>
        </w:rPr>
      </w:pPr>
      <w:r w:rsidRPr="00E51701">
        <w:rPr>
          <w:b/>
          <w:sz w:val="24"/>
        </w:rPr>
        <w:t>CIRCULAR EXTERNA</w:t>
      </w:r>
    </w:p>
    <w:p w:rsidRPr="002E2B0A" w:rsidR="00B6347B" w:rsidP="00B6347B" w:rsidRDefault="00406A98" w14:paraId="06989CB6" w14:textId="43A631D2">
      <w:pPr>
        <w:pStyle w:val="Texto"/>
        <w:spacing w:before="0" w:after="0" w:line="240" w:lineRule="auto"/>
        <w:jc w:val="center"/>
        <w:rPr>
          <w:sz w:val="24"/>
        </w:rPr>
      </w:pPr>
      <w:r>
        <w:rPr>
          <w:sz w:val="24"/>
        </w:rPr>
        <w:t>1</w:t>
      </w:r>
      <w:r w:rsidR="001746F0">
        <w:rPr>
          <w:sz w:val="24"/>
        </w:rPr>
        <w:t>9</w:t>
      </w:r>
      <w:r w:rsidRPr="002E2B0A" w:rsidR="00B6347B">
        <w:rPr>
          <w:sz w:val="24"/>
        </w:rPr>
        <w:t xml:space="preserve"> de </w:t>
      </w:r>
      <w:r w:rsidR="00E57E39">
        <w:rPr>
          <w:sz w:val="24"/>
        </w:rPr>
        <w:t>mayo</w:t>
      </w:r>
      <w:r w:rsidRPr="002E2B0A" w:rsidR="00B6347B">
        <w:rPr>
          <w:sz w:val="24"/>
        </w:rPr>
        <w:t xml:space="preserve"> de </w:t>
      </w:r>
      <w:r w:rsidR="00B6347B">
        <w:rPr>
          <w:sz w:val="24"/>
        </w:rPr>
        <w:t>2021</w:t>
      </w:r>
    </w:p>
    <w:sdt>
      <w:sdtPr>
        <w:rPr>
          <w:sz w:val="24"/>
        </w:rPr>
        <w:alias w:val="Consecutivo"/>
        <w:tag w:val="Consecutivo"/>
        <w:id w:val="2052717023"/>
        <w:placeholder>
          <w:docPart w:val="F7742ECF7C3F46C9B3CE7F8C6AB448FB"/>
        </w:placeholder>
        <w:text/>
      </w:sdtPr>
      <w:sdtEndPr/>
      <w:sdtContent>
        <w:p w:rsidR="006972C9" w:rsidP="00B6347B" w:rsidRDefault="006972C9" w14:paraId="27C0B794" w14:textId="77777777">
          <w:pPr>
            <w:tabs>
              <w:tab w:val="left" w:pos="2843"/>
            </w:tabs>
            <w:spacing w:line="240" w:lineRule="auto"/>
            <w:jc w:val="center"/>
            <w:rPr>
              <w:sz w:val="24"/>
            </w:rPr>
          </w:pPr>
          <w:r>
            <w:t>SGF-1343-2021</w:t>
          </w:r>
        </w:p>
      </w:sdtContent>
    </w:sdt>
    <w:p w:rsidR="006972C9" w:rsidP="00B6347B" w:rsidRDefault="001746F0" w14:paraId="274F6ADB" w14:textId="77777777">
      <w:pPr>
        <w:tabs>
          <w:tab w:val="left" w:pos="2843"/>
        </w:tabs>
        <w:spacing w:line="240" w:lineRule="auto"/>
        <w:jc w:val="center"/>
        <w:rPr>
          <w:sz w:val="24"/>
        </w:rPr>
      </w:pPr>
      <w:sdt>
        <w:sdtPr>
          <w:rPr>
            <w:sz w:val="24"/>
          </w:rPr>
          <w:alias w:val="Confidencialidad"/>
          <w:tag w:val="Confidencialidad"/>
          <w:id w:val="1447896894"/>
          <w:placeholder>
            <w:docPart w:val="A5BA3000A32D477590D500089E9BDA8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B6347B">
            <w:rPr>
              <w:sz w:val="24"/>
            </w:rPr>
            <w:t>SGF-PROPIETARIO</w:t>
          </w:r>
        </w:sdtContent>
      </w:sdt>
    </w:p>
    <w:p w:rsidRPr="00B6347B" w:rsidR="00B6347B" w:rsidP="008D0062" w:rsidRDefault="00B6347B" w14:paraId="2CC30EFA" w14:textId="77777777">
      <w:pPr>
        <w:tabs>
          <w:tab w:val="left" w:pos="2843"/>
        </w:tabs>
        <w:spacing w:line="240" w:lineRule="auto"/>
        <w:rPr>
          <w:sz w:val="24"/>
        </w:rPr>
      </w:pPr>
    </w:p>
    <w:p w:rsidRPr="00B6347B" w:rsidR="00B6347B" w:rsidP="00B6347B" w:rsidRDefault="00B6347B" w14:paraId="5222683B" w14:textId="77777777">
      <w:pPr>
        <w:spacing w:line="240" w:lineRule="auto"/>
        <w:contextualSpacing/>
        <w:rPr>
          <w:sz w:val="24"/>
          <w:lang w:val="es-CR"/>
        </w:rPr>
      </w:pPr>
      <w:r w:rsidRPr="00B6347B">
        <w:rPr>
          <w:sz w:val="24"/>
          <w:lang w:val="es-CR"/>
        </w:rPr>
        <w:t>La Superintendencia General de Entidades Financieras, informa a:</w:t>
      </w:r>
    </w:p>
    <w:p w:rsidR="00B6347B" w:rsidP="00B6347B" w:rsidRDefault="00B6347B" w14:paraId="0D05905B" w14:textId="081A10C8">
      <w:pPr>
        <w:tabs>
          <w:tab w:val="left" w:pos="2843"/>
        </w:tabs>
        <w:spacing w:line="240" w:lineRule="auto"/>
        <w:contextualSpacing/>
        <w:rPr>
          <w:sz w:val="24"/>
        </w:rPr>
      </w:pPr>
    </w:p>
    <w:p w:rsidRPr="00B6347B" w:rsidR="00600878" w:rsidP="00B6347B" w:rsidRDefault="00600878" w14:paraId="6B026C3F" w14:textId="77777777">
      <w:pPr>
        <w:tabs>
          <w:tab w:val="left" w:pos="2843"/>
        </w:tabs>
        <w:spacing w:line="240" w:lineRule="auto"/>
        <w:contextualSpacing/>
        <w:rPr>
          <w:sz w:val="24"/>
        </w:rPr>
      </w:pPr>
    </w:p>
    <w:p w:rsidRPr="00B6347B" w:rsidR="00B6347B" w:rsidP="00B6347B" w:rsidRDefault="00B6347B" w14:paraId="297F9C45" w14:textId="77777777">
      <w:pPr>
        <w:widowControl w:val="0"/>
        <w:numPr>
          <w:ilvl w:val="0"/>
          <w:numId w:val="3"/>
        </w:numPr>
        <w:spacing w:line="240" w:lineRule="auto"/>
        <w:ind w:right="86"/>
        <w:contextualSpacing/>
        <w:rPr>
          <w:sz w:val="24"/>
          <w:lang w:val="es-CR" w:eastAsia="es-ES"/>
        </w:rPr>
      </w:pPr>
      <w:r w:rsidRPr="00B6347B">
        <w:rPr>
          <w:sz w:val="24"/>
          <w:lang w:val="es-CR" w:eastAsia="es-ES"/>
        </w:rPr>
        <w:t>Bancos públicos, privados y mutuales</w:t>
      </w:r>
    </w:p>
    <w:p w:rsidRPr="00B6347B" w:rsidR="00B6347B" w:rsidP="00B6347B" w:rsidRDefault="00B6347B" w14:paraId="1F9AD929" w14:textId="77777777">
      <w:pPr>
        <w:widowControl w:val="0"/>
        <w:numPr>
          <w:ilvl w:val="0"/>
          <w:numId w:val="3"/>
        </w:numPr>
        <w:spacing w:line="240" w:lineRule="auto"/>
        <w:ind w:right="86"/>
        <w:contextualSpacing/>
        <w:rPr>
          <w:sz w:val="24"/>
          <w:lang w:val="es-CR" w:eastAsia="es-ES"/>
        </w:rPr>
      </w:pPr>
      <w:r w:rsidRPr="00B6347B">
        <w:rPr>
          <w:sz w:val="24"/>
          <w:lang w:val="es-CR" w:eastAsia="es-ES"/>
        </w:rPr>
        <w:t>Banco Popular, BANHVI y Caja de Ahorro y Préstamos de la ANDE</w:t>
      </w:r>
    </w:p>
    <w:p w:rsidRPr="00B6347B" w:rsidR="00B6347B" w:rsidP="00B6347B" w:rsidRDefault="00B6347B" w14:paraId="1289C86C" w14:textId="77777777">
      <w:pPr>
        <w:widowControl w:val="0"/>
        <w:numPr>
          <w:ilvl w:val="0"/>
          <w:numId w:val="3"/>
        </w:numPr>
        <w:spacing w:line="240" w:lineRule="auto"/>
        <w:ind w:right="86"/>
        <w:contextualSpacing/>
        <w:rPr>
          <w:sz w:val="24"/>
          <w:lang w:val="es-CR" w:eastAsia="es-ES"/>
        </w:rPr>
      </w:pPr>
      <w:r w:rsidRPr="00B6347B">
        <w:rPr>
          <w:sz w:val="24"/>
          <w:lang w:val="es-CR" w:eastAsia="es-ES"/>
        </w:rPr>
        <w:t>Cooperativas y empresa</w:t>
      </w:r>
      <w:bookmarkStart w:name="_GoBack" w:id="1"/>
      <w:bookmarkEnd w:id="1"/>
      <w:r w:rsidRPr="00B6347B">
        <w:rPr>
          <w:sz w:val="24"/>
          <w:lang w:val="es-CR" w:eastAsia="es-ES"/>
        </w:rPr>
        <w:t>s financieras</w:t>
      </w:r>
    </w:p>
    <w:p w:rsidRPr="00B6347B" w:rsidR="00B6347B" w:rsidP="00B6347B" w:rsidRDefault="00B6347B" w14:paraId="4ADA987F" w14:textId="77777777">
      <w:pPr>
        <w:widowControl w:val="0"/>
        <w:numPr>
          <w:ilvl w:val="0"/>
          <w:numId w:val="3"/>
        </w:numPr>
        <w:spacing w:line="240" w:lineRule="auto"/>
        <w:ind w:right="86"/>
        <w:contextualSpacing/>
        <w:rPr>
          <w:sz w:val="24"/>
          <w:lang w:val="es-CR" w:eastAsia="es-ES"/>
        </w:rPr>
      </w:pPr>
      <w:r w:rsidRPr="00B6347B">
        <w:rPr>
          <w:sz w:val="24"/>
          <w:lang w:val="es-CR"/>
        </w:rPr>
        <w:t>Grupos y conglomerados financieros</w:t>
      </w:r>
    </w:p>
    <w:p w:rsidRPr="00B6347B" w:rsidR="00B6347B" w:rsidP="00B6347B" w:rsidRDefault="00B6347B" w14:paraId="3F1921FE" w14:textId="77777777">
      <w:pPr>
        <w:widowControl w:val="0"/>
        <w:numPr>
          <w:ilvl w:val="0"/>
          <w:numId w:val="3"/>
        </w:numPr>
        <w:spacing w:line="240" w:lineRule="auto"/>
        <w:ind w:right="86"/>
        <w:contextualSpacing/>
        <w:rPr>
          <w:sz w:val="24"/>
          <w:lang w:val="es-CR" w:eastAsia="es-ES"/>
        </w:rPr>
      </w:pPr>
      <w:r w:rsidRPr="00B6347B">
        <w:rPr>
          <w:sz w:val="24"/>
          <w:lang w:val="es-CR" w:eastAsia="es-ES"/>
        </w:rPr>
        <w:t>Casas de Cambio</w:t>
      </w:r>
    </w:p>
    <w:p w:rsidRPr="00B6347B" w:rsidR="00B6347B" w:rsidP="00B6347B" w:rsidRDefault="00B6347B" w14:paraId="4239EFA8" w14:textId="77777777">
      <w:pPr>
        <w:widowControl w:val="0"/>
        <w:spacing w:line="240" w:lineRule="auto"/>
        <w:ind w:right="86"/>
        <w:rPr>
          <w:b/>
          <w:sz w:val="24"/>
        </w:rPr>
      </w:pPr>
    </w:p>
    <w:p w:rsidRPr="00B6347B" w:rsidR="00B6347B" w:rsidP="00B6347B" w:rsidRDefault="00B6347B" w14:paraId="43ABC677" w14:textId="77777777">
      <w:pPr>
        <w:widowControl w:val="0"/>
        <w:spacing w:line="240" w:lineRule="auto"/>
        <w:ind w:right="86"/>
        <w:rPr>
          <w:b/>
          <w:sz w:val="24"/>
        </w:rPr>
      </w:pPr>
      <w:r w:rsidRPr="00B6347B">
        <w:rPr>
          <w:b/>
          <w:sz w:val="24"/>
        </w:rPr>
        <w:t>Asunto:</w:t>
      </w:r>
    </w:p>
    <w:p w:rsidRPr="00B6347B" w:rsidR="00B6347B" w:rsidP="00B6347B" w:rsidRDefault="00B6347B" w14:paraId="2FE9932E" w14:textId="77777777">
      <w:pPr>
        <w:spacing w:line="240" w:lineRule="auto"/>
        <w:rPr>
          <w:sz w:val="24"/>
        </w:rPr>
      </w:pPr>
    </w:p>
    <w:p w:rsidRPr="00B6347B" w:rsidR="00B6347B" w:rsidP="00B6347B" w:rsidRDefault="00B6347B" w14:paraId="2EC01E49" w14:textId="3F49B782">
      <w:pPr>
        <w:spacing w:line="240" w:lineRule="auto"/>
        <w:rPr>
          <w:sz w:val="24"/>
        </w:rPr>
      </w:pPr>
      <w:r w:rsidRPr="00B6347B">
        <w:rPr>
          <w:b/>
          <w:sz w:val="24"/>
        </w:rPr>
        <w:t>Relaciones comerciales con personas físicas o jurídicas, sin autorización del Banco Central de Costa Rica para operar en el mercado cambiario de divisas</w:t>
      </w:r>
      <w:r w:rsidRPr="00B6347B">
        <w:rPr>
          <w:sz w:val="24"/>
        </w:rPr>
        <w:t>.</w:t>
      </w:r>
    </w:p>
    <w:p w:rsidRPr="00B6347B" w:rsidR="00B6347B" w:rsidP="00B6347B" w:rsidRDefault="00B6347B" w14:paraId="1B569071" w14:textId="77777777">
      <w:pPr>
        <w:spacing w:line="240" w:lineRule="auto"/>
        <w:rPr>
          <w:sz w:val="24"/>
        </w:rPr>
      </w:pPr>
    </w:p>
    <w:p w:rsidRPr="00B6347B" w:rsidR="00B6347B" w:rsidP="00B6347B" w:rsidRDefault="00B6347B" w14:paraId="62F0022F" w14:textId="77777777">
      <w:pPr>
        <w:widowControl w:val="0"/>
        <w:spacing w:line="240" w:lineRule="auto"/>
        <w:ind w:right="86"/>
        <w:contextualSpacing/>
        <w:rPr>
          <w:b/>
          <w:sz w:val="24"/>
          <w:lang w:val="es-CR"/>
        </w:rPr>
      </w:pPr>
      <w:r w:rsidRPr="00B6347B">
        <w:rPr>
          <w:b/>
          <w:sz w:val="24"/>
          <w:lang w:val="es-CR"/>
        </w:rPr>
        <w:t>Considerando que:</w:t>
      </w:r>
    </w:p>
    <w:p w:rsidR="00B6347B" w:rsidP="00B6347B" w:rsidRDefault="00B6347B" w14:paraId="2C90BBB0" w14:textId="21E7CE03">
      <w:pPr>
        <w:widowControl w:val="0"/>
        <w:spacing w:line="240" w:lineRule="auto"/>
        <w:ind w:right="86"/>
        <w:contextualSpacing/>
        <w:rPr>
          <w:b/>
          <w:sz w:val="24"/>
          <w:lang w:val="es-CR"/>
        </w:rPr>
      </w:pPr>
    </w:p>
    <w:p w:rsidRPr="00BE2F57" w:rsidR="00291663" w:rsidP="004D5CD4" w:rsidRDefault="00D42221" w14:paraId="1694FA65" w14:textId="52B4D021">
      <w:pPr>
        <w:pStyle w:val="Prrafodelista"/>
        <w:widowControl w:val="0"/>
        <w:numPr>
          <w:ilvl w:val="0"/>
          <w:numId w:val="4"/>
        </w:numPr>
        <w:spacing w:line="240" w:lineRule="auto"/>
        <w:ind w:right="86"/>
        <w:rPr>
          <w:sz w:val="24"/>
          <w:lang w:val="es-CR"/>
        </w:rPr>
      </w:pPr>
      <w:r w:rsidRPr="00BE2F57">
        <w:rPr>
          <w:sz w:val="24"/>
          <w:lang w:val="es-CR"/>
        </w:rPr>
        <w:t xml:space="preserve">Mediante Circular Externa SGF-3222 del 21 de octubre de 2019, se </w:t>
      </w:r>
      <w:r w:rsidRPr="00BE2F57" w:rsidR="00600878">
        <w:rPr>
          <w:sz w:val="24"/>
          <w:lang w:val="es-CR"/>
        </w:rPr>
        <w:t>solicit</w:t>
      </w:r>
      <w:r w:rsidRPr="00BE2F57" w:rsidR="00291663">
        <w:rPr>
          <w:sz w:val="24"/>
          <w:lang w:val="es-CR"/>
        </w:rPr>
        <w:t xml:space="preserve">ó </w:t>
      </w:r>
      <w:r w:rsidR="00E57E39">
        <w:rPr>
          <w:sz w:val="24"/>
          <w:lang w:val="es-CR"/>
        </w:rPr>
        <w:t xml:space="preserve">a las entidades </w:t>
      </w:r>
      <w:r w:rsidRPr="00BE2F57" w:rsidR="00BE2F57">
        <w:rPr>
          <w:sz w:val="24"/>
          <w:lang w:val="es-CR"/>
        </w:rPr>
        <w:t xml:space="preserve">evitar el establecimiento de relaciones comerciales con personas físicas o jurídicas cuya actividad comercial sea la compra y venta de divisas, sin contar con la autorización legal establecida por la Ley Orgánica del Banco Central de Rica, y que corresponde otorgarla al Banco Central de Costa Rica, así como la </w:t>
      </w:r>
      <w:r w:rsidRPr="00BE2F57" w:rsidR="00291663">
        <w:rPr>
          <w:sz w:val="24"/>
          <w:lang w:val="es-CR"/>
        </w:rPr>
        <w:t>revisión de las políticas y procedimientos establecidos para la atención de lo dispuesto mediante resolución SUGEF-R-SGF-1318-2017 del 8 de mayo de 2017 y verificar la efectividad de su aplicación</w:t>
      </w:r>
      <w:r w:rsidR="00BE2F57">
        <w:rPr>
          <w:sz w:val="24"/>
          <w:lang w:val="es-CR"/>
        </w:rPr>
        <w:t>.</w:t>
      </w:r>
    </w:p>
    <w:p w:rsidRPr="00E57E39" w:rsidR="00291663" w:rsidP="00291663" w:rsidRDefault="00291663" w14:paraId="5774FDA4" w14:textId="2F267068">
      <w:pPr>
        <w:pStyle w:val="Prrafodelista"/>
        <w:widowControl w:val="0"/>
        <w:spacing w:line="240" w:lineRule="auto"/>
        <w:ind w:right="86"/>
        <w:rPr>
          <w:sz w:val="24"/>
          <w:lang w:val="es-CR"/>
        </w:rPr>
      </w:pPr>
    </w:p>
    <w:p w:rsidRPr="00E57E39" w:rsidR="00B6347B" w:rsidP="00600878" w:rsidRDefault="00B6347B" w14:paraId="477D1705" w14:textId="01DE44DC">
      <w:pPr>
        <w:pStyle w:val="Prrafodelista"/>
        <w:widowControl w:val="0"/>
        <w:numPr>
          <w:ilvl w:val="0"/>
          <w:numId w:val="4"/>
        </w:numPr>
        <w:spacing w:line="240" w:lineRule="auto"/>
        <w:ind w:right="86"/>
        <w:rPr>
          <w:b/>
          <w:sz w:val="24"/>
          <w:lang w:val="es-CR"/>
        </w:rPr>
      </w:pPr>
      <w:r w:rsidRPr="00E57E39">
        <w:rPr>
          <w:sz w:val="24"/>
          <w:lang w:val="es-CR"/>
        </w:rPr>
        <w:t>El artículo 86 de la Ley Orgánica del Banco Central de Costa Rica, Ley N°7558 del 27 de noviembre de 1995 y sus reformas, dispone entre otros aspectos, la autorización y requisitos para negociar divisas en el territorio nacional por medio del Banco Central de Costa Rica, de las entidades financieras supervisadas por la Superintendencia General de Entidades Financieras y por otras que autorice la Junta Directiva del Banco Central.</w:t>
      </w:r>
    </w:p>
    <w:p w:rsidRPr="00E57E39" w:rsidR="00600878" w:rsidP="00600878" w:rsidRDefault="00600878" w14:paraId="0D1BD5B0" w14:textId="77777777">
      <w:pPr>
        <w:pStyle w:val="Prrafodelista"/>
        <w:rPr>
          <w:b/>
          <w:sz w:val="24"/>
          <w:lang w:val="es-CR"/>
        </w:rPr>
      </w:pPr>
    </w:p>
    <w:p w:rsidRPr="00E57E39" w:rsidR="00B6347B" w:rsidP="00600878" w:rsidRDefault="00B6347B" w14:paraId="24E8EA9E" w14:textId="077D1DE0">
      <w:pPr>
        <w:pStyle w:val="Prrafodelista"/>
        <w:widowControl w:val="0"/>
        <w:numPr>
          <w:ilvl w:val="0"/>
          <w:numId w:val="4"/>
        </w:numPr>
        <w:spacing w:line="240" w:lineRule="auto"/>
        <w:ind w:right="86"/>
        <w:rPr>
          <w:b/>
          <w:sz w:val="24"/>
          <w:lang w:val="es-CR"/>
        </w:rPr>
      </w:pPr>
      <w:r w:rsidRPr="00E57E39">
        <w:rPr>
          <w:sz w:val="24"/>
          <w:lang w:val="es-CR"/>
        </w:rPr>
        <w:t>El artículo 92 de la citada Ley N°7558, denominado “Represión para Infractores”, establece en el inciso a), que será reprimida con el pago de un veinticinco por ciento (25%) del monto total negociado, la persona física o jurídica que comprare o vendiere divisas o participare en cualquier forma, en transacciones de mercado cambiario, sin autorización legal o del Banco Central de Costa Rica.</w:t>
      </w:r>
    </w:p>
    <w:p w:rsidRPr="00E57E39" w:rsidR="00600878" w:rsidP="00600878" w:rsidRDefault="00600878" w14:paraId="3BBEB59C" w14:textId="77777777">
      <w:pPr>
        <w:pStyle w:val="Prrafodelista"/>
        <w:rPr>
          <w:b/>
          <w:sz w:val="24"/>
          <w:lang w:val="es-CR"/>
        </w:rPr>
      </w:pPr>
    </w:p>
    <w:p w:rsidRPr="00E57E39" w:rsidR="00B6347B" w:rsidP="00600878" w:rsidRDefault="00B6347B" w14:paraId="65D93F6E" w14:textId="69C331A6">
      <w:pPr>
        <w:pStyle w:val="Prrafodelista"/>
        <w:widowControl w:val="0"/>
        <w:numPr>
          <w:ilvl w:val="0"/>
          <w:numId w:val="4"/>
        </w:numPr>
        <w:spacing w:line="240" w:lineRule="auto"/>
        <w:ind w:right="86"/>
        <w:rPr>
          <w:b/>
          <w:sz w:val="24"/>
          <w:lang w:val="es-CR"/>
        </w:rPr>
      </w:pPr>
      <w:r w:rsidRPr="00E57E39">
        <w:rPr>
          <w:sz w:val="24"/>
          <w:lang w:val="es-CR"/>
        </w:rPr>
        <w:t>Que el flujo de efectivo en moneda extranjera representa una vulnerabilidad para nuestro país ante la gestión del riesgo de lavado de dinero y financiamiento del terrorismo (LC/FT).</w:t>
      </w:r>
    </w:p>
    <w:p w:rsidRPr="00E57E39" w:rsidR="00600878" w:rsidP="00600878" w:rsidRDefault="00600878" w14:paraId="565BD448" w14:textId="77777777">
      <w:pPr>
        <w:pStyle w:val="Prrafodelista"/>
        <w:rPr>
          <w:b/>
          <w:sz w:val="24"/>
          <w:lang w:val="es-CR"/>
        </w:rPr>
      </w:pPr>
    </w:p>
    <w:p w:rsidRPr="00600878" w:rsidR="00B6347B" w:rsidP="00600878" w:rsidRDefault="00E57E39" w14:paraId="5A6347B6" w14:textId="2323816B">
      <w:pPr>
        <w:pStyle w:val="Prrafodelista"/>
        <w:widowControl w:val="0"/>
        <w:numPr>
          <w:ilvl w:val="0"/>
          <w:numId w:val="4"/>
        </w:numPr>
        <w:spacing w:line="240" w:lineRule="auto"/>
        <w:ind w:right="86"/>
        <w:rPr>
          <w:b/>
          <w:sz w:val="24"/>
          <w:lang w:val="es-CR"/>
        </w:rPr>
      </w:pPr>
      <w:r>
        <w:rPr>
          <w:sz w:val="24"/>
          <w:lang w:val="es-CR"/>
        </w:rPr>
        <w:t>E</w:t>
      </w:r>
      <w:r w:rsidRPr="00600878" w:rsidR="00857B53">
        <w:rPr>
          <w:sz w:val="24"/>
          <w:lang w:val="es-CR"/>
        </w:rPr>
        <w:t xml:space="preserve">l artículo 42 del Acuerdo SUGEF12-21 </w:t>
      </w:r>
      <w:r w:rsidRPr="00600878" w:rsidR="00857B53">
        <w:rPr>
          <w:i/>
          <w:iCs/>
          <w:sz w:val="24"/>
          <w:lang w:val="es-CR"/>
        </w:rPr>
        <w:t>“Reglamento para la prevención del Riesgo de Legitimación de Capitales, Financiamiento al Terrorismo y Financiamiento de la Proliferación de Armas de Destrucción Masiva, Aplicables a los sujetos Obligados por el Artículo 14 de la Ley 7786”,</w:t>
      </w:r>
      <w:r w:rsidRPr="00600878" w:rsidR="00A36621">
        <w:rPr>
          <w:sz w:val="24"/>
          <w:lang w:val="es-CR"/>
        </w:rPr>
        <w:t xml:space="preserve"> </w:t>
      </w:r>
      <w:r w:rsidRPr="00600878" w:rsidR="00690BE5">
        <w:rPr>
          <w:sz w:val="24"/>
          <w:lang w:val="es-CR"/>
        </w:rPr>
        <w:t>el</w:t>
      </w:r>
      <w:r w:rsidRPr="00600878" w:rsidR="00A36621">
        <w:rPr>
          <w:sz w:val="24"/>
          <w:lang w:val="es-CR"/>
        </w:rPr>
        <w:t xml:space="preserve"> cual entra a regir a partir del 1° de enero de 2022</w:t>
      </w:r>
      <w:r w:rsidR="00D96B70">
        <w:rPr>
          <w:sz w:val="24"/>
          <w:lang w:val="es-CR"/>
        </w:rPr>
        <w:t>,</w:t>
      </w:r>
      <w:r w:rsidRPr="00600878" w:rsidR="00A36621">
        <w:rPr>
          <w:sz w:val="24"/>
          <w:lang w:val="es-CR"/>
        </w:rPr>
        <w:t xml:space="preserve"> e</w:t>
      </w:r>
      <w:r w:rsidRPr="00600878" w:rsidR="00857B53">
        <w:rPr>
          <w:sz w:val="24"/>
          <w:lang w:val="es-CR"/>
        </w:rPr>
        <w:t>stablece que:</w:t>
      </w:r>
    </w:p>
    <w:p w:rsidRPr="00600878" w:rsidR="00600878" w:rsidP="00600878" w:rsidRDefault="00600878" w14:paraId="67AAC6C7" w14:textId="77777777">
      <w:pPr>
        <w:pStyle w:val="Prrafodelista"/>
        <w:rPr>
          <w:b/>
          <w:sz w:val="24"/>
          <w:lang w:val="es-CR"/>
        </w:rPr>
      </w:pPr>
    </w:p>
    <w:p w:rsidRPr="00600878" w:rsidR="00857B53" w:rsidP="00600878" w:rsidRDefault="00A36621" w14:paraId="7E51910E" w14:textId="7EF9A272">
      <w:pPr>
        <w:pStyle w:val="Prrafodelista"/>
        <w:widowControl w:val="0"/>
        <w:spacing w:line="240" w:lineRule="auto"/>
        <w:ind w:right="86"/>
        <w:rPr>
          <w:b/>
          <w:sz w:val="24"/>
          <w:lang w:val="es-CR"/>
        </w:rPr>
      </w:pPr>
      <w:r w:rsidRPr="00600878">
        <w:rPr>
          <w:i/>
          <w:iCs/>
          <w:szCs w:val="22"/>
          <w:lang w:val="es-CR"/>
        </w:rPr>
        <w:t>“</w:t>
      </w:r>
      <w:r w:rsidRPr="00600878" w:rsidR="00857B53">
        <w:rPr>
          <w:i/>
          <w:iCs/>
          <w:szCs w:val="22"/>
          <w:lang w:val="es-CR"/>
        </w:rPr>
        <w:t>Los</w:t>
      </w:r>
      <w:r w:rsidRPr="00600878" w:rsidR="00690BE5">
        <w:rPr>
          <w:i/>
          <w:iCs/>
          <w:szCs w:val="22"/>
          <w:lang w:val="es-CR"/>
        </w:rPr>
        <w:t xml:space="preserve"> </w:t>
      </w:r>
      <w:r w:rsidRPr="00600878" w:rsidR="00857B53">
        <w:rPr>
          <w:i/>
          <w:iCs/>
          <w:szCs w:val="22"/>
          <w:lang w:val="es-CR"/>
        </w:rPr>
        <w:t xml:space="preserve">sujetos obligados tienen el deber de vigilar el cumplimiento del marco legal vigente en materia de prevención de la LC/FT/FPADM, respecto del desarrollo e implementación de políticas, procedimientos y controles que les permitan identificar, mediante una diligencia debida de conocimiento de sus clientes, a aquellas personas físicas y jurídicas que realizan actividades sujetas de inscripción por los artículos 15 y 15 bis de la Ley 7786, </w:t>
      </w:r>
      <w:r w:rsidRPr="00600878" w:rsidR="00857B53">
        <w:rPr>
          <w:i/>
          <w:iCs/>
          <w:szCs w:val="22"/>
          <w:u w:val="single"/>
          <w:lang w:val="es-CR"/>
        </w:rPr>
        <w:t>o de aquellas que participan en el mercado cambiario requiriendo la autorización expresa del BCCR</w:t>
      </w:r>
      <w:r w:rsidRPr="00600878" w:rsidR="00857B53">
        <w:rPr>
          <w:i/>
          <w:iCs/>
          <w:szCs w:val="22"/>
          <w:lang w:val="es-CR"/>
        </w:rPr>
        <w:t>.</w:t>
      </w:r>
      <w:r w:rsidRPr="00600878">
        <w:rPr>
          <w:i/>
          <w:iCs/>
          <w:szCs w:val="22"/>
          <w:lang w:val="es-CR"/>
        </w:rPr>
        <w:t>”</w:t>
      </w:r>
      <w:r w:rsidRPr="00600878" w:rsidR="00690BE5">
        <w:rPr>
          <w:i/>
          <w:iCs/>
          <w:szCs w:val="22"/>
          <w:lang w:val="es-CR"/>
        </w:rPr>
        <w:t xml:space="preserve"> </w:t>
      </w:r>
      <w:r w:rsidRPr="00600878" w:rsidR="00690BE5">
        <w:rPr>
          <w:sz w:val="24"/>
          <w:lang w:val="es-CR"/>
        </w:rPr>
        <w:t>(el destacado no es del original).</w:t>
      </w:r>
    </w:p>
    <w:p w:rsidR="00600878" w:rsidP="00BE2F57" w:rsidRDefault="00600878" w14:paraId="49D9E1FB" w14:textId="3CC3926D">
      <w:pPr>
        <w:widowControl w:val="0"/>
        <w:spacing w:line="240" w:lineRule="auto"/>
        <w:ind w:right="86"/>
        <w:rPr>
          <w:b/>
          <w:sz w:val="24"/>
          <w:u w:val="single"/>
          <w:lang w:val="es-CR"/>
        </w:rPr>
      </w:pPr>
    </w:p>
    <w:p w:rsidRPr="00BE2F57" w:rsidR="00BE2F57" w:rsidP="00BE2F57" w:rsidRDefault="00BE2F57" w14:paraId="35D54294" w14:textId="77777777">
      <w:pPr>
        <w:widowControl w:val="0"/>
        <w:spacing w:line="240" w:lineRule="auto"/>
        <w:ind w:right="86"/>
        <w:rPr>
          <w:b/>
          <w:sz w:val="24"/>
          <w:u w:val="single"/>
          <w:lang w:val="es-CR"/>
        </w:rPr>
      </w:pPr>
    </w:p>
    <w:p w:rsidRPr="00B6347B" w:rsidR="00B6347B" w:rsidP="00B6347B" w:rsidRDefault="00B6347B" w14:paraId="2DC2E869" w14:textId="77777777">
      <w:pPr>
        <w:widowControl w:val="0"/>
        <w:spacing w:line="240" w:lineRule="auto"/>
        <w:ind w:right="86"/>
        <w:contextualSpacing/>
        <w:rPr>
          <w:b/>
          <w:sz w:val="24"/>
          <w:lang w:val="es-CR"/>
        </w:rPr>
      </w:pPr>
      <w:r w:rsidRPr="00B6347B">
        <w:rPr>
          <w:b/>
          <w:sz w:val="24"/>
          <w:lang w:val="es-CR"/>
        </w:rPr>
        <w:t>Dispone:</w:t>
      </w:r>
    </w:p>
    <w:p w:rsidRPr="004451B1" w:rsidR="00B6347B" w:rsidP="00B6347B" w:rsidRDefault="00B6347B" w14:paraId="295ACF13" w14:textId="55536640">
      <w:pPr>
        <w:spacing w:line="240" w:lineRule="auto"/>
        <w:rPr>
          <w:sz w:val="24"/>
        </w:rPr>
      </w:pPr>
    </w:p>
    <w:p w:rsidRPr="004451B1" w:rsidR="00B6347B" w:rsidP="00B6347B" w:rsidRDefault="00D42221" w14:paraId="1BC6D7F5" w14:textId="1554150C">
      <w:pPr>
        <w:spacing w:line="240" w:lineRule="auto"/>
        <w:rPr>
          <w:sz w:val="24"/>
          <w:lang w:val="es-CR"/>
        </w:rPr>
      </w:pPr>
      <w:proofErr w:type="gramStart"/>
      <w:r w:rsidRPr="004451B1">
        <w:rPr>
          <w:sz w:val="24"/>
        </w:rPr>
        <w:t>Reiterar</w:t>
      </w:r>
      <w:proofErr w:type="gramEnd"/>
      <w:r w:rsidRPr="004451B1">
        <w:rPr>
          <w:sz w:val="24"/>
        </w:rPr>
        <w:t xml:space="preserve"> que </w:t>
      </w:r>
      <w:r w:rsidRPr="004451B1" w:rsidR="00BE2F57">
        <w:rPr>
          <w:sz w:val="24"/>
        </w:rPr>
        <w:t xml:space="preserve">para la </w:t>
      </w:r>
      <w:r w:rsidRPr="004451B1" w:rsidR="00B6347B">
        <w:rPr>
          <w:sz w:val="24"/>
        </w:rPr>
        <w:t xml:space="preserve">prevención de los riesgos de LC/FT, es necesario contar con una estricta debida diligencia reforzada sobre los clientes que tengan flujos recurrentes de ingresos y/o egresos de efectivo en moneda extranjera, debiendo en todo caso demostrar su actividad comercial y el origen de sus fondos. Con base en esto, las entidades financieras </w:t>
      </w:r>
      <w:r w:rsidRPr="004451B1" w:rsidR="00B6347B">
        <w:rPr>
          <w:b/>
          <w:sz w:val="24"/>
          <w:u w:val="single"/>
        </w:rPr>
        <w:t xml:space="preserve">deben </w:t>
      </w:r>
      <w:r w:rsidR="00406A98">
        <w:rPr>
          <w:b/>
          <w:sz w:val="24"/>
          <w:u w:val="single"/>
        </w:rPr>
        <w:t>impedir</w:t>
      </w:r>
      <w:r w:rsidRPr="004451B1" w:rsidR="00B6347B">
        <w:rPr>
          <w:sz w:val="24"/>
        </w:rPr>
        <w:t xml:space="preserve"> el </w:t>
      </w:r>
      <w:r w:rsidRPr="004451B1" w:rsidR="00B6347B">
        <w:rPr>
          <w:sz w:val="24"/>
          <w:lang w:val="es-CR"/>
        </w:rPr>
        <w:t>establecimiento de relaciones comerciales con personas físicas o jurídicas cuya actividad comercial sea la compra y venta de divisas, sin contar con la autorización legal establecida por la Ley Orgánica del Banco Central de Rica, y que corresponde otorgarla al Banco Central de Costa Rica.</w:t>
      </w:r>
    </w:p>
    <w:p w:rsidRPr="004451B1" w:rsidR="00B6347B" w:rsidP="00B6347B" w:rsidRDefault="00B6347B" w14:paraId="3657937E" w14:textId="77777777">
      <w:pPr>
        <w:spacing w:line="240" w:lineRule="auto"/>
        <w:rPr>
          <w:sz w:val="24"/>
          <w:lang w:val="es-CR"/>
        </w:rPr>
      </w:pPr>
    </w:p>
    <w:p w:rsidRPr="004451B1" w:rsidR="00B6347B" w:rsidP="00B6347B" w:rsidRDefault="00B6347B" w14:paraId="58C2192C" w14:textId="77777777">
      <w:pPr>
        <w:spacing w:line="240" w:lineRule="auto"/>
        <w:rPr>
          <w:sz w:val="24"/>
        </w:rPr>
      </w:pPr>
      <w:r w:rsidRPr="004451B1">
        <w:rPr>
          <w:sz w:val="24"/>
          <w:lang w:val="es-CR"/>
        </w:rPr>
        <w:t>Tales controles deben ser reforzados en zonas que se consideren de alto riesgo, como por ejemplo en aquellas sucursales o agencias que se encuentren ubicadas cerca de zonas fronterizas (terrestres, marítimas o aéreas), pero sin limitarse a éstas, dado que el flujo de efectivo en moneda extranjera podría trasladarse hacia zonas con controles menos estrictos.</w:t>
      </w:r>
    </w:p>
    <w:p w:rsidR="00B6347B" w:rsidP="00B6347B" w:rsidRDefault="00B6347B" w14:paraId="294C8301" w14:textId="0BD164CE">
      <w:pPr>
        <w:spacing w:line="240" w:lineRule="auto"/>
        <w:rPr>
          <w:sz w:val="24"/>
        </w:rPr>
      </w:pPr>
    </w:p>
    <w:p w:rsidRPr="004451B1" w:rsidR="00B6347B" w:rsidP="00B6347B" w:rsidRDefault="00390F4B" w14:paraId="774A84EB" w14:textId="513D0866">
      <w:pPr>
        <w:spacing w:line="240" w:lineRule="auto"/>
        <w:rPr>
          <w:sz w:val="24"/>
        </w:rPr>
      </w:pPr>
      <w:r>
        <w:rPr>
          <w:sz w:val="24"/>
        </w:rPr>
        <w:t>Requerir a las entidades supervisadas que informen a esta Superintendencia r</w:t>
      </w:r>
      <w:r w:rsidR="005E12E7">
        <w:rPr>
          <w:sz w:val="24"/>
        </w:rPr>
        <w:t xml:space="preserve">especto de las gestiones implementadas de la revisión y actualización de las políticas y procedimientos </w:t>
      </w:r>
      <w:r w:rsidRPr="005E12E7" w:rsidR="005E12E7">
        <w:rPr>
          <w:sz w:val="24"/>
        </w:rPr>
        <w:t>establecidos para la atención de lo dispuesto mediante resolución SUGEF-R-SGF-1318-2017 del 8 de mayo de 2017</w:t>
      </w:r>
      <w:r w:rsidR="005E12E7">
        <w:rPr>
          <w:sz w:val="24"/>
        </w:rPr>
        <w:t>, deb</w:t>
      </w:r>
      <w:r w:rsidR="00D96B70">
        <w:rPr>
          <w:sz w:val="24"/>
        </w:rPr>
        <w:t>iendo</w:t>
      </w:r>
      <w:r w:rsidR="005E12E7">
        <w:rPr>
          <w:sz w:val="24"/>
        </w:rPr>
        <w:t xml:space="preserve"> in</w:t>
      </w:r>
      <w:r w:rsidR="00D96B70">
        <w:rPr>
          <w:sz w:val="24"/>
        </w:rPr>
        <w:t>formar</w:t>
      </w:r>
      <w:r w:rsidR="005E12E7">
        <w:rPr>
          <w:sz w:val="24"/>
        </w:rPr>
        <w:t xml:space="preserve"> cuáles son los cambios en su política y si tiene</w:t>
      </w:r>
      <w:r w:rsidR="00406A98">
        <w:rPr>
          <w:sz w:val="24"/>
        </w:rPr>
        <w:t>n</w:t>
      </w:r>
      <w:r w:rsidR="005E12E7">
        <w:rPr>
          <w:sz w:val="24"/>
        </w:rPr>
        <w:t xml:space="preserve"> o han tenido clientes cuya</w:t>
      </w:r>
      <w:r w:rsidRPr="005E12E7" w:rsidR="005E12E7">
        <w:rPr>
          <w:sz w:val="24"/>
        </w:rPr>
        <w:t xml:space="preserve"> actividad comercial sea la compra y venta de divisas, sin contar con la autorización legal establecida por la Ley </w:t>
      </w:r>
      <w:r w:rsidRPr="004451B1" w:rsidR="005E12E7">
        <w:rPr>
          <w:sz w:val="24"/>
        </w:rPr>
        <w:t xml:space="preserve">Orgánica del Banco Central de Rica, y que corresponde otorgarla al Banco Central de </w:t>
      </w:r>
      <w:r w:rsidRPr="004451B1" w:rsidR="005E12E7">
        <w:rPr>
          <w:sz w:val="24"/>
        </w:rPr>
        <w:lastRenderedPageBreak/>
        <w:t>Costa Rica</w:t>
      </w:r>
      <w:r w:rsidRPr="004451B1" w:rsidR="004451B1">
        <w:rPr>
          <w:sz w:val="24"/>
        </w:rPr>
        <w:t xml:space="preserve">.  </w:t>
      </w:r>
      <w:r w:rsidRPr="004451B1" w:rsidR="00B6347B">
        <w:rPr>
          <w:sz w:val="24"/>
          <w:lang w:val="es-CR"/>
        </w:rPr>
        <w:t xml:space="preserve">En caso de identificarse debilidades, se debe proceder con su inmediata corrección. </w:t>
      </w:r>
      <w:r w:rsidRPr="004451B1" w:rsidR="005E12E7">
        <w:rPr>
          <w:sz w:val="24"/>
          <w:lang w:val="es-CR"/>
        </w:rPr>
        <w:t xml:space="preserve"> </w:t>
      </w:r>
      <w:r w:rsidRPr="004451B1" w:rsidR="00B6347B">
        <w:rPr>
          <w:sz w:val="24"/>
          <w:lang w:val="es-CR"/>
        </w:rPr>
        <w:t xml:space="preserve">Los resultados de esta revisión deben comunicarse a esta Superintendencia en plazo máximo de </w:t>
      </w:r>
      <w:r w:rsidR="00557686">
        <w:rPr>
          <w:b/>
          <w:sz w:val="24"/>
          <w:lang w:val="es-CR"/>
        </w:rPr>
        <w:t>quince</w:t>
      </w:r>
      <w:r w:rsidRPr="004451B1" w:rsidR="00B6347B">
        <w:rPr>
          <w:b/>
          <w:sz w:val="24"/>
          <w:lang w:val="es-CR"/>
        </w:rPr>
        <w:t xml:space="preserve"> (1</w:t>
      </w:r>
      <w:r w:rsidR="00557686">
        <w:rPr>
          <w:b/>
          <w:sz w:val="24"/>
          <w:lang w:val="es-CR"/>
        </w:rPr>
        <w:t>5</w:t>
      </w:r>
      <w:r w:rsidRPr="004451B1" w:rsidR="00B6347B">
        <w:rPr>
          <w:b/>
          <w:sz w:val="24"/>
          <w:lang w:val="es-CR"/>
        </w:rPr>
        <w:t>) días hábiles</w:t>
      </w:r>
      <w:r w:rsidRPr="004451B1" w:rsidR="00B6347B">
        <w:rPr>
          <w:sz w:val="24"/>
          <w:lang w:val="es-CR"/>
        </w:rPr>
        <w:t xml:space="preserve"> contados a partir de esta notificación.</w:t>
      </w:r>
    </w:p>
    <w:p w:rsidR="00B6347B" w:rsidP="008D0062" w:rsidRDefault="00B6347B" w14:paraId="00DA171F" w14:textId="11DBB58C">
      <w:pPr>
        <w:tabs>
          <w:tab w:val="left" w:pos="2843"/>
        </w:tabs>
        <w:spacing w:line="240" w:lineRule="auto"/>
        <w:rPr>
          <w:sz w:val="24"/>
          <w:lang w:val="es-CR"/>
        </w:rPr>
      </w:pPr>
    </w:p>
    <w:p w:rsidRPr="00B6347B" w:rsidR="00D96B70" w:rsidP="008D0062" w:rsidRDefault="00D96B70" w14:paraId="34D076AE" w14:textId="77777777">
      <w:pPr>
        <w:tabs>
          <w:tab w:val="left" w:pos="2843"/>
        </w:tabs>
        <w:spacing w:line="240" w:lineRule="auto"/>
        <w:rPr>
          <w:sz w:val="24"/>
          <w:lang w:val="es-CR"/>
        </w:rPr>
      </w:pPr>
    </w:p>
    <w:p w:rsidRPr="002E2B0A" w:rsidR="006972C9" w:rsidP="008D0062" w:rsidRDefault="006972C9" w14:paraId="49B5BB88" w14:textId="77777777">
      <w:pPr>
        <w:pStyle w:val="Texto"/>
        <w:spacing w:before="0" w:after="0" w:line="240" w:lineRule="auto"/>
        <w:rPr>
          <w:sz w:val="24"/>
        </w:rPr>
      </w:pPr>
      <w:r w:rsidRPr="002E2B0A">
        <w:rPr>
          <w:sz w:val="24"/>
        </w:rPr>
        <w:t>Atentamente,</w:t>
      </w:r>
    </w:p>
    <w:bookmarkEnd w:id="0"/>
    <w:p w:rsidRPr="002E2B0A" w:rsidR="008D1D59" w:rsidP="008D0062" w:rsidRDefault="00B6347B" w14:paraId="5BE81DE2" w14:textId="77777777">
      <w:pPr>
        <w:spacing w:line="240" w:lineRule="auto"/>
        <w:rPr>
          <w:sz w:val="24"/>
        </w:rPr>
      </w:pPr>
      <w:r>
        <w:rPr>
          <w:noProof/>
          <w:lang w:val="es-CR" w:eastAsia="es-CR"/>
        </w:rPr>
        <w:drawing>
          <wp:anchor distT="0" distB="0" distL="114300" distR="114300" simplePos="0" relativeHeight="251659264" behindDoc="1" locked="0" layoutInCell="1" allowOverlap="1" wp14:editId="3816C9E4" wp14:anchorId="2795C798">
            <wp:simplePos x="0" y="0"/>
            <wp:positionH relativeFrom="column">
              <wp:posOffset>-181035</wp:posOffset>
            </wp:positionH>
            <wp:positionV relativeFrom="paragraph">
              <wp:posOffset>92854</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FA7AB6" w:rsidP="008D0062" w:rsidRDefault="00FA7AB6" w14:paraId="72CF455C" w14:textId="77777777">
      <w:pPr>
        <w:pStyle w:val="Negrita"/>
        <w:spacing w:line="240" w:lineRule="auto"/>
        <w:jc w:val="left"/>
        <w:rPr>
          <w:sz w:val="24"/>
        </w:rPr>
      </w:pPr>
    </w:p>
    <w:p w:rsidR="00B6347B" w:rsidP="008D0062" w:rsidRDefault="00B6347B" w14:paraId="14A4C798" w14:textId="77777777">
      <w:pPr>
        <w:pStyle w:val="Negrita"/>
        <w:spacing w:line="240" w:lineRule="auto"/>
        <w:jc w:val="left"/>
        <w:rPr>
          <w:sz w:val="24"/>
        </w:rPr>
      </w:pPr>
    </w:p>
    <w:p w:rsidR="00D96B70" w:rsidP="008D0062" w:rsidRDefault="00D96B70" w14:paraId="25CCFEAF" w14:textId="77777777">
      <w:pPr>
        <w:pStyle w:val="Negrita"/>
        <w:spacing w:line="240" w:lineRule="auto"/>
        <w:jc w:val="left"/>
        <w:rPr>
          <w:b w:val="0"/>
          <w:sz w:val="24"/>
        </w:rPr>
      </w:pPr>
    </w:p>
    <w:p w:rsidRPr="002733E1" w:rsidR="00FA7AB6" w:rsidP="008D0062" w:rsidRDefault="00FA7AB6" w14:paraId="1089DEB9" w14:textId="3C65BB3E">
      <w:pPr>
        <w:pStyle w:val="Negrita"/>
        <w:spacing w:line="240" w:lineRule="auto"/>
        <w:jc w:val="left"/>
        <w:rPr>
          <w:b w:val="0"/>
          <w:sz w:val="24"/>
        </w:rPr>
      </w:pPr>
      <w:r w:rsidRPr="002733E1">
        <w:rPr>
          <w:b w:val="0"/>
          <w:sz w:val="24"/>
        </w:rPr>
        <w:t>José Armando Fallas Martínez</w:t>
      </w:r>
    </w:p>
    <w:p w:rsidR="00FA7AB6" w:rsidP="008D0062" w:rsidRDefault="00FA7AB6" w14:paraId="14322425" w14:textId="77777777">
      <w:pPr>
        <w:pStyle w:val="Negrita"/>
        <w:spacing w:line="240" w:lineRule="auto"/>
        <w:jc w:val="left"/>
        <w:rPr>
          <w:noProof/>
          <w:lang w:val="es-CR" w:eastAsia="es-CR"/>
        </w:rPr>
      </w:pPr>
      <w:r>
        <w:rPr>
          <w:sz w:val="24"/>
        </w:rPr>
        <w:t>Intendente</w:t>
      </w:r>
      <w:r w:rsidR="0080131E">
        <w:rPr>
          <w:sz w:val="24"/>
        </w:rPr>
        <w:t xml:space="preserve"> General</w:t>
      </w:r>
      <w:r w:rsidRPr="00A35D0A">
        <w:rPr>
          <w:sz w:val="24"/>
        </w:rPr>
        <w:t xml:space="preserve"> </w:t>
      </w:r>
      <w:r>
        <w:rPr>
          <w:noProof/>
          <w:lang w:val="es-CR" w:eastAsia="es-CR"/>
        </w:rPr>
        <w:t xml:space="preserve"> </w:t>
      </w:r>
    </w:p>
    <w:p w:rsidR="00FA7AB6" w:rsidP="008D0062" w:rsidRDefault="00FA7AB6" w14:paraId="62A1571D" w14:textId="77777777">
      <w:pPr>
        <w:pStyle w:val="Negrita"/>
        <w:spacing w:line="240" w:lineRule="auto"/>
        <w:jc w:val="left"/>
        <w:rPr>
          <w:sz w:val="24"/>
        </w:rPr>
      </w:pPr>
    </w:p>
    <w:p w:rsidR="006972C9" w:rsidP="006972C9" w:rsidRDefault="006972C9" w14:paraId="6297CBCD" w14:textId="44534C27"/>
    <w:p w:rsidR="00D96B70" w:rsidP="006972C9" w:rsidRDefault="00D96B70" w14:paraId="4A9D4012" w14:textId="77777777"/>
    <w:p w:rsidRPr="006972C9" w:rsidR="00B6347B" w:rsidP="006972C9" w:rsidRDefault="00B6347B" w14:paraId="74725043" w14:textId="77777777"/>
    <w:p w:rsidRPr="00406A98" w:rsidR="00AF06C5" w:rsidP="00B6347B" w:rsidRDefault="00B6347B" w14:paraId="607DFD8B" w14:textId="77777777">
      <w:pPr>
        <w:pStyle w:val="Negrita"/>
        <w:spacing w:line="240" w:lineRule="auto"/>
        <w:rPr>
          <w:b w:val="0"/>
          <w:i/>
          <w:sz w:val="16"/>
          <w:szCs w:val="16"/>
        </w:rPr>
      </w:pPr>
      <w:r w:rsidRPr="00406A98">
        <w:rPr>
          <w:b w:val="0"/>
          <w:i/>
          <w:sz w:val="16"/>
          <w:szCs w:val="16"/>
        </w:rPr>
        <w:t>JAFM/RCA/MFCC</w:t>
      </w:r>
    </w:p>
    <w:sectPr w:rsidRPr="00406A98"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A558D" w14:textId="77777777" w:rsidR="00B6347B" w:rsidRDefault="00B6347B" w:rsidP="009349F3">
      <w:pPr>
        <w:spacing w:line="240" w:lineRule="auto"/>
      </w:pPr>
      <w:r>
        <w:separator/>
      </w:r>
    </w:p>
  </w:endnote>
  <w:endnote w:type="continuationSeparator" w:id="0">
    <w:p w14:paraId="413E26C7" w14:textId="77777777" w:rsidR="00B6347B" w:rsidRDefault="00B6347B"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7E3764B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9C2B51D" w14:textId="77777777">
      <w:tc>
        <w:tcPr>
          <w:tcW w:w="2942" w:type="dxa"/>
        </w:tcPr>
        <w:p w:rsidR="00DD0C27" w:rsidP="00DD0C27" w:rsidRDefault="00DD0C27" w14:paraId="25B995E1" w14:textId="77777777">
          <w:pPr>
            <w:pStyle w:val="Piedepgina"/>
            <w:rPr>
              <w:b/>
              <w:color w:val="7F7F7F" w:themeColor="text1" w:themeTint="80"/>
              <w:sz w:val="16"/>
              <w:szCs w:val="16"/>
            </w:rPr>
          </w:pPr>
          <w:r>
            <w:rPr>
              <w:b/>
              <w:color w:val="7F7F7F" w:themeColor="text1" w:themeTint="80"/>
              <w:sz w:val="16"/>
              <w:szCs w:val="16"/>
            </w:rPr>
            <w:t>Teléfono: (506) 2243-4848</w:t>
          </w:r>
        </w:p>
        <w:p w:rsidR="00DD0C27" w:rsidP="00DD0C27" w:rsidRDefault="00DD0C27" w14:paraId="5BB7B280"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3147C991" w14:textId="77777777">
          <w:pPr>
            <w:pStyle w:val="Piedepgina"/>
            <w:rPr>
              <w:b/>
              <w:color w:val="7F7F7F" w:themeColor="text1" w:themeTint="80"/>
              <w:sz w:val="16"/>
              <w:szCs w:val="16"/>
            </w:rPr>
          </w:pPr>
        </w:p>
      </w:tc>
      <w:tc>
        <w:tcPr>
          <w:tcW w:w="2943" w:type="dxa"/>
        </w:tcPr>
        <w:p w:rsidRPr="009349F3" w:rsidR="00517D62" w:rsidP="00855792" w:rsidRDefault="00517D62" w14:paraId="2A0C9D30"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40F7084A"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005CE2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1DAAF88C"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062AAC8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C0818" w14:textId="77777777" w:rsidR="00B6347B" w:rsidRDefault="00B6347B" w:rsidP="009349F3">
      <w:pPr>
        <w:spacing w:line="240" w:lineRule="auto"/>
      </w:pPr>
      <w:r>
        <w:separator/>
      </w:r>
    </w:p>
  </w:footnote>
  <w:footnote w:type="continuationSeparator" w:id="0">
    <w:p w14:paraId="3B79B36F" w14:textId="77777777" w:rsidR="00B6347B" w:rsidRDefault="00B6347B"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431FB11B"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17F31D37" w14:textId="77777777">
    <w:pPr>
      <w:pStyle w:val="Encabezado"/>
    </w:pPr>
    <w:r>
      <w:ptab w:alignment="center" w:relativeTo="margin" w:leader="none"/>
    </w:r>
    <w:r>
      <w:rPr>
        <w:noProof/>
        <w:lang w:val="es-CR" w:eastAsia="es-CR"/>
      </w:rPr>
      <w:drawing>
        <wp:inline distT="0" distB="0" distL="0" distR="0" wp14:anchorId="554A5FF9" wp14:editId="2150C3D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04560DB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44EA"/>
    <w:multiLevelType w:val="hybridMultilevel"/>
    <w:tmpl w:val="0AAE043C"/>
    <w:lvl w:ilvl="0" w:tplc="140A000B">
      <w:start w:val="1"/>
      <w:numFmt w:val="bullet"/>
      <w:lvlText w:val=""/>
      <w:lvlJc w:val="left"/>
      <w:pPr>
        <w:ind w:left="1080" w:hanging="360"/>
      </w:pPr>
      <w:rPr>
        <w:rFonts w:ascii="Wingdings" w:hAnsi="Wingdings"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B022BD1"/>
    <w:multiLevelType w:val="hybridMultilevel"/>
    <w:tmpl w:val="97448FD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7B"/>
    <w:rsid w:val="001746F0"/>
    <w:rsid w:val="00291663"/>
    <w:rsid w:val="002D6ACD"/>
    <w:rsid w:val="00322C6D"/>
    <w:rsid w:val="0033556F"/>
    <w:rsid w:val="00390F4B"/>
    <w:rsid w:val="003E0A6C"/>
    <w:rsid w:val="00406A98"/>
    <w:rsid w:val="004451B1"/>
    <w:rsid w:val="00517D62"/>
    <w:rsid w:val="00557686"/>
    <w:rsid w:val="0058001F"/>
    <w:rsid w:val="005E12E7"/>
    <w:rsid w:val="005F7C14"/>
    <w:rsid w:val="00600878"/>
    <w:rsid w:val="0061286B"/>
    <w:rsid w:val="0066384E"/>
    <w:rsid w:val="00690BE5"/>
    <w:rsid w:val="006972C9"/>
    <w:rsid w:val="006D1E13"/>
    <w:rsid w:val="0075045B"/>
    <w:rsid w:val="00771515"/>
    <w:rsid w:val="0080131E"/>
    <w:rsid w:val="008200B7"/>
    <w:rsid w:val="00852F96"/>
    <w:rsid w:val="00855792"/>
    <w:rsid w:val="00857B53"/>
    <w:rsid w:val="008D0062"/>
    <w:rsid w:val="008D1D59"/>
    <w:rsid w:val="008F35E6"/>
    <w:rsid w:val="00900B79"/>
    <w:rsid w:val="009349F3"/>
    <w:rsid w:val="00A36621"/>
    <w:rsid w:val="00AF06C5"/>
    <w:rsid w:val="00B237E7"/>
    <w:rsid w:val="00B6347B"/>
    <w:rsid w:val="00B673FC"/>
    <w:rsid w:val="00BE2F57"/>
    <w:rsid w:val="00C5070F"/>
    <w:rsid w:val="00D42221"/>
    <w:rsid w:val="00D96B70"/>
    <w:rsid w:val="00DD0C27"/>
    <w:rsid w:val="00DE2D06"/>
    <w:rsid w:val="00E33FDB"/>
    <w:rsid w:val="00E57E39"/>
    <w:rsid w:val="00FA7A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9C3AA2"/>
  <w15:chartTrackingRefBased/>
  <w15:docId w15:val="{3DFEF6C4-3DB2-4BE1-A981-DE536B6D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paragraph" w:styleId="Prrafodelista">
    <w:name w:val="List Paragraph"/>
    <w:basedOn w:val="Normal"/>
    <w:uiPriority w:val="34"/>
    <w:qFormat/>
    <w:rsid w:val="00A36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742ECF7C3F46C9B3CE7F8C6AB448FB"/>
        <w:category>
          <w:name w:val="General"/>
          <w:gallery w:val="placeholder"/>
        </w:category>
        <w:types>
          <w:type w:val="bbPlcHdr"/>
        </w:types>
        <w:behaviors>
          <w:behavior w:val="content"/>
        </w:behaviors>
        <w:guid w:val="{7C380730-CA09-42CA-A1D7-957873D923DC}"/>
      </w:docPartPr>
      <w:docPartBody>
        <w:p w:rsidR="005B433C" w:rsidRDefault="005B433C">
          <w:pPr>
            <w:pStyle w:val="F7742ECF7C3F46C9B3CE7F8C6AB448FB"/>
          </w:pPr>
          <w:r w:rsidRPr="001E0779">
            <w:rPr>
              <w:rStyle w:val="Textodelmarcadordeposicin"/>
            </w:rPr>
            <w:t>Haga clic aquí para escribir texto.</w:t>
          </w:r>
        </w:p>
      </w:docPartBody>
    </w:docPart>
    <w:docPart>
      <w:docPartPr>
        <w:name w:val="A5BA3000A32D477590D500089E9BDA81"/>
        <w:category>
          <w:name w:val="General"/>
          <w:gallery w:val="placeholder"/>
        </w:category>
        <w:types>
          <w:type w:val="bbPlcHdr"/>
        </w:types>
        <w:behaviors>
          <w:behavior w:val="content"/>
        </w:behaviors>
        <w:guid w:val="{9A5065F1-E0EC-4697-937C-EE53AD17EDCE}"/>
      </w:docPartPr>
      <w:docPartBody>
        <w:p w:rsidR="005B433C" w:rsidRDefault="005B433C">
          <w:pPr>
            <w:pStyle w:val="A5BA3000A32D477590D500089E9BDA8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3C"/>
    <w:rsid w:val="005B43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F7742ECF7C3F46C9B3CE7F8C6AB448FB">
    <w:name w:val="F7742ECF7C3F46C9B3CE7F8C6AB448FB"/>
  </w:style>
  <w:style w:type="paragraph" w:customStyle="1" w:styleId="A5BA3000A32D477590D500089E9BDA81">
    <w:name w:val="A5BA3000A32D477590D500089E9BD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uzIOkDf9SxNwYzvPkA8QkyMd60dnntncEC+LOt05kHc=</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C59+iNgqAcZdL3EcJsrgKGnPSFkYd8UMdu3vVVFhBdU=</DigestValue>
    </Reference>
  </SignedInfo>
  <SignatureValue>D37vAd+fuI1XcFRPnuMF3t41fh8JvCRhYtNGHrfqFKAbN1uow1SscZYZDRiuXvr+5+ff+ozpbPmn
dZk80VICH0r+N+eNP6La7JhpKCdFn0jiha3w4C3vWr5QkeAsRN0bOKId2526D0r7XuyfXr+8bK8M
hHYJD2JzKMPzgxgklNhlJEB3hrZfJTHQG08m/haOIJW7CXFBGLP2i2g0L48Uhwzbgg/LH8v0WEZp
rbYQu3X54Tpv7tYo2osvgGdatw2d2HbUO4iY5bV3joXPe9qHeWpi9VsFwc9q/jN1H2+356F7sCo2
9hD9T8+ORCBBzreu9LplgxwmHBFDN9J4zrQwCw==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p5NGTQ050sDR4ZzjRbNDoU5TSOLwBdl4dJ5KoIPCsfk=</DigestValue>
      </Reference>
      <Reference URI="/word/endnotes.xml?ContentType=application/vnd.openxmlformats-officedocument.wordprocessingml.endnotes+xml">
        <DigestMethod Algorithm="http://www.w3.org/2001/04/xmlenc#sha256"/>
        <DigestValue>01vDkkhYrTBgubGNk6bCo+oPOvd4oV3COFEMEaD72tQ=</DigestValue>
      </Reference>
      <Reference URI="/word/fontTable.xml?ContentType=application/vnd.openxmlformats-officedocument.wordprocessingml.fontTable+xml">
        <DigestMethod Algorithm="http://www.w3.org/2001/04/xmlenc#sha256"/>
        <DigestValue>f06Cw17oekSEugV0YcRsmzlWrHC5Ht4kwrYMdc5szrY=</DigestValue>
      </Reference>
      <Reference URI="/word/footer1.xml?ContentType=application/vnd.openxmlformats-officedocument.wordprocessingml.footer+xml">
        <DigestMethod Algorithm="http://www.w3.org/2001/04/xmlenc#sha256"/>
        <DigestValue>CL32tYy397B9al5VpGcdChrx5OUcLM4SYh5nFyJ9y1Q=</DigestValue>
      </Reference>
      <Reference URI="/word/footer2.xml?ContentType=application/vnd.openxmlformats-officedocument.wordprocessingml.footer+xml">
        <DigestMethod Algorithm="http://www.w3.org/2001/04/xmlenc#sha256"/>
        <DigestValue>fesS+gaDaptC5VsILJzFA8jif2LHm3U6G2zWsud+Vwo=</DigestValue>
      </Reference>
      <Reference URI="/word/footer3.xml?ContentType=application/vnd.openxmlformats-officedocument.wordprocessingml.footer+xml">
        <DigestMethod Algorithm="http://www.w3.org/2001/04/xmlenc#sha256"/>
        <DigestValue>+MwDtic/CZJqRp+fWzSiX9wXDKr3j/H0AphTfGgDgDA=</DigestValue>
      </Reference>
      <Reference URI="/word/footnotes.xml?ContentType=application/vnd.openxmlformats-officedocument.wordprocessingml.footnotes+xml">
        <DigestMethod Algorithm="http://www.w3.org/2001/04/xmlenc#sha256"/>
        <DigestValue>0rbCs4k6x/eYsRGw1D++B9vdX0OH5OfUBJvz0SwjZmM=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352pDG5XF4iMzZngBmSSI6syuG4/mCRmAqHLsjv04RY=</DigestValue>
      </Reference>
      <Reference URI="/word/glossary/fontTable.xml?ContentType=application/vnd.openxmlformats-officedocument.wordprocessingml.fontTable+xml">
        <DigestMethod Algorithm="http://www.w3.org/2001/04/xmlenc#sha256"/>
        <DigestValue>f06Cw17oekSEugV0YcRsmzlWrHC5Ht4kwrYMdc5szrY=</DigestValue>
      </Reference>
      <Reference URI="/word/glossary/settings.xml?ContentType=application/vnd.openxmlformats-officedocument.wordprocessingml.settings+xml">
        <DigestMethod Algorithm="http://www.w3.org/2001/04/xmlenc#sha256"/>
        <DigestValue>5N8UU+9JXF7VZODeki6iqdXBC6HTgkObLN9PScYOqXo=</DigestValue>
      </Reference>
      <Reference URI="/word/glossary/styles.xml?ContentType=application/vnd.openxmlformats-officedocument.wordprocessingml.styles+xml">
        <DigestMethod Algorithm="http://www.w3.org/2001/04/xmlenc#sha256"/>
        <DigestValue>wcUvxBz/NaMcXYVes9cmY1V8IlVSvsLL8VqlCzwnjAY=</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W6nuUYChu2l+/o643qbidPX2fFI6t/5oDiiEU74RQGc=</DigestValue>
      </Reference>
      <Reference URI="/word/header2.xml?ContentType=application/vnd.openxmlformats-officedocument.wordprocessingml.header+xml">
        <DigestMethod Algorithm="http://www.w3.org/2001/04/xmlenc#sha256"/>
        <DigestValue>n9Wc61F4JeXavsDByYbfNtpk2HLBgwVxxaCgFhLS4LQ=</DigestValue>
      </Reference>
      <Reference URI="/word/header3.xml?ContentType=application/vnd.openxmlformats-officedocument.wordprocessingml.header+xml">
        <DigestMethod Algorithm="http://www.w3.org/2001/04/xmlenc#sha256"/>
        <DigestValue>r4T18DF8vmIGAOhq6CTjHAGeAmvQKMwdl+0Dji8mNR0=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xsPyTqCVj9rCbPupkk91BSXJ90cr0wzJ64teNyuROOY=</DigestValue>
      </Reference>
      <Reference URI="/word/settings.xml?ContentType=application/vnd.openxmlformats-officedocument.wordprocessingml.settings+xml">
        <DigestMethod Algorithm="http://www.w3.org/2001/04/xmlenc#sha256"/>
        <DigestValue>3dOKnYDi8hgWpfuJGvTRhjfb6sHV/mOB3esJ60g7+lw=</DigestValue>
      </Reference>
      <Reference URI="/word/styles.xml?ContentType=application/vnd.openxmlformats-officedocument.wordprocessingml.styles+xml">
        <DigestMethod Algorithm="http://www.w3.org/2001/04/xmlenc#sha256"/>
        <DigestValue>IZ6kI9Q1XV2KqgZ7LGmsBSMKdTO4sVFPOUFSiSab0PM=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sF9Gs/b1JWtvU3gzVxjg3+8hAddbwRAQomupdmFL7QY=</DigestValue>
      </Reference>
    </Manifest>
    <SignatureProperties>
      <SignatureProperty Id="idSignatureTime" Target="#idPackageSignature">
        <mdssi:SignatureTime xmlns:mdssi="http://schemas.openxmlformats.org/package/2006/digital-signature">
          <mdssi:Format>YYYY-MM-DDThh:mm:ssTZD</mdssi:Format>
          <mdssi:Value>2021-05-20T23:30:48Z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2021-05-20T23:30:48Z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s8nsWxSGERPfsBEtpUPd3LvACUVxzgEhlU4vfPPhBsCBAvY3sIYDzIwMjEwNTIwMjMzMD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8AMNxrEr+48PE1KaaTYVPkIEk6c=</xd:ByKey>
                  </xd:ResponderID>
                  <xd:ProducedAt>2021-05-19T18:48:51Z</xd:ProducedAt>
                </xd:OCSPIdentifier>
                <xd:DigestAlgAndValue>
                  <DigestMethod Algorithm="http://www.w3.org/2001/04/xmlenc#sha256"/>
                  <DigestValue>Zrcf1U3El4Gucu9J1ARVSnHZB9AIeOQf2txp0RSimTY=</DigestValue>
                </xd:DigestAlgAndValue>
              </xd:OCSPRef>
            </xd:OCSPRefs>
            <xd:CRLRefs>
              <xd:CRLRef>
                <xd:DigestAlgAndValue>
                  <DigestMethod Algorithm="http://www.w3.org/2001/04/xmlenc#sha256"/>
                  <DigestValue>T185pySYQwduCtKQw7FOySCoA39tgiVCR2aMkDgwzQw=</DigestValue>
                </xd:DigestAlgAndValue>
                <xd:CRLIdentifier>
                  <xd:Issuer>CN=CA POLITICA PERSONA FISICA - COSTA RICA v2, OU=DCFD, O=MICITT, C=CR, SERIALNUMBER=CPJ-2-100-098311</xd:Issuer>
                  <xd:IssueTime>2021-05-13T16:03:04Z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</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bSnIqe9xRoKKVhZhZ7gR8twrRkGAAkyT/vkQCvaxLkCBAvY3sMYDzIwMjEwNTIwMjMzMD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Sistema Financiero, Conglomerado, Casas de Cambio</OtraEntidadExterna>
    <Firmado xmlns="b875e23b-67d9-4b2e-bdec-edacbf90b326">true</Firmado>
    <Responsable xmlns="b875e23b-67d9-4b2e-bdec-edacbf90b326">
      <UserInfo>
        <DisplayName>CUBERO CARDENAS MARIA FERNANDA</DisplayName>
        <AccountId>1767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i:0#.w|pdc-atlantida\cuberocm</DisplayName>
        <AccountId>1767</AccountId>
        <AccountType/>
      </UserInfo>
      <UserInfo>
        <DisplayName>i:0#.w|pdc-atlantida\jovelpp</DisplayName>
        <AccountId>2454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&lt;div class="ExternalClassED4BC078E21D4AE09A4385A013EF2176"&gt;&lt;p&gt;​Circular Externa Cambistas.  Favor remitir al Sistema financiero, conglomerados, Casas de Cambio.&lt;/p&gt;&lt;/div&gt;</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2021-05-19T06:00:00+00:00</FechaDocumento>
    <RemitenteOriginal xmlns="b875e23b-67d9-4b2e-bdec-edacbf90b326">Cumplimiento Entidades Financieras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SGF-Circular Externa Cbistas Sist Finan</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7" ma:contentTypeDescription="Crear nuevo documento." ma:contentTypeScope="" ma:versionID="9ccb4f9f214a65a0ef2a6c8194b1977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F6C1F770-1C85-4765-847D-F6E01744F21B}"/>
</file>

<file path=customXml/itemProps2.xml><?xml version="1.0" encoding="utf-8"?>
<ds:datastoreItem xmlns:ds="http://schemas.openxmlformats.org/officeDocument/2006/customXml" ds:itemID="{3FAB2C39-471D-4519-88AB-63A90D9D8687}">
  <ds:schemaRefs>
    <ds:schemaRef ds:uri="http://purl.org/dc/dcmitype/"/>
    <ds:schemaRef ds:uri="http://purl.org/dc/terms/"/>
    <ds:schemaRef ds:uri="b875e23b-67d9-4b2e-bdec-edacbf90b326"/>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1C545A0-415A-45FE-A2D3-55E66679EB50}"/>
</file>

<file path=customXml/itemProps4.xml><?xml version="1.0" encoding="utf-8"?>
<ds:datastoreItem xmlns:ds="http://schemas.openxmlformats.org/officeDocument/2006/customXml" ds:itemID="{88CD77DF-0BE8-43A6-BC1D-6D156B9F5AAD}">
  <ds:schemaRefs>
    <ds:schemaRef ds:uri="Microsoft.SharePoint.Taxonomy.ContentTypeSync"/>
  </ds:schemaRefs>
</ds:datastoreItem>
</file>

<file path=customXml/itemProps5.xml><?xml version="1.0" encoding="utf-8"?>
<ds:datastoreItem xmlns:ds="http://schemas.openxmlformats.org/officeDocument/2006/customXml" ds:itemID="{A24BED15-BC34-47BC-8625-8E17D515110C}"/>
</file>

<file path=customXml/itemProps6.xml><?xml version="1.0" encoding="utf-8"?>
<ds:datastoreItem xmlns:ds="http://schemas.openxmlformats.org/officeDocument/2006/customXml" ds:itemID="{262582F6-931D-4653-A220-FB3123212BCF}"/>
</file>

<file path=docProps/app.xml><?xml version="1.0" encoding="utf-8"?>
<Properties xmlns="http://schemas.openxmlformats.org/officeDocument/2006/extended-properties" xmlns:vt="http://schemas.openxmlformats.org/officeDocument/2006/docPropsVTypes">
  <Template>plantillas-SGF-ACL-CEF-13-E</Template>
  <TotalTime>290</TotalTime>
  <Pages>3</Pages>
  <Words>778</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CUBERO CARDENAS MARIA FERNANDA</dc:creator>
  <cp:keywords/>
  <dc:description/>
  <cp:lastModifiedBy>JOVEL PINEDA PATRICIA DE LOS ANGE</cp:lastModifiedBy>
  <cp:revision>9</cp:revision>
  <dcterms:created xsi:type="dcterms:W3CDTF">2021-04-30T14:26:00Z</dcterms:created>
  <dcterms:modified xsi:type="dcterms:W3CDTF">2021-05-19T17:31:00Z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127;#Propietario|172cdb65-abed-4947-8339-a6c2477d21bb</vt:lpwstr>
  </property>
  <property fmtid="{D5CDD505-2E9C-101B-9397-08002B2CF9AE}" pid="11" name="Order">
    <vt:r8>53100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dc9be4ca-c6c9-41a3-8f1b-604965ed1693,4;7dedacbb-5c77-4a35-8847-40abd1245d4d,7;</vt:lpwstr>
  </property>
</Properties>
</file>