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320A" w:rsidP="008B692A" w:rsidRDefault="00F0320A" w14:paraId="283D31F6" w14:textId="77777777">
      <w:pPr>
        <w:pStyle w:val="Texto"/>
        <w:spacing w:before="0" w:after="0" w:line="240" w:lineRule="auto"/>
        <w:jc w:val="center"/>
        <w:rPr>
          <w:sz w:val="24"/>
        </w:rPr>
      </w:pPr>
    </w:p>
    <w:p w:rsidRPr="00B9785A" w:rsidR="006972C9" w:rsidP="008B692A" w:rsidRDefault="00F0320A" w14:paraId="54A30121" w14:textId="1F62B16C">
      <w:pPr>
        <w:pStyle w:val="Texto"/>
        <w:spacing w:before="0" w:after="0" w:line="240" w:lineRule="auto"/>
        <w:jc w:val="center"/>
        <w:rPr>
          <w:sz w:val="24"/>
        </w:rPr>
      </w:pPr>
      <w:r>
        <w:rPr>
          <w:sz w:val="24"/>
        </w:rPr>
        <w:t>21</w:t>
      </w:r>
      <w:r w:rsidRPr="00B9785A" w:rsidR="006972C9">
        <w:rPr>
          <w:sz w:val="24"/>
        </w:rPr>
        <w:t xml:space="preserve"> de </w:t>
      </w:r>
      <w:r w:rsidR="004E18E1">
        <w:rPr>
          <w:sz w:val="24"/>
        </w:rPr>
        <w:t>junio</w:t>
      </w:r>
      <w:r w:rsidRPr="00B9785A" w:rsidR="006972C9">
        <w:rPr>
          <w:sz w:val="24"/>
        </w:rPr>
        <w:t xml:space="preserve"> de </w:t>
      </w:r>
      <w:r w:rsidR="004E18E1">
        <w:rPr>
          <w:sz w:val="24"/>
        </w:rPr>
        <w:t>2022</w:t>
      </w:r>
    </w:p>
    <w:sdt>
      <w:sdtPr>
        <w:rPr>
          <w:sz w:val="24"/>
        </w:rPr>
        <w:alias w:val="Consecutivo"/>
        <w:tag w:val="Consecutivo"/>
        <w:id w:val="2052717023"/>
        <w:placeholder>
          <w:docPart w:val="D11C43633FB44925A27458CD6B8268BB"/>
        </w:placeholder>
        <w:text/>
      </w:sdtPr>
      <w:sdtEndPr/>
      <w:sdtContent>
        <w:p w:rsidRPr="00B9785A" w:rsidR="006972C9" w:rsidP="008B692A" w:rsidRDefault="006972C9" w14:paraId="0C6F3B90" w14:textId="77777777">
          <w:pPr>
            <w:tabs>
              <w:tab w:val="left" w:pos="2843"/>
            </w:tabs>
            <w:spacing w:line="240" w:lineRule="auto"/>
            <w:jc w:val="center"/>
            <w:rPr>
              <w:sz w:val="24"/>
            </w:rPr>
          </w:pPr>
          <w:r>
            <w:t>SGF-1333-2022</w:t>
          </w:r>
        </w:p>
      </w:sdtContent>
    </w:sdt>
    <w:p w:rsidRPr="00B9785A" w:rsidR="006972C9" w:rsidP="008B692A" w:rsidRDefault="00D76550" w14:paraId="224CBE5C" w14:textId="348C37CE">
      <w:pPr>
        <w:tabs>
          <w:tab w:val="left" w:pos="2843"/>
        </w:tabs>
        <w:spacing w:line="240" w:lineRule="auto"/>
        <w:jc w:val="center"/>
        <w:rPr>
          <w:sz w:val="24"/>
        </w:rPr>
      </w:pPr>
      <w:sdt>
        <w:sdtPr>
          <w:rPr>
            <w:sz w:val="24"/>
          </w:rPr>
          <w:alias w:val="Confidencialidad"/>
          <w:tag w:val="Confidencialidad"/>
          <w:id w:val="1447896894"/>
          <w:placeholder>
            <w:docPart w:val="713ADC6D30314AACA2F2A0B3D14ED69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9785A" w:rsidR="008B692A">
            <w:rPr>
              <w:sz w:val="24"/>
            </w:rPr>
            <w:t>SGF-PUBLICO</w:t>
          </w:r>
        </w:sdtContent>
      </w:sdt>
    </w:p>
    <w:p w:rsidRPr="00B9785A" w:rsidR="006972C9" w:rsidP="001B6D55" w:rsidRDefault="006972C9" w14:paraId="752F87FD" w14:textId="77777777">
      <w:pPr>
        <w:tabs>
          <w:tab w:val="left" w:pos="2843"/>
        </w:tabs>
        <w:spacing w:line="240" w:lineRule="auto"/>
        <w:rPr>
          <w:sz w:val="24"/>
        </w:rPr>
      </w:pPr>
      <w:r w:rsidRPr="00B9785A">
        <w:rPr>
          <w:sz w:val="24"/>
        </w:rPr>
        <w:tab/>
      </w:r>
    </w:p>
    <w:p w:rsidR="00F0320A" w:rsidP="008B692A" w:rsidRDefault="00F0320A" w14:paraId="2D22C97E" w14:textId="2CBA9FB1">
      <w:pPr>
        <w:tabs>
          <w:tab w:val="left" w:pos="2843"/>
        </w:tabs>
        <w:spacing w:line="240" w:lineRule="auto"/>
        <w:rPr>
          <w:b/>
          <w:bCs/>
          <w:sz w:val="24"/>
        </w:rPr>
      </w:pPr>
    </w:p>
    <w:p w:rsidRPr="00D76550" w:rsidR="00F0320A" w:rsidP="00F0320A" w:rsidRDefault="00F0320A" w14:paraId="0E8D15A8" w14:textId="3715DAA2">
      <w:pPr>
        <w:tabs>
          <w:tab w:val="left" w:pos="2843"/>
        </w:tabs>
        <w:spacing w:line="240" w:lineRule="auto"/>
        <w:jc w:val="center"/>
        <w:rPr>
          <w:b/>
          <w:bCs/>
          <w:sz w:val="28"/>
          <w:szCs w:val="28"/>
        </w:rPr>
      </w:pPr>
      <w:r w:rsidRPr="00D76550">
        <w:rPr>
          <w:b/>
          <w:bCs/>
          <w:sz w:val="28"/>
          <w:szCs w:val="28"/>
        </w:rPr>
        <w:t>Circular Externa</w:t>
      </w:r>
    </w:p>
    <w:p w:rsidR="00F0320A" w:rsidP="008B692A" w:rsidRDefault="00F0320A" w14:paraId="4113B95B" w14:textId="77777777">
      <w:pPr>
        <w:tabs>
          <w:tab w:val="left" w:pos="2843"/>
        </w:tabs>
        <w:spacing w:line="240" w:lineRule="auto"/>
        <w:rPr>
          <w:b/>
          <w:bCs/>
          <w:sz w:val="24"/>
        </w:rPr>
      </w:pPr>
    </w:p>
    <w:p w:rsidRPr="00B9785A" w:rsidR="008B692A" w:rsidP="008B692A" w:rsidRDefault="008B692A" w14:paraId="0FB35927" w14:textId="2A98C03D">
      <w:pPr>
        <w:tabs>
          <w:tab w:val="left" w:pos="2843"/>
        </w:tabs>
        <w:spacing w:line="240" w:lineRule="auto"/>
        <w:rPr>
          <w:b/>
          <w:bCs/>
          <w:sz w:val="24"/>
        </w:rPr>
      </w:pPr>
      <w:r w:rsidRPr="00B9785A">
        <w:rPr>
          <w:b/>
          <w:bCs/>
          <w:sz w:val="24"/>
        </w:rPr>
        <w:t xml:space="preserve">Dirigida a: </w:t>
      </w:r>
    </w:p>
    <w:p w:rsidRPr="00B9785A" w:rsidR="008B692A" w:rsidP="008B692A" w:rsidRDefault="008B692A" w14:paraId="6E6FE822" w14:textId="77777777">
      <w:pPr>
        <w:tabs>
          <w:tab w:val="left" w:pos="2843"/>
        </w:tabs>
        <w:spacing w:line="240" w:lineRule="auto"/>
        <w:rPr>
          <w:b/>
          <w:bCs/>
          <w:sz w:val="24"/>
        </w:rPr>
      </w:pPr>
    </w:p>
    <w:p w:rsidRPr="00B9785A" w:rsidR="008B692A" w:rsidP="008B692A" w:rsidRDefault="008B692A" w14:paraId="56295EAE" w14:textId="77777777">
      <w:pPr>
        <w:pStyle w:val="Prrafodelista"/>
        <w:numPr>
          <w:ilvl w:val="0"/>
          <w:numId w:val="4"/>
        </w:numPr>
        <w:tabs>
          <w:tab w:val="left" w:pos="2843"/>
        </w:tabs>
        <w:spacing w:line="240" w:lineRule="auto"/>
        <w:rPr>
          <w:rFonts w:ascii="Cambria" w:hAnsi="Cambria"/>
          <w:b/>
          <w:bCs/>
          <w:sz w:val="24"/>
          <w:szCs w:val="24"/>
        </w:rPr>
      </w:pPr>
      <w:r w:rsidRPr="00B9785A">
        <w:rPr>
          <w:rFonts w:ascii="Cambria" w:hAnsi="Cambria"/>
          <w:b/>
          <w:bCs/>
          <w:sz w:val="24"/>
          <w:szCs w:val="24"/>
        </w:rPr>
        <w:t>Sujetos obligados por los artículos 15 y 15 bis de la Ley 7786</w:t>
      </w:r>
    </w:p>
    <w:p w:rsidRPr="00B9785A" w:rsidR="008B692A" w:rsidP="008B692A" w:rsidRDefault="008B692A" w14:paraId="0C221CA5" w14:textId="77777777">
      <w:pPr>
        <w:tabs>
          <w:tab w:val="left" w:pos="2843"/>
        </w:tabs>
        <w:spacing w:line="240" w:lineRule="auto"/>
        <w:rPr>
          <w:sz w:val="24"/>
        </w:rPr>
      </w:pPr>
      <w:r w:rsidRPr="00B9785A">
        <w:rPr>
          <w:sz w:val="24"/>
        </w:rPr>
        <w:tab/>
      </w:r>
    </w:p>
    <w:p w:rsidRPr="00B9785A" w:rsidR="008B692A" w:rsidP="008B692A" w:rsidRDefault="008B692A" w14:paraId="13B19AD8" w14:textId="77777777">
      <w:pPr>
        <w:spacing w:line="240" w:lineRule="auto"/>
        <w:rPr>
          <w:b/>
          <w:sz w:val="24"/>
        </w:rPr>
      </w:pPr>
      <w:r w:rsidRPr="00B9785A">
        <w:rPr>
          <w:b/>
          <w:sz w:val="24"/>
        </w:rPr>
        <w:t>Asunto: Reforma Circular Externa SGF-3341-2021 del 2 de diciembre de 2021.</w:t>
      </w:r>
    </w:p>
    <w:p w:rsidRPr="00B9785A" w:rsidR="008B692A" w:rsidP="008B692A" w:rsidRDefault="008B692A" w14:paraId="1F8E0D17" w14:textId="77777777">
      <w:pPr>
        <w:spacing w:line="240" w:lineRule="auto"/>
        <w:rPr>
          <w:b/>
          <w:sz w:val="24"/>
        </w:rPr>
      </w:pPr>
    </w:p>
    <w:p w:rsidRPr="00B9785A" w:rsidR="008B692A" w:rsidP="008B692A" w:rsidRDefault="008B692A" w14:paraId="2798DCCF" w14:textId="61E9148F">
      <w:pPr>
        <w:spacing w:line="240" w:lineRule="auto"/>
        <w:rPr>
          <w:b/>
          <w:bCs/>
          <w:sz w:val="24"/>
        </w:rPr>
      </w:pPr>
      <w:r w:rsidRPr="00B9785A">
        <w:rPr>
          <w:b/>
          <w:bCs/>
          <w:sz w:val="24"/>
        </w:rPr>
        <w:t xml:space="preserve">Modificación del plazo señalado para la presentación inicial de los reportes mediante la plataforma </w:t>
      </w:r>
      <w:r w:rsidR="00F0320A">
        <w:rPr>
          <w:b/>
          <w:bCs/>
          <w:sz w:val="24"/>
        </w:rPr>
        <w:t>SICVECA</w:t>
      </w:r>
      <w:r w:rsidRPr="00B9785A">
        <w:rPr>
          <w:b/>
          <w:bCs/>
          <w:sz w:val="24"/>
        </w:rPr>
        <w:t xml:space="preserve">, por medio de formularios o archivos XML, </w:t>
      </w:r>
      <w:r w:rsidRPr="00B9785A">
        <w:rPr>
          <w:rFonts w:cs="Segoe UI"/>
          <w:b/>
          <w:sz w:val="24"/>
          <w:u w:val="single"/>
          <w:shd w:val="clear" w:color="auto" w:fill="FFFFFF"/>
        </w:rPr>
        <w:t xml:space="preserve">para la </w:t>
      </w:r>
      <w:r w:rsidRPr="00B9785A">
        <w:rPr>
          <w:b/>
          <w:bCs/>
          <w:sz w:val="24"/>
          <w:u w:val="single"/>
        </w:rPr>
        <w:t>clase de datos</w:t>
      </w:r>
      <w:r w:rsidRPr="00B9785A">
        <w:rPr>
          <w:sz w:val="24"/>
          <w:u w:val="single"/>
        </w:rPr>
        <w:t xml:space="preserve"> </w:t>
      </w:r>
      <w:r w:rsidRPr="00B9785A">
        <w:rPr>
          <w:b/>
          <w:bCs/>
          <w:sz w:val="24"/>
          <w:u w:val="single"/>
        </w:rPr>
        <w:t xml:space="preserve">código 45- </w:t>
      </w:r>
      <w:r w:rsidRPr="00B9785A">
        <w:rPr>
          <w:b/>
          <w:bCs/>
          <w:i/>
          <w:iCs/>
          <w:sz w:val="24"/>
          <w:u w:val="single"/>
        </w:rPr>
        <w:t xml:space="preserve">Reportes APNFD Remesas, Transferencias y </w:t>
      </w:r>
      <w:proofErr w:type="spellStart"/>
      <w:r w:rsidRPr="00B9785A">
        <w:rPr>
          <w:b/>
          <w:bCs/>
          <w:i/>
          <w:iCs/>
          <w:sz w:val="24"/>
          <w:u w:val="single"/>
        </w:rPr>
        <w:t>Op</w:t>
      </w:r>
      <w:proofErr w:type="spellEnd"/>
      <w:r w:rsidRPr="00B9785A">
        <w:rPr>
          <w:b/>
          <w:bCs/>
          <w:i/>
          <w:iCs/>
          <w:sz w:val="24"/>
          <w:u w:val="single"/>
        </w:rPr>
        <w:t xml:space="preserve">. </w:t>
      </w:r>
      <w:proofErr w:type="spellStart"/>
      <w:r w:rsidRPr="00B9785A">
        <w:rPr>
          <w:b/>
          <w:bCs/>
          <w:i/>
          <w:iCs/>
          <w:sz w:val="24"/>
          <w:u w:val="single"/>
        </w:rPr>
        <w:t>sist</w:t>
      </w:r>
      <w:proofErr w:type="spellEnd"/>
      <w:r w:rsidRPr="00B9785A">
        <w:rPr>
          <w:b/>
          <w:bCs/>
          <w:i/>
          <w:iCs/>
          <w:sz w:val="24"/>
          <w:u w:val="single"/>
        </w:rPr>
        <w:t xml:space="preserve">. </w:t>
      </w:r>
      <w:proofErr w:type="spellStart"/>
      <w:r w:rsidRPr="00B9785A">
        <w:rPr>
          <w:b/>
          <w:bCs/>
          <w:i/>
          <w:iCs/>
          <w:sz w:val="24"/>
          <w:u w:val="single"/>
        </w:rPr>
        <w:t>sust</w:t>
      </w:r>
      <w:proofErr w:type="spellEnd"/>
      <w:r w:rsidRPr="00B9785A">
        <w:rPr>
          <w:b/>
          <w:bCs/>
          <w:i/>
          <w:iCs/>
          <w:sz w:val="24"/>
          <w:u w:val="single"/>
        </w:rPr>
        <w:t>. Ley 7786</w:t>
      </w:r>
      <w:r w:rsidRPr="00B9785A">
        <w:rPr>
          <w:rFonts w:cs="Segoe UI"/>
          <w:b/>
          <w:sz w:val="24"/>
          <w:u w:val="single"/>
          <w:shd w:val="clear" w:color="auto" w:fill="FFFFFF"/>
        </w:rPr>
        <w:t>.</w:t>
      </w:r>
      <w:r w:rsidRPr="00B9785A">
        <w:rPr>
          <w:sz w:val="24"/>
        </w:rPr>
        <w:t xml:space="preserve">  </w:t>
      </w:r>
    </w:p>
    <w:p w:rsidRPr="00B9785A" w:rsidR="008B692A" w:rsidP="008B692A" w:rsidRDefault="008B692A" w14:paraId="2E5BC68B" w14:textId="77777777">
      <w:pPr>
        <w:spacing w:line="240" w:lineRule="auto"/>
        <w:rPr>
          <w:b/>
          <w:bCs/>
          <w:sz w:val="24"/>
        </w:rPr>
      </w:pPr>
    </w:p>
    <w:p w:rsidRPr="00B9785A" w:rsidR="008B692A" w:rsidP="008B692A" w:rsidRDefault="008B692A" w14:paraId="11DC9811" w14:textId="45C69C59">
      <w:pPr>
        <w:spacing w:line="240" w:lineRule="auto"/>
        <w:rPr>
          <w:b/>
          <w:bCs/>
          <w:sz w:val="24"/>
          <w:lang w:val="es-CR"/>
        </w:rPr>
      </w:pPr>
      <w:r w:rsidRPr="00B9785A">
        <w:rPr>
          <w:b/>
          <w:bCs/>
          <w:sz w:val="24"/>
          <w:lang w:val="es-CR"/>
        </w:rPr>
        <w:t xml:space="preserve">El Despacho del Intendente de la Superintendencia General de Entidades Financieras (SUGEF), </w:t>
      </w:r>
    </w:p>
    <w:p w:rsidRPr="00B9785A" w:rsidR="008B692A" w:rsidP="008B692A" w:rsidRDefault="008B692A" w14:paraId="56C28849" w14:textId="77777777">
      <w:pPr>
        <w:spacing w:line="240" w:lineRule="auto"/>
        <w:rPr>
          <w:sz w:val="24"/>
          <w:lang w:val="es-CR"/>
        </w:rPr>
      </w:pPr>
    </w:p>
    <w:p w:rsidRPr="00B9785A" w:rsidR="008B692A" w:rsidP="008B692A" w:rsidRDefault="008B692A" w14:paraId="7FF336A0" w14:textId="77777777">
      <w:pPr>
        <w:rPr>
          <w:b/>
          <w:bCs/>
          <w:sz w:val="24"/>
        </w:rPr>
      </w:pPr>
      <w:r w:rsidRPr="00B9785A">
        <w:rPr>
          <w:b/>
          <w:bCs/>
          <w:sz w:val="24"/>
        </w:rPr>
        <w:t xml:space="preserve">Considerando que: </w:t>
      </w:r>
    </w:p>
    <w:p w:rsidRPr="00B9785A" w:rsidR="008B692A" w:rsidP="008B692A" w:rsidRDefault="008B692A" w14:paraId="30839DB9" w14:textId="77777777">
      <w:pPr>
        <w:rPr>
          <w:sz w:val="24"/>
        </w:rPr>
      </w:pPr>
    </w:p>
    <w:p w:rsidRPr="00B9785A" w:rsidR="008B692A" w:rsidP="008B692A" w:rsidRDefault="008B692A" w14:paraId="444696F3" w14:textId="77777777">
      <w:pPr>
        <w:numPr>
          <w:ilvl w:val="0"/>
          <w:numId w:val="3"/>
        </w:numPr>
        <w:spacing w:line="240" w:lineRule="auto"/>
        <w:contextualSpacing/>
        <w:rPr>
          <w:sz w:val="24"/>
        </w:rPr>
      </w:pPr>
      <w:r w:rsidRPr="00B9785A">
        <w:rPr>
          <w:sz w:val="24"/>
        </w:rPr>
        <w:t xml:space="preserve">Mediante la Ley 9449 del 10 de mayo del 2017, la Asamblea Legislativa decretó la </w:t>
      </w:r>
      <w:r w:rsidRPr="00B9785A">
        <w:rPr>
          <w:i/>
          <w:sz w:val="24"/>
        </w:rPr>
        <w:t>“Reforma de los artículos 15, 15 bis, 16, 81 y adición de los artículos 15 ter y 16 bis a la Ley 7786, Ley sobre estupefacientes, sustancias psicotrópicas, drogas de uso no autorizado, actividades conexas, legitimación de capitales y financiamiento al terrorismo, de 30 de abril de 1998”</w:t>
      </w:r>
      <w:r w:rsidRPr="00B9785A">
        <w:rPr>
          <w:sz w:val="24"/>
        </w:rPr>
        <w:t>.</w:t>
      </w:r>
    </w:p>
    <w:p w:rsidRPr="00B9785A" w:rsidR="008B692A" w:rsidP="008B692A" w:rsidRDefault="008B692A" w14:paraId="6319D2D3" w14:textId="77777777">
      <w:pPr>
        <w:spacing w:line="240" w:lineRule="auto"/>
        <w:ind w:left="360"/>
        <w:contextualSpacing/>
        <w:rPr>
          <w:sz w:val="24"/>
        </w:rPr>
      </w:pPr>
    </w:p>
    <w:p w:rsidRPr="00B9785A" w:rsidR="008B692A" w:rsidP="008B692A" w:rsidRDefault="008B692A" w14:paraId="70B9CDBA" w14:textId="77777777">
      <w:pPr>
        <w:numPr>
          <w:ilvl w:val="0"/>
          <w:numId w:val="3"/>
        </w:numPr>
        <w:spacing w:line="240" w:lineRule="auto"/>
        <w:contextualSpacing/>
        <w:rPr>
          <w:i/>
          <w:sz w:val="24"/>
        </w:rPr>
      </w:pPr>
      <w:r w:rsidRPr="00B9785A">
        <w:rPr>
          <w:sz w:val="24"/>
        </w:rPr>
        <w:t>Los artículos 15 y 15 bis de la Ley 7786 disponen que las personas que desempeñen las actividades allí indicadas, en adelante conocidas como APNFD (Actividades y Profesiones no Financieras Designadas),“…</w:t>
      </w:r>
      <w:r w:rsidRPr="00B9785A">
        <w:rPr>
          <w:i/>
          <w:sz w:val="24"/>
        </w:rPr>
        <w:t xml:space="preserve">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w:t>
      </w:r>
      <w:proofErr w:type="spellStart"/>
      <w:r w:rsidRPr="00B9785A">
        <w:rPr>
          <w:i/>
          <w:sz w:val="24"/>
        </w:rPr>
        <w:t>Conassif</w:t>
      </w:r>
      <w:proofErr w:type="spellEnd"/>
      <w:r w:rsidRPr="00B9785A">
        <w:rPr>
          <w:i/>
          <w:sz w:val="24"/>
        </w:rPr>
        <w:t xml:space="preserve"> mediante normativa prudencial de acuerdo con la realidad de cada sector...”.</w:t>
      </w:r>
    </w:p>
    <w:p w:rsidRPr="00B9785A" w:rsidR="008B692A" w:rsidP="008B692A" w:rsidRDefault="008B692A" w14:paraId="23165A0C" w14:textId="77777777">
      <w:pPr>
        <w:spacing w:line="240" w:lineRule="auto"/>
        <w:contextualSpacing/>
        <w:rPr>
          <w:i/>
          <w:sz w:val="24"/>
        </w:rPr>
      </w:pPr>
    </w:p>
    <w:p w:rsidRPr="00B9785A" w:rsidR="008B692A" w:rsidP="008B692A" w:rsidRDefault="008B692A" w14:paraId="2B895368" w14:textId="77777777">
      <w:pPr>
        <w:pStyle w:val="Prrafodelista"/>
        <w:numPr>
          <w:ilvl w:val="0"/>
          <w:numId w:val="3"/>
        </w:numPr>
        <w:spacing w:after="0" w:line="240" w:lineRule="auto"/>
        <w:contextualSpacing w:val="0"/>
        <w:jc w:val="both"/>
        <w:rPr>
          <w:rFonts w:ascii="Cambria" w:hAnsi="Cambria"/>
          <w:sz w:val="24"/>
          <w:szCs w:val="24"/>
        </w:rPr>
      </w:pPr>
      <w:r w:rsidRPr="00B9785A">
        <w:rPr>
          <w:rFonts w:ascii="Cambria" w:hAnsi="Cambria"/>
          <w:sz w:val="24"/>
          <w:szCs w:val="24"/>
        </w:rPr>
        <w:t>El Acuerdo SUGEF 11-18 “</w:t>
      </w:r>
      <w:r w:rsidRPr="00B9785A">
        <w:rPr>
          <w:rFonts w:ascii="Cambria" w:hAnsi="Cambria"/>
          <w:i/>
          <w:iCs/>
          <w:sz w:val="24"/>
          <w:szCs w:val="24"/>
        </w:rPr>
        <w:t xml:space="preserve">Reglamento para la inscripción y </w:t>
      </w:r>
      <w:proofErr w:type="spellStart"/>
      <w:r w:rsidRPr="00B9785A">
        <w:rPr>
          <w:rFonts w:ascii="Cambria" w:hAnsi="Cambria"/>
          <w:i/>
          <w:iCs/>
          <w:sz w:val="24"/>
          <w:szCs w:val="24"/>
        </w:rPr>
        <w:t>desinscripción</w:t>
      </w:r>
      <w:proofErr w:type="spellEnd"/>
      <w:r w:rsidRPr="00B9785A">
        <w:rPr>
          <w:rFonts w:ascii="Cambria" w:hAnsi="Cambria"/>
          <w:i/>
          <w:iCs/>
          <w:sz w:val="24"/>
          <w:szCs w:val="24"/>
        </w:rPr>
        <w:t xml:space="preserve"> ante la SUGEF de los sujetos obligados que realizan alguna o algunas de las actividades descritas en los  en los artículos 15 y 15 bis de la Ley sobre Estupefacientes, Sustancias </w:t>
      </w:r>
      <w:r w:rsidRPr="00B9785A">
        <w:rPr>
          <w:rFonts w:ascii="Cambria" w:hAnsi="Cambria"/>
          <w:i/>
          <w:iCs/>
          <w:sz w:val="24"/>
          <w:szCs w:val="24"/>
        </w:rPr>
        <w:lastRenderedPageBreak/>
        <w:t>Psicotrópicas, Drogas de Uso no Autorizado, Actividades Conexas, Legitimación de Capitales y Financiamiento al Terrorismo, Ley 7786”</w:t>
      </w:r>
      <w:r w:rsidRPr="00B9785A">
        <w:rPr>
          <w:rFonts w:ascii="Cambria" w:hAnsi="Cambria"/>
          <w:sz w:val="24"/>
          <w:szCs w:val="24"/>
        </w:rPr>
        <w:t xml:space="preserve"> publicado en el diario oficial La Gaceta 213 del 16 de noviembre de 2018,  establece en el artículo 25 que “</w:t>
      </w:r>
      <w:r w:rsidRPr="00B9785A">
        <w:rPr>
          <w:rFonts w:ascii="Cambria" w:hAnsi="Cambria"/>
          <w:i/>
          <w:sz w:val="24"/>
          <w:szCs w:val="24"/>
        </w:rPr>
        <w:t>Los sujetos inscritos por los artículos 15 y 15 bis de la Ley 7786 deben cumplir en todos sus extremos con lo dispuesto en esta Ley y sus Reglamentos, así como con la normativa aprobada por el CONASSIF en relación con la citada Ley.”</w:t>
      </w:r>
      <w:r w:rsidRPr="00B9785A">
        <w:rPr>
          <w:rFonts w:ascii="Cambria" w:hAnsi="Cambria"/>
          <w:sz w:val="24"/>
          <w:szCs w:val="24"/>
        </w:rPr>
        <w:t xml:space="preserve"> </w:t>
      </w:r>
    </w:p>
    <w:p w:rsidRPr="00B9785A" w:rsidR="008B692A" w:rsidP="008B692A" w:rsidRDefault="008B692A" w14:paraId="4E51767A" w14:textId="77777777">
      <w:pPr>
        <w:spacing w:line="240" w:lineRule="auto"/>
        <w:contextualSpacing/>
        <w:rPr>
          <w:i/>
          <w:sz w:val="24"/>
        </w:rPr>
      </w:pPr>
    </w:p>
    <w:p w:rsidRPr="00B9785A" w:rsidR="008B692A" w:rsidP="008B692A" w:rsidRDefault="008B692A" w14:paraId="263AFAEB" w14:textId="77777777">
      <w:pPr>
        <w:numPr>
          <w:ilvl w:val="0"/>
          <w:numId w:val="3"/>
        </w:numPr>
        <w:spacing w:line="240" w:lineRule="auto"/>
        <w:contextualSpacing/>
        <w:rPr>
          <w:sz w:val="24"/>
        </w:rPr>
      </w:pPr>
      <w:r w:rsidRPr="00B9785A">
        <w:rPr>
          <w:sz w:val="24"/>
        </w:rPr>
        <w:t>El 19 de noviembre de 2019 en el Alcance 258 de la Gaceta 220 se publicó el Reglamento para la prevención del riesgo de Legitimación de Capitales, Financiamiento al Terrorismo y Financiamiento de la Proliferación de Armas de Destrucción Masiva, aplicable a los sujetos obligados por los artículos 15 y 15 bis de la Ley 7786, Acuerdo SUGEF 13-19.</w:t>
      </w:r>
    </w:p>
    <w:p w:rsidRPr="00B9785A" w:rsidR="008B692A" w:rsidP="008B692A" w:rsidRDefault="008B692A" w14:paraId="3FB8BF9F" w14:textId="77777777">
      <w:pPr>
        <w:pStyle w:val="Prrafodelista"/>
        <w:ind w:left="360"/>
        <w:jc w:val="both"/>
        <w:outlineLvl w:val="0"/>
        <w:rPr>
          <w:rFonts w:ascii="Cambria" w:hAnsi="Cambria"/>
          <w:i/>
          <w:sz w:val="24"/>
          <w:szCs w:val="24"/>
        </w:rPr>
      </w:pPr>
    </w:p>
    <w:p w:rsidRPr="00B9785A" w:rsidR="008B692A" w:rsidP="008B692A" w:rsidRDefault="008B692A" w14:paraId="2D9BFDB8" w14:textId="77777777">
      <w:pPr>
        <w:pStyle w:val="Prrafodelista"/>
        <w:numPr>
          <w:ilvl w:val="0"/>
          <w:numId w:val="3"/>
        </w:numPr>
        <w:spacing w:after="0" w:line="240" w:lineRule="auto"/>
        <w:contextualSpacing w:val="0"/>
        <w:jc w:val="both"/>
        <w:rPr>
          <w:rFonts w:ascii="Cambria" w:hAnsi="Cambria"/>
          <w:sz w:val="24"/>
          <w:szCs w:val="24"/>
        </w:rPr>
      </w:pPr>
      <w:r w:rsidRPr="00B9785A">
        <w:rPr>
          <w:rFonts w:ascii="Cambria" w:hAnsi="Cambria"/>
          <w:sz w:val="24"/>
          <w:szCs w:val="24"/>
        </w:rPr>
        <w:t xml:space="preserve">Los </w:t>
      </w:r>
      <w:r w:rsidRPr="00B9785A">
        <w:rPr>
          <w:rFonts w:ascii="Cambria" w:hAnsi="Cambria"/>
          <w:i/>
          <w:sz w:val="24"/>
          <w:szCs w:val="24"/>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B9785A">
        <w:rPr>
          <w:rFonts w:ascii="Cambria" w:hAnsi="Cambria"/>
          <w:sz w:val="24"/>
          <w:szCs w:val="24"/>
        </w:rPr>
        <w:t>, Acuerdo SUGEF 13-19 publicado en Alcance número 258 al Diario Oficial La Gaceta 220 el 19 de noviembre de 2019, en adelante referido como “Lineamientos Generales”, forman parte integral del Reglamento antes citado.</w:t>
      </w:r>
    </w:p>
    <w:p w:rsidRPr="00B9785A" w:rsidR="008B692A" w:rsidP="008B692A" w:rsidRDefault="008B692A" w14:paraId="54615635" w14:textId="77777777">
      <w:pPr>
        <w:pStyle w:val="Prrafodelista"/>
        <w:ind w:left="360"/>
        <w:jc w:val="both"/>
        <w:rPr>
          <w:rFonts w:ascii="Cambria" w:hAnsi="Cambria"/>
          <w:b/>
          <w:sz w:val="24"/>
          <w:szCs w:val="24"/>
        </w:rPr>
      </w:pPr>
    </w:p>
    <w:p w:rsidRPr="00B9785A" w:rsidR="008B692A" w:rsidP="008B692A" w:rsidRDefault="008B692A" w14:paraId="35350B57" w14:textId="77777777">
      <w:pPr>
        <w:pStyle w:val="Prrafodelista"/>
        <w:numPr>
          <w:ilvl w:val="0"/>
          <w:numId w:val="3"/>
        </w:numPr>
        <w:spacing w:after="0" w:line="240" w:lineRule="auto"/>
        <w:jc w:val="both"/>
        <w:outlineLvl w:val="0"/>
        <w:rPr>
          <w:rFonts w:ascii="Cambria" w:hAnsi="Cambria"/>
          <w:sz w:val="24"/>
          <w:szCs w:val="24"/>
        </w:rPr>
      </w:pPr>
      <w:r w:rsidRPr="00B9785A">
        <w:rPr>
          <w:rFonts w:ascii="Cambria" w:hAnsi="Cambria"/>
          <w:sz w:val="24"/>
          <w:szCs w:val="24"/>
        </w:rPr>
        <w:t xml:space="preserve">El Acuerdo SUGEF 13-19: </w:t>
      </w:r>
      <w:r w:rsidRPr="00B9785A">
        <w:rPr>
          <w:rFonts w:ascii="Cambria" w:hAnsi="Cambria"/>
          <w:i/>
          <w:iCs/>
          <w:sz w:val="24"/>
          <w:szCs w:val="24"/>
        </w:rPr>
        <w:t>“Reglamento para la Prevención del Riesgo de Legitimación de Capitales, Financiamiento al Terrorismo y Financiamiento de la Proliferación de</w:t>
      </w:r>
      <w:r w:rsidRPr="00B9785A">
        <w:rPr>
          <w:rFonts w:ascii="Cambria" w:hAnsi="Cambria"/>
          <w:i/>
          <w:iCs/>
          <w:sz w:val="24"/>
          <w:szCs w:val="24"/>
        </w:rPr>
        <w:br/>
        <w:t>Armas de Destrucción Masiva, Aplicable a los Sujetos Obligados por los</w:t>
      </w:r>
      <w:r w:rsidRPr="00B9785A">
        <w:rPr>
          <w:rFonts w:ascii="Cambria" w:hAnsi="Cambria"/>
          <w:i/>
          <w:iCs/>
          <w:sz w:val="24"/>
          <w:szCs w:val="24"/>
        </w:rPr>
        <w:br/>
        <w:t xml:space="preserve">Artículos 15 Y 15 Bis de la Ley 7786.”, </w:t>
      </w:r>
      <w:r w:rsidRPr="00B9785A">
        <w:rPr>
          <w:rFonts w:ascii="Cambria" w:hAnsi="Cambria"/>
          <w:sz w:val="24"/>
          <w:szCs w:val="24"/>
        </w:rPr>
        <w:t>establece en el artículo 4 y en sus Lineamientos Generales que: Primero, la Superintendencia definirá la categorización de los sujetos inscritos, con el objeto de establecer responsabilidades y obligaciones diferenciadas; segundo, el sujeto inscrito remitirá la información que determine la Superintendencia, a través de los medios que disponga para que esta realice la categorización; tercero, que la Superintendencia comunicará al sujeto inscrito, por los medios que disponga, la categoría que le corresponde.</w:t>
      </w:r>
    </w:p>
    <w:p w:rsidRPr="00B9785A" w:rsidR="008B692A" w:rsidP="008B692A" w:rsidRDefault="008B692A" w14:paraId="4F00EB83" w14:textId="77777777">
      <w:pPr>
        <w:pStyle w:val="Prrafodelista"/>
        <w:spacing w:after="0" w:line="240" w:lineRule="auto"/>
        <w:ind w:left="360"/>
        <w:jc w:val="both"/>
        <w:outlineLvl w:val="0"/>
        <w:rPr>
          <w:rFonts w:ascii="Cambria" w:hAnsi="Cambria"/>
          <w:sz w:val="24"/>
          <w:szCs w:val="24"/>
        </w:rPr>
      </w:pPr>
    </w:p>
    <w:p w:rsidRPr="00B9785A" w:rsidR="008B692A" w:rsidP="008B692A" w:rsidRDefault="008B692A" w14:paraId="7157D16F" w14:textId="77777777">
      <w:pPr>
        <w:pStyle w:val="Prrafodelista"/>
        <w:numPr>
          <w:ilvl w:val="0"/>
          <w:numId w:val="3"/>
        </w:numPr>
        <w:spacing w:after="0" w:line="240" w:lineRule="auto"/>
        <w:jc w:val="both"/>
        <w:outlineLvl w:val="0"/>
        <w:rPr>
          <w:rFonts w:ascii="Cambria" w:hAnsi="Cambria"/>
          <w:b/>
          <w:sz w:val="24"/>
          <w:szCs w:val="24"/>
        </w:rPr>
      </w:pPr>
      <w:r w:rsidRPr="00B9785A">
        <w:rPr>
          <w:rFonts w:ascii="Cambria" w:hAnsi="Cambria"/>
          <w:sz w:val="24"/>
          <w:szCs w:val="24"/>
        </w:rPr>
        <w:t>El Anexo a los Lineamientos Generales</w:t>
      </w:r>
      <w:r w:rsidRPr="00B9785A">
        <w:rPr>
          <w:rFonts w:ascii="Cambria" w:hAnsi="Cambria"/>
          <w:i/>
          <w:sz w:val="24"/>
          <w:szCs w:val="24"/>
        </w:rPr>
        <w:t>, “Modelo de clasificación por tipo de sujeto obligado”,</w:t>
      </w:r>
      <w:r w:rsidRPr="00B9785A">
        <w:rPr>
          <w:rFonts w:ascii="Cambria" w:hAnsi="Cambria"/>
          <w:sz w:val="24"/>
          <w:szCs w:val="24"/>
        </w:rPr>
        <w:t xml:space="preserve"> establece los criterios y parámetros con base en los cuales se realiza la clasificación por tipo de sujeto obligado.</w:t>
      </w:r>
    </w:p>
    <w:p w:rsidRPr="00B9785A" w:rsidR="008B692A" w:rsidP="008B692A" w:rsidRDefault="008B692A" w14:paraId="510A8F27" w14:textId="77777777">
      <w:pPr>
        <w:pStyle w:val="Prrafodelista"/>
        <w:jc w:val="both"/>
        <w:rPr>
          <w:rFonts w:ascii="Cambria" w:hAnsi="Cambria"/>
          <w:b/>
          <w:sz w:val="24"/>
          <w:szCs w:val="24"/>
        </w:rPr>
      </w:pPr>
    </w:p>
    <w:p w:rsidRPr="00B9785A" w:rsidR="008B692A" w:rsidP="008B692A" w:rsidRDefault="008B692A" w14:paraId="1D22A084" w14:textId="77777777">
      <w:pPr>
        <w:pStyle w:val="Prrafodelista"/>
        <w:numPr>
          <w:ilvl w:val="0"/>
          <w:numId w:val="3"/>
        </w:numPr>
        <w:autoSpaceDE w:val="0"/>
        <w:autoSpaceDN w:val="0"/>
        <w:adjustRightInd w:val="0"/>
        <w:spacing w:after="0" w:line="240" w:lineRule="auto"/>
        <w:jc w:val="both"/>
        <w:outlineLvl w:val="0"/>
        <w:rPr>
          <w:rFonts w:ascii="Cambria" w:hAnsi="Cambria"/>
          <w:b/>
          <w:sz w:val="24"/>
          <w:szCs w:val="24"/>
        </w:rPr>
      </w:pPr>
      <w:r w:rsidRPr="00B9785A">
        <w:rPr>
          <w:rFonts w:ascii="Cambria" w:hAnsi="Cambria"/>
          <w:sz w:val="24"/>
          <w:szCs w:val="24"/>
        </w:rPr>
        <w:t>Mediante Circulares Externas SGF-1153-2020 y SGF-3381-2020 del 3 de abril y 29 de setiembre de 2020 respectivamente, se comunicó a los sujetos inscritos APNFD, las disposiciones sobre el suministro de información, para realizar la categorización por tipo, resultado que se notificó a partir del 1º de marzo de 2021</w:t>
      </w:r>
      <w:r w:rsidRPr="00B9785A">
        <w:rPr>
          <w:rFonts w:ascii="Cambria" w:hAnsi="Cambria"/>
          <w:i/>
          <w:iCs/>
          <w:sz w:val="24"/>
          <w:szCs w:val="24"/>
        </w:rPr>
        <w:t>.</w:t>
      </w:r>
    </w:p>
    <w:p w:rsidRPr="00B9785A" w:rsidR="008B692A" w:rsidP="008B692A" w:rsidRDefault="008B692A" w14:paraId="54749728" w14:textId="77777777">
      <w:pPr>
        <w:pStyle w:val="Prrafodelista"/>
        <w:rPr>
          <w:rFonts w:ascii="Cambria" w:hAnsi="Cambria"/>
          <w:b/>
          <w:sz w:val="24"/>
          <w:szCs w:val="24"/>
        </w:rPr>
      </w:pPr>
    </w:p>
    <w:p w:rsidRPr="00B9785A" w:rsidR="008B692A" w:rsidP="008B692A" w:rsidRDefault="008B692A" w14:paraId="17D7C402" w14:textId="77777777">
      <w:pPr>
        <w:pStyle w:val="Prrafodelista"/>
        <w:numPr>
          <w:ilvl w:val="0"/>
          <w:numId w:val="3"/>
        </w:numPr>
        <w:autoSpaceDE w:val="0"/>
        <w:autoSpaceDN w:val="0"/>
        <w:adjustRightInd w:val="0"/>
        <w:spacing w:after="0" w:line="240" w:lineRule="auto"/>
        <w:jc w:val="both"/>
        <w:outlineLvl w:val="0"/>
        <w:rPr>
          <w:rFonts w:ascii="Cambria" w:hAnsi="Cambria"/>
          <w:b/>
          <w:i/>
          <w:iCs/>
          <w:sz w:val="24"/>
          <w:szCs w:val="24"/>
        </w:rPr>
      </w:pPr>
      <w:r w:rsidRPr="00B9785A">
        <w:rPr>
          <w:rFonts w:ascii="Cambria" w:hAnsi="Cambria"/>
          <w:bCs/>
          <w:sz w:val="24"/>
          <w:szCs w:val="24"/>
        </w:rPr>
        <w:t>El artículo 22</w:t>
      </w:r>
      <w:r w:rsidRPr="00B9785A">
        <w:rPr>
          <w:rFonts w:ascii="Cambria" w:hAnsi="Cambria"/>
          <w:sz w:val="24"/>
          <w:szCs w:val="24"/>
        </w:rPr>
        <w:t xml:space="preserve"> del Reglamento SUGEF 13-19, “</w:t>
      </w:r>
      <w:r w:rsidRPr="00B9785A">
        <w:rPr>
          <w:rFonts w:ascii="Cambria" w:hAnsi="Cambria"/>
          <w:i/>
          <w:iCs/>
          <w:sz w:val="24"/>
          <w:szCs w:val="24"/>
        </w:rPr>
        <w:t xml:space="preserve">Reglamento para la prevención del Riesgo de Legitimación de Capitales, Financiamiento del Terrorismo y Financiamiento de la Proliferación de Armas de Destrucción Masiva aplicable a los sujetos obligados </w:t>
      </w:r>
      <w:r w:rsidRPr="00B9785A">
        <w:rPr>
          <w:rFonts w:ascii="Cambria" w:hAnsi="Cambria"/>
          <w:i/>
          <w:iCs/>
          <w:sz w:val="24"/>
          <w:szCs w:val="24"/>
        </w:rPr>
        <w:lastRenderedPageBreak/>
        <w:t xml:space="preserve">por los artículos 15 y 15bis de la Ley 7786” </w:t>
      </w:r>
      <w:r w:rsidRPr="00B9785A">
        <w:rPr>
          <w:rFonts w:ascii="Cambria" w:hAnsi="Cambria"/>
          <w:sz w:val="24"/>
          <w:szCs w:val="24"/>
        </w:rPr>
        <w:t>dispone que: “</w:t>
      </w:r>
      <w:r w:rsidRPr="00B9785A">
        <w:rPr>
          <w:rFonts w:ascii="Cambria" w:hAnsi="Cambria" w:cs="Segoe UI"/>
          <w:i/>
          <w:iCs/>
          <w:color w:val="000000"/>
          <w:sz w:val="24"/>
          <w:szCs w:val="24"/>
          <w:shd w:val="clear" w:color="auto" w:fill="FFFFFF"/>
        </w:rPr>
        <w:t>El sujeto obligado debe realizar los reportes de informaci</w:t>
      </w:r>
      <w:r w:rsidRPr="00B9785A">
        <w:rPr>
          <w:rFonts w:ascii="Cambria" w:hAnsi="Cambria" w:cs="Tahoma"/>
          <w:i/>
          <w:iCs/>
          <w:color w:val="000000"/>
          <w:sz w:val="24"/>
          <w:szCs w:val="24"/>
          <w:shd w:val="clear" w:color="auto" w:fill="FFFFFF"/>
        </w:rPr>
        <w:t>ó</w:t>
      </w:r>
      <w:r w:rsidRPr="00B9785A">
        <w:rPr>
          <w:rFonts w:ascii="Cambria" w:hAnsi="Cambria" w:cs="Segoe UI"/>
          <w:i/>
          <w:iCs/>
          <w:color w:val="000000"/>
          <w:sz w:val="24"/>
          <w:szCs w:val="24"/>
          <w:shd w:val="clear" w:color="auto" w:fill="FFFFFF"/>
        </w:rPr>
        <w:t>n, que le sean requeridos por la</w:t>
      </w:r>
      <w:r w:rsidRPr="00B9785A">
        <w:rPr>
          <w:rFonts w:ascii="Cambria" w:hAnsi="Cambria" w:cs="Segoe UI"/>
          <w:i/>
          <w:iCs/>
          <w:color w:val="000000"/>
          <w:sz w:val="24"/>
          <w:szCs w:val="24"/>
        </w:rPr>
        <w:t xml:space="preserve"> </w:t>
      </w:r>
      <w:r w:rsidRPr="00B9785A">
        <w:rPr>
          <w:rFonts w:ascii="Cambria" w:hAnsi="Cambria" w:cs="Segoe UI"/>
          <w:i/>
          <w:iCs/>
          <w:color w:val="000000"/>
          <w:sz w:val="24"/>
          <w:szCs w:val="24"/>
          <w:shd w:val="clear" w:color="auto" w:fill="FFFFFF"/>
        </w:rPr>
        <w:t>Superintendencia, y debe remitirlos en el (los) plazo(s) y a trav</w:t>
      </w:r>
      <w:r w:rsidRPr="00B9785A">
        <w:rPr>
          <w:rFonts w:ascii="Cambria" w:hAnsi="Cambria" w:cs="Tahoma"/>
          <w:i/>
          <w:iCs/>
          <w:color w:val="000000"/>
          <w:sz w:val="24"/>
          <w:szCs w:val="24"/>
          <w:shd w:val="clear" w:color="auto" w:fill="FFFFFF"/>
        </w:rPr>
        <w:t>é</w:t>
      </w:r>
      <w:r w:rsidRPr="00B9785A">
        <w:rPr>
          <w:rFonts w:ascii="Cambria" w:hAnsi="Cambria" w:cs="Segoe UI"/>
          <w:i/>
          <w:iCs/>
          <w:color w:val="000000"/>
          <w:sz w:val="24"/>
          <w:szCs w:val="24"/>
          <w:shd w:val="clear" w:color="auto" w:fill="FFFFFF"/>
        </w:rPr>
        <w:t>s de los medios dispuestos por</w:t>
      </w:r>
      <w:r w:rsidRPr="00B9785A">
        <w:rPr>
          <w:rFonts w:ascii="Cambria" w:hAnsi="Cambria" w:cs="Segoe UI"/>
          <w:i/>
          <w:iCs/>
          <w:color w:val="000000"/>
          <w:sz w:val="24"/>
          <w:szCs w:val="24"/>
        </w:rPr>
        <w:t xml:space="preserve"> </w:t>
      </w:r>
      <w:r w:rsidRPr="00B9785A">
        <w:rPr>
          <w:rFonts w:ascii="Cambria" w:hAnsi="Cambria" w:cs="Segoe UI"/>
          <w:i/>
          <w:iCs/>
          <w:color w:val="000000"/>
          <w:sz w:val="24"/>
          <w:szCs w:val="24"/>
          <w:shd w:val="clear" w:color="auto" w:fill="FFFFFF"/>
        </w:rPr>
        <w:t xml:space="preserve">este </w:t>
      </w:r>
      <w:r w:rsidRPr="00B9785A">
        <w:rPr>
          <w:rFonts w:ascii="Cambria" w:hAnsi="Cambria" w:cs="Tahoma"/>
          <w:i/>
          <w:iCs/>
          <w:color w:val="000000"/>
          <w:sz w:val="24"/>
          <w:szCs w:val="24"/>
          <w:shd w:val="clear" w:color="auto" w:fill="FFFFFF"/>
        </w:rPr>
        <w:t>ó</w:t>
      </w:r>
      <w:r w:rsidRPr="00B9785A">
        <w:rPr>
          <w:rFonts w:ascii="Cambria" w:hAnsi="Cambria" w:cs="Segoe UI"/>
          <w:i/>
          <w:iCs/>
          <w:color w:val="000000"/>
          <w:sz w:val="24"/>
          <w:szCs w:val="24"/>
          <w:shd w:val="clear" w:color="auto" w:fill="FFFFFF"/>
        </w:rPr>
        <w:t>rgano de supervisi</w:t>
      </w:r>
      <w:r w:rsidRPr="00B9785A">
        <w:rPr>
          <w:rFonts w:ascii="Cambria" w:hAnsi="Cambria" w:cs="Tahoma"/>
          <w:i/>
          <w:iCs/>
          <w:color w:val="000000"/>
          <w:sz w:val="24"/>
          <w:szCs w:val="24"/>
          <w:shd w:val="clear" w:color="auto" w:fill="FFFFFF"/>
        </w:rPr>
        <w:t>ó</w:t>
      </w:r>
      <w:r w:rsidRPr="00B9785A">
        <w:rPr>
          <w:rFonts w:ascii="Cambria" w:hAnsi="Cambria" w:cs="Segoe UI"/>
          <w:i/>
          <w:iCs/>
          <w:color w:val="000000"/>
          <w:sz w:val="24"/>
          <w:szCs w:val="24"/>
          <w:shd w:val="clear" w:color="auto" w:fill="FFFFFF"/>
        </w:rPr>
        <w:t>n, considerando las excepciones que correspondan, seg</w:t>
      </w:r>
      <w:r w:rsidRPr="00B9785A">
        <w:rPr>
          <w:rFonts w:ascii="Cambria" w:hAnsi="Cambria" w:cs="Tahoma"/>
          <w:i/>
          <w:iCs/>
          <w:color w:val="000000"/>
          <w:sz w:val="24"/>
          <w:szCs w:val="24"/>
          <w:shd w:val="clear" w:color="auto" w:fill="FFFFFF"/>
        </w:rPr>
        <w:t>ú</w:t>
      </w:r>
      <w:r w:rsidRPr="00B9785A">
        <w:rPr>
          <w:rFonts w:ascii="Cambria" w:hAnsi="Cambria" w:cs="Segoe UI"/>
          <w:i/>
          <w:iCs/>
          <w:color w:val="000000"/>
          <w:sz w:val="24"/>
          <w:szCs w:val="24"/>
          <w:shd w:val="clear" w:color="auto" w:fill="FFFFFF"/>
        </w:rPr>
        <w:t>n se establece</w:t>
      </w:r>
      <w:r w:rsidRPr="00B9785A">
        <w:rPr>
          <w:rFonts w:ascii="Cambria" w:hAnsi="Cambria" w:cs="Segoe UI"/>
          <w:i/>
          <w:iCs/>
          <w:color w:val="000000"/>
          <w:sz w:val="24"/>
          <w:szCs w:val="24"/>
        </w:rPr>
        <w:t xml:space="preserve"> </w:t>
      </w:r>
      <w:r w:rsidRPr="00B9785A">
        <w:rPr>
          <w:rFonts w:ascii="Cambria" w:hAnsi="Cambria" w:cs="Segoe UI"/>
          <w:i/>
          <w:iCs/>
          <w:color w:val="000000"/>
          <w:sz w:val="24"/>
          <w:szCs w:val="24"/>
          <w:shd w:val="clear" w:color="auto" w:fill="FFFFFF"/>
        </w:rPr>
        <w:t xml:space="preserve">en los lineamientos generales a este Reglamento”, </w:t>
      </w:r>
      <w:r w:rsidRPr="00B9785A">
        <w:rPr>
          <w:rFonts w:ascii="Cambria" w:hAnsi="Cambria" w:cs="Segoe UI"/>
          <w:color w:val="000000"/>
          <w:sz w:val="24"/>
          <w:szCs w:val="24"/>
          <w:shd w:val="clear" w:color="auto" w:fill="FFFFFF"/>
        </w:rPr>
        <w:t xml:space="preserve"> estos reportes deben ser remitidos en un plazo de 20 días naturales después del corte de cada período, según el tipo de sujeto inscrito: </w:t>
      </w:r>
    </w:p>
    <w:p w:rsidRPr="00B9785A" w:rsidR="008B692A" w:rsidP="008B692A" w:rsidRDefault="008B692A" w14:paraId="4B873879" w14:textId="77777777">
      <w:pPr>
        <w:autoSpaceDE w:val="0"/>
        <w:autoSpaceDN w:val="0"/>
        <w:adjustRightInd w:val="0"/>
        <w:spacing w:line="240" w:lineRule="auto"/>
        <w:outlineLvl w:val="0"/>
        <w:rPr>
          <w:b/>
          <w:i/>
          <w:iCs/>
          <w:sz w:val="24"/>
        </w:rPr>
      </w:pPr>
    </w:p>
    <w:p w:rsidRPr="00B9785A" w:rsidR="008B692A" w:rsidP="008B692A" w:rsidRDefault="008B692A" w14:paraId="1D8E5931" w14:textId="77777777">
      <w:pPr>
        <w:pStyle w:val="Prrafodelista"/>
        <w:autoSpaceDE w:val="0"/>
        <w:autoSpaceDN w:val="0"/>
        <w:adjustRightInd w:val="0"/>
        <w:spacing w:after="0" w:line="240" w:lineRule="auto"/>
        <w:ind w:left="360"/>
        <w:jc w:val="both"/>
        <w:outlineLvl w:val="0"/>
        <w:rPr>
          <w:rFonts w:ascii="Cambria" w:hAnsi="Cambria"/>
          <w:b/>
          <w:bCs/>
          <w:i/>
          <w:iCs/>
          <w:sz w:val="24"/>
          <w:szCs w:val="24"/>
        </w:rPr>
      </w:pPr>
      <w:r w:rsidRPr="00B9785A">
        <w:rPr>
          <w:rFonts w:ascii="Cambria" w:hAnsi="Cambria" w:cs="Segoe UI"/>
          <w:b/>
          <w:bCs/>
          <w:color w:val="000000"/>
          <w:sz w:val="24"/>
          <w:szCs w:val="24"/>
          <w:shd w:val="clear" w:color="auto" w:fill="FFFFFF"/>
        </w:rPr>
        <w:t>Tipo I:     cada 2 meses</w:t>
      </w:r>
    </w:p>
    <w:p w:rsidRPr="00B9785A" w:rsidR="008B692A" w:rsidP="008B692A" w:rsidRDefault="008B692A" w14:paraId="79008177" w14:textId="77777777">
      <w:pPr>
        <w:autoSpaceDE w:val="0"/>
        <w:autoSpaceDN w:val="0"/>
        <w:adjustRightInd w:val="0"/>
        <w:spacing w:line="240" w:lineRule="auto"/>
        <w:ind w:left="360"/>
        <w:outlineLvl w:val="0"/>
        <w:rPr>
          <w:b/>
          <w:bCs/>
          <w:sz w:val="24"/>
        </w:rPr>
      </w:pPr>
      <w:r w:rsidRPr="00B9785A">
        <w:rPr>
          <w:b/>
          <w:bCs/>
          <w:sz w:val="24"/>
        </w:rPr>
        <w:t>Tipo II:   cada 3 meses</w:t>
      </w:r>
    </w:p>
    <w:p w:rsidRPr="00B9785A" w:rsidR="008B692A" w:rsidP="008B692A" w:rsidRDefault="008B692A" w14:paraId="2373BC2D" w14:textId="77777777">
      <w:pPr>
        <w:autoSpaceDE w:val="0"/>
        <w:autoSpaceDN w:val="0"/>
        <w:adjustRightInd w:val="0"/>
        <w:spacing w:line="240" w:lineRule="auto"/>
        <w:ind w:left="360"/>
        <w:outlineLvl w:val="0"/>
        <w:rPr>
          <w:b/>
          <w:bCs/>
          <w:sz w:val="24"/>
        </w:rPr>
      </w:pPr>
      <w:r w:rsidRPr="00B9785A">
        <w:rPr>
          <w:b/>
          <w:bCs/>
          <w:sz w:val="24"/>
        </w:rPr>
        <w:t>Tipo III:  cada 4 meses</w:t>
      </w:r>
    </w:p>
    <w:p w:rsidRPr="00B9785A" w:rsidR="008B692A" w:rsidP="008B692A" w:rsidRDefault="008B692A" w14:paraId="2A06CD43" w14:textId="77777777">
      <w:pPr>
        <w:pStyle w:val="Prrafodelista"/>
        <w:rPr>
          <w:rFonts w:ascii="Cambria" w:hAnsi="Cambria"/>
          <w:sz w:val="24"/>
          <w:szCs w:val="24"/>
        </w:rPr>
      </w:pPr>
    </w:p>
    <w:p w:rsidRPr="00B9785A" w:rsidR="008B692A" w:rsidP="008B692A" w:rsidRDefault="008B692A" w14:paraId="61FD3EAE" w14:textId="77777777">
      <w:pPr>
        <w:pStyle w:val="Prrafodelista"/>
        <w:numPr>
          <w:ilvl w:val="0"/>
          <w:numId w:val="3"/>
        </w:numPr>
        <w:autoSpaceDE w:val="0"/>
        <w:autoSpaceDN w:val="0"/>
        <w:adjustRightInd w:val="0"/>
        <w:spacing w:after="0" w:line="240" w:lineRule="auto"/>
        <w:jc w:val="both"/>
        <w:outlineLvl w:val="0"/>
        <w:rPr>
          <w:rFonts w:ascii="Cambria" w:hAnsi="Cambria"/>
          <w:b/>
          <w:sz w:val="24"/>
          <w:szCs w:val="24"/>
        </w:rPr>
      </w:pPr>
      <w:r w:rsidRPr="00B9785A">
        <w:rPr>
          <w:rFonts w:ascii="Cambria" w:hAnsi="Cambria"/>
          <w:sz w:val="24"/>
          <w:szCs w:val="24"/>
        </w:rPr>
        <w:t xml:space="preserve">La Superintendencia General de Entidades Financieras (SUGEF) utiliza el Sistema de Captura, Verificación y Carga de datos, conocido por sus siglas como SICVECA, para la recepción de los reportes obligatorios que, en adelante, será utilizado por todos los sujetos APNFD. </w:t>
      </w:r>
    </w:p>
    <w:p w:rsidRPr="00B9785A" w:rsidR="008B692A" w:rsidP="008B692A" w:rsidRDefault="008B692A" w14:paraId="4B5A9405" w14:textId="77777777">
      <w:pPr>
        <w:pStyle w:val="Prrafodelista"/>
        <w:autoSpaceDE w:val="0"/>
        <w:autoSpaceDN w:val="0"/>
        <w:adjustRightInd w:val="0"/>
        <w:spacing w:after="0" w:line="240" w:lineRule="auto"/>
        <w:ind w:left="360"/>
        <w:jc w:val="both"/>
        <w:outlineLvl w:val="0"/>
        <w:rPr>
          <w:rFonts w:ascii="Cambria" w:hAnsi="Cambria"/>
          <w:b/>
          <w:sz w:val="24"/>
          <w:szCs w:val="24"/>
        </w:rPr>
      </w:pPr>
    </w:p>
    <w:p w:rsidRPr="00B9785A" w:rsidR="008B692A" w:rsidP="008B692A" w:rsidRDefault="008B692A" w14:paraId="6CED527D" w14:textId="77777777">
      <w:pPr>
        <w:pStyle w:val="Prrafodelista"/>
        <w:numPr>
          <w:ilvl w:val="0"/>
          <w:numId w:val="3"/>
        </w:numPr>
        <w:autoSpaceDE w:val="0"/>
        <w:autoSpaceDN w:val="0"/>
        <w:adjustRightInd w:val="0"/>
        <w:spacing w:after="0" w:line="240" w:lineRule="auto"/>
        <w:jc w:val="both"/>
        <w:outlineLvl w:val="0"/>
        <w:rPr>
          <w:rFonts w:ascii="Cambria" w:hAnsi="Cambria"/>
          <w:b/>
          <w:sz w:val="24"/>
          <w:szCs w:val="24"/>
        </w:rPr>
      </w:pPr>
      <w:r w:rsidRPr="00B9785A">
        <w:rPr>
          <w:rFonts w:ascii="Cambria" w:hAnsi="Cambria"/>
          <w:bCs/>
          <w:sz w:val="24"/>
          <w:szCs w:val="24"/>
        </w:rPr>
        <w:t>El</w:t>
      </w:r>
      <w:r w:rsidRPr="00B9785A">
        <w:rPr>
          <w:rFonts w:ascii="Cambria" w:hAnsi="Cambria"/>
          <w:sz w:val="24"/>
          <w:szCs w:val="24"/>
        </w:rPr>
        <w:t xml:space="preserve"> Reglamento de Inscripción, Acuerdo SUGEF 11-18 en el</w:t>
      </w:r>
      <w:r w:rsidRPr="00B9785A">
        <w:rPr>
          <w:rFonts w:ascii="Cambria" w:hAnsi="Cambria"/>
          <w:bCs/>
          <w:sz w:val="24"/>
          <w:szCs w:val="24"/>
        </w:rPr>
        <w:t xml:space="preserve"> artículo 14, define las causas de suspensión de los sujetos obligados, entre ellas, “</w:t>
      </w:r>
      <w:r w:rsidRPr="00B9785A">
        <w:rPr>
          <w:rFonts w:ascii="Cambria" w:hAnsi="Cambria" w:cs="TimesNewRoman"/>
          <w:i/>
          <w:iCs/>
          <w:sz w:val="24"/>
          <w:szCs w:val="24"/>
          <w:lang w:val="es-MX"/>
        </w:rPr>
        <w:t>Cuando el sujeto obligado no entregue a la SUGEF cualquier información adicional o aclaratoria que le sea requerida, relacionada con la actividad o actividades por las que fue inscrito, en la forma y en los plazos en que la SUGEF, este Reglamento, o el ordenamiento jurídico lo determine.</w:t>
      </w:r>
      <w:r w:rsidRPr="00B9785A">
        <w:rPr>
          <w:rFonts w:ascii="Cambria" w:hAnsi="Cambria"/>
          <w:bCs/>
          <w:i/>
          <w:iCs/>
          <w:sz w:val="24"/>
          <w:szCs w:val="24"/>
        </w:rPr>
        <w:t>”</w:t>
      </w:r>
    </w:p>
    <w:p w:rsidRPr="00B9785A" w:rsidR="008B692A" w:rsidP="008B692A" w:rsidRDefault="008B692A" w14:paraId="67827AF8" w14:textId="77777777">
      <w:pPr>
        <w:rPr>
          <w:sz w:val="24"/>
          <w:lang w:val="es-CR"/>
        </w:rPr>
      </w:pPr>
    </w:p>
    <w:p w:rsidRPr="00B9785A" w:rsidR="008B692A" w:rsidP="008B692A" w:rsidRDefault="008B692A" w14:paraId="13B47C26" w14:textId="77777777">
      <w:pPr>
        <w:pStyle w:val="Prrafodelista"/>
        <w:numPr>
          <w:ilvl w:val="0"/>
          <w:numId w:val="3"/>
        </w:numPr>
        <w:autoSpaceDE w:val="0"/>
        <w:autoSpaceDN w:val="0"/>
        <w:adjustRightInd w:val="0"/>
        <w:spacing w:after="0" w:line="240" w:lineRule="auto"/>
        <w:jc w:val="both"/>
        <w:outlineLvl w:val="0"/>
        <w:rPr>
          <w:rFonts w:ascii="Cambria" w:hAnsi="Cambria"/>
          <w:sz w:val="24"/>
          <w:szCs w:val="24"/>
        </w:rPr>
      </w:pPr>
      <w:r w:rsidRPr="00B9785A">
        <w:rPr>
          <w:rFonts w:ascii="Cambria" w:hAnsi="Cambria"/>
          <w:sz w:val="24"/>
          <w:szCs w:val="24"/>
        </w:rPr>
        <w:t xml:space="preserve">Mediante Circular Externa SGF-3341-2021 del 2 de diciembre de 2021, se comunicaron las disposiciones para el suministro de información por medio del Sistema de Captura, Verificación y Carga de datos (SICVECA), </w:t>
      </w:r>
      <w:r w:rsidRPr="00B9785A">
        <w:rPr>
          <w:rFonts w:ascii="Cambria" w:hAnsi="Cambria"/>
          <w:b/>
          <w:bCs/>
          <w:sz w:val="24"/>
          <w:szCs w:val="24"/>
        </w:rPr>
        <w:t xml:space="preserve">según la(s) actividad(es) inscrita(s) y de acuerdo con la categorización por Tipo. </w:t>
      </w:r>
    </w:p>
    <w:p w:rsidRPr="00B9785A" w:rsidR="008B692A" w:rsidP="008B692A" w:rsidRDefault="008B692A" w14:paraId="0E0B818B" w14:textId="77777777">
      <w:pPr>
        <w:pStyle w:val="Prrafodelista"/>
        <w:rPr>
          <w:rFonts w:ascii="Cambria" w:hAnsi="Cambria"/>
          <w:sz w:val="24"/>
          <w:szCs w:val="24"/>
        </w:rPr>
      </w:pPr>
    </w:p>
    <w:p w:rsidRPr="00B9785A" w:rsidR="008B692A" w:rsidP="008B692A" w:rsidRDefault="008B692A" w14:paraId="6A756CC3" w14:textId="77777777">
      <w:pPr>
        <w:pStyle w:val="Prrafodelista"/>
        <w:numPr>
          <w:ilvl w:val="0"/>
          <w:numId w:val="3"/>
        </w:numPr>
        <w:autoSpaceDE w:val="0"/>
        <w:autoSpaceDN w:val="0"/>
        <w:adjustRightInd w:val="0"/>
        <w:spacing w:after="0" w:line="240" w:lineRule="auto"/>
        <w:jc w:val="both"/>
        <w:outlineLvl w:val="0"/>
        <w:rPr>
          <w:rFonts w:ascii="Cambria" w:hAnsi="Cambria"/>
          <w:sz w:val="24"/>
          <w:szCs w:val="24"/>
        </w:rPr>
      </w:pPr>
      <w:r w:rsidRPr="00B9785A">
        <w:rPr>
          <w:rFonts w:ascii="Cambria" w:hAnsi="Cambria"/>
          <w:sz w:val="24"/>
          <w:szCs w:val="24"/>
        </w:rPr>
        <w:t xml:space="preserve">La Circular Externa SGF-3341-2021, señala que la presentación inicial de los reportes para el año 2022, se realizará de acuerdo con el siguiente cronograma: </w:t>
      </w:r>
    </w:p>
    <w:p w:rsidR="008B692A" w:rsidP="008B692A" w:rsidRDefault="008B692A" w14:paraId="35DA68AE" w14:textId="700912F4">
      <w:pPr>
        <w:pStyle w:val="Prrafodelista"/>
        <w:jc w:val="both"/>
        <w:rPr>
          <w:rFonts w:ascii="Cambria" w:hAnsi="Cambria"/>
          <w:sz w:val="24"/>
          <w:szCs w:val="24"/>
        </w:rPr>
      </w:pPr>
    </w:p>
    <w:p w:rsidRPr="00B9785A" w:rsidR="00F32D3E" w:rsidP="008B692A" w:rsidRDefault="00F32D3E" w14:paraId="2728FCB9" w14:textId="77777777">
      <w:pPr>
        <w:pStyle w:val="Prrafodelista"/>
        <w:jc w:val="both"/>
        <w:rPr>
          <w:rFonts w:ascii="Cambria" w:hAnsi="Cambria"/>
          <w:sz w:val="24"/>
          <w:szCs w:val="24"/>
        </w:rPr>
      </w:pPr>
    </w:p>
    <w:p w:rsidRPr="00B9785A" w:rsidR="008B692A" w:rsidP="008B692A" w:rsidRDefault="008B692A" w14:paraId="16EEAE02" w14:textId="77777777">
      <w:pPr>
        <w:pStyle w:val="Prrafodelista"/>
        <w:jc w:val="center"/>
        <w:rPr>
          <w:rFonts w:ascii="Cambria" w:hAnsi="Cambria"/>
          <w:sz w:val="24"/>
          <w:szCs w:val="24"/>
        </w:rPr>
      </w:pPr>
      <w:r w:rsidRPr="00B9785A">
        <w:rPr>
          <w:rFonts w:ascii="Cambria" w:hAnsi="Cambria"/>
          <w:noProof/>
          <w:sz w:val="24"/>
          <w:szCs w:val="24"/>
        </w:rPr>
        <w:drawing>
          <wp:inline distT="0" distB="0" distL="0" distR="0" wp14:anchorId="2E5C38C3" wp14:editId="22FA5FBE">
            <wp:extent cx="4261485" cy="1354455"/>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1485" cy="1354455"/>
                    </a:xfrm>
                    <a:prstGeom prst="rect">
                      <a:avLst/>
                    </a:prstGeom>
                    <a:noFill/>
                    <a:ln>
                      <a:noFill/>
                    </a:ln>
                  </pic:spPr>
                </pic:pic>
              </a:graphicData>
            </a:graphic>
          </wp:inline>
        </w:drawing>
      </w:r>
    </w:p>
    <w:p w:rsidRPr="00B9785A" w:rsidR="008B692A" w:rsidP="008B692A" w:rsidRDefault="008B692A" w14:paraId="5D96518D" w14:textId="77777777">
      <w:pPr>
        <w:pStyle w:val="Prrafodelista"/>
        <w:jc w:val="center"/>
        <w:rPr>
          <w:rFonts w:ascii="Cambria" w:hAnsi="Cambria"/>
          <w:sz w:val="24"/>
          <w:szCs w:val="24"/>
        </w:rPr>
      </w:pPr>
    </w:p>
    <w:p w:rsidR="008B692A" w:rsidP="008B692A" w:rsidRDefault="008B692A" w14:paraId="6AC36B5B" w14:textId="7126FD42">
      <w:pPr>
        <w:pStyle w:val="Prrafodelista"/>
        <w:autoSpaceDE w:val="0"/>
        <w:autoSpaceDN w:val="0"/>
        <w:adjustRightInd w:val="0"/>
        <w:spacing w:after="0" w:line="240" w:lineRule="auto"/>
        <w:ind w:left="360"/>
        <w:jc w:val="both"/>
        <w:outlineLvl w:val="0"/>
        <w:rPr>
          <w:rFonts w:ascii="Cambria" w:hAnsi="Cambria"/>
          <w:b/>
          <w:sz w:val="24"/>
          <w:szCs w:val="24"/>
        </w:rPr>
      </w:pPr>
    </w:p>
    <w:p w:rsidR="00F32D3E" w:rsidP="008B692A" w:rsidRDefault="00F32D3E" w14:paraId="7FCEB1AD" w14:textId="37833ED9">
      <w:pPr>
        <w:pStyle w:val="Prrafodelista"/>
        <w:autoSpaceDE w:val="0"/>
        <w:autoSpaceDN w:val="0"/>
        <w:adjustRightInd w:val="0"/>
        <w:spacing w:after="0" w:line="240" w:lineRule="auto"/>
        <w:ind w:left="360"/>
        <w:jc w:val="both"/>
        <w:outlineLvl w:val="0"/>
        <w:rPr>
          <w:rFonts w:ascii="Cambria" w:hAnsi="Cambria"/>
          <w:b/>
          <w:sz w:val="24"/>
          <w:szCs w:val="24"/>
        </w:rPr>
      </w:pPr>
    </w:p>
    <w:p w:rsidRPr="00B9785A" w:rsidR="00F32D3E" w:rsidP="008B692A" w:rsidRDefault="00F32D3E" w14:paraId="410ECE31" w14:textId="77777777">
      <w:pPr>
        <w:pStyle w:val="Prrafodelista"/>
        <w:autoSpaceDE w:val="0"/>
        <w:autoSpaceDN w:val="0"/>
        <w:adjustRightInd w:val="0"/>
        <w:spacing w:after="0" w:line="240" w:lineRule="auto"/>
        <w:ind w:left="360"/>
        <w:jc w:val="both"/>
        <w:outlineLvl w:val="0"/>
        <w:rPr>
          <w:rFonts w:ascii="Cambria" w:hAnsi="Cambria"/>
          <w:b/>
          <w:sz w:val="24"/>
          <w:szCs w:val="24"/>
        </w:rPr>
      </w:pPr>
    </w:p>
    <w:p w:rsidRPr="00B9785A" w:rsidR="008B692A" w:rsidP="008B692A" w:rsidRDefault="008B692A" w14:paraId="65FA79CB" w14:textId="77777777">
      <w:pPr>
        <w:rPr>
          <w:b/>
          <w:sz w:val="24"/>
        </w:rPr>
      </w:pPr>
      <w:r w:rsidRPr="00B9785A">
        <w:rPr>
          <w:b/>
          <w:sz w:val="24"/>
        </w:rPr>
        <w:t xml:space="preserve">Dispone: </w:t>
      </w:r>
    </w:p>
    <w:p w:rsidRPr="00B9785A" w:rsidR="008B692A" w:rsidP="008B692A" w:rsidRDefault="008B692A" w14:paraId="551F44A0" w14:textId="77777777">
      <w:pPr>
        <w:rPr>
          <w:b/>
          <w:sz w:val="24"/>
        </w:rPr>
      </w:pPr>
    </w:p>
    <w:p w:rsidRPr="00B9785A" w:rsidR="008B692A" w:rsidP="008B692A" w:rsidRDefault="008B692A" w14:paraId="2B988CD6" w14:textId="77777777">
      <w:pPr>
        <w:rPr>
          <w:b/>
          <w:sz w:val="24"/>
        </w:rPr>
      </w:pPr>
    </w:p>
    <w:p w:rsidRPr="00B9785A" w:rsidR="008B692A" w:rsidP="008B692A" w:rsidRDefault="00F32D3E" w14:paraId="165FB800" w14:textId="59207FA9">
      <w:pPr>
        <w:pStyle w:val="Prrafodelista"/>
        <w:numPr>
          <w:ilvl w:val="0"/>
          <w:numId w:val="5"/>
        </w:numPr>
        <w:spacing w:after="0"/>
        <w:jc w:val="both"/>
        <w:rPr>
          <w:rFonts w:ascii="Cambria" w:hAnsi="Cambria"/>
          <w:b/>
          <w:bCs/>
          <w:sz w:val="24"/>
          <w:szCs w:val="24"/>
        </w:rPr>
      </w:pPr>
      <w:r>
        <w:rPr>
          <w:rFonts w:ascii="Cambria" w:hAnsi="Cambria"/>
          <w:sz w:val="24"/>
          <w:szCs w:val="24"/>
          <w:lang w:val="es-ES"/>
        </w:rPr>
        <w:t>Ajustar</w:t>
      </w:r>
      <w:r w:rsidRPr="00B9785A" w:rsidR="008B692A">
        <w:rPr>
          <w:rFonts w:ascii="Cambria" w:hAnsi="Cambria"/>
          <w:sz w:val="24"/>
          <w:szCs w:val="24"/>
        </w:rPr>
        <w:t xml:space="preserve"> la </w:t>
      </w:r>
      <w:r>
        <w:rPr>
          <w:rFonts w:ascii="Cambria" w:hAnsi="Cambria"/>
          <w:sz w:val="24"/>
          <w:szCs w:val="24"/>
        </w:rPr>
        <w:t xml:space="preserve">fecha de </w:t>
      </w:r>
      <w:r w:rsidRPr="00B9785A" w:rsidR="008B692A">
        <w:rPr>
          <w:rFonts w:ascii="Cambria" w:hAnsi="Cambria"/>
          <w:sz w:val="24"/>
          <w:szCs w:val="24"/>
        </w:rPr>
        <w:t xml:space="preserve">presentación de la información </w:t>
      </w:r>
      <w:r w:rsidRPr="00B9785A" w:rsidR="008B692A">
        <w:rPr>
          <w:rFonts w:ascii="Cambria" w:hAnsi="Cambria" w:cs="Segoe UI"/>
          <w:bCs/>
          <w:sz w:val="24"/>
          <w:szCs w:val="24"/>
          <w:shd w:val="clear" w:color="auto" w:fill="FFFFFF"/>
        </w:rPr>
        <w:t xml:space="preserve">para la </w:t>
      </w:r>
      <w:r w:rsidRPr="00B9785A" w:rsidR="008B692A">
        <w:rPr>
          <w:rFonts w:ascii="Cambria" w:hAnsi="Cambria"/>
          <w:bCs/>
          <w:sz w:val="24"/>
          <w:szCs w:val="24"/>
          <w:u w:val="single"/>
        </w:rPr>
        <w:t xml:space="preserve">clase de datos código 45- </w:t>
      </w:r>
      <w:r w:rsidRPr="00B9785A" w:rsidR="008B692A">
        <w:rPr>
          <w:rFonts w:ascii="Cambria" w:hAnsi="Cambria"/>
          <w:bCs/>
          <w:i/>
          <w:iCs/>
          <w:sz w:val="24"/>
          <w:szCs w:val="24"/>
          <w:u w:val="single"/>
        </w:rPr>
        <w:t xml:space="preserve">Reportes APNFD Remesas, Transferencias y </w:t>
      </w:r>
      <w:proofErr w:type="spellStart"/>
      <w:r w:rsidRPr="00B9785A" w:rsidR="008B692A">
        <w:rPr>
          <w:rFonts w:ascii="Cambria" w:hAnsi="Cambria"/>
          <w:bCs/>
          <w:i/>
          <w:iCs/>
          <w:sz w:val="24"/>
          <w:szCs w:val="24"/>
          <w:u w:val="single"/>
        </w:rPr>
        <w:t>Op</w:t>
      </w:r>
      <w:proofErr w:type="spellEnd"/>
      <w:r w:rsidRPr="00B9785A" w:rsidR="008B692A">
        <w:rPr>
          <w:rFonts w:ascii="Cambria" w:hAnsi="Cambria"/>
          <w:bCs/>
          <w:i/>
          <w:iCs/>
          <w:sz w:val="24"/>
          <w:szCs w:val="24"/>
          <w:u w:val="single"/>
        </w:rPr>
        <w:t xml:space="preserve">. </w:t>
      </w:r>
      <w:proofErr w:type="spellStart"/>
      <w:r w:rsidRPr="00B9785A" w:rsidR="008B692A">
        <w:rPr>
          <w:rFonts w:ascii="Cambria" w:hAnsi="Cambria"/>
          <w:bCs/>
          <w:i/>
          <w:iCs/>
          <w:sz w:val="24"/>
          <w:szCs w:val="24"/>
          <w:u w:val="single"/>
        </w:rPr>
        <w:t>sist</w:t>
      </w:r>
      <w:proofErr w:type="spellEnd"/>
      <w:r w:rsidRPr="00B9785A" w:rsidR="008B692A">
        <w:rPr>
          <w:rFonts w:ascii="Cambria" w:hAnsi="Cambria"/>
          <w:bCs/>
          <w:i/>
          <w:iCs/>
          <w:sz w:val="24"/>
          <w:szCs w:val="24"/>
          <w:u w:val="single"/>
        </w:rPr>
        <w:t xml:space="preserve">. </w:t>
      </w:r>
      <w:proofErr w:type="spellStart"/>
      <w:r w:rsidRPr="00B9785A" w:rsidR="008B692A">
        <w:rPr>
          <w:rFonts w:ascii="Cambria" w:hAnsi="Cambria"/>
          <w:bCs/>
          <w:i/>
          <w:iCs/>
          <w:sz w:val="24"/>
          <w:szCs w:val="24"/>
          <w:u w:val="single"/>
        </w:rPr>
        <w:t>sust</w:t>
      </w:r>
      <w:proofErr w:type="spellEnd"/>
      <w:r w:rsidRPr="00B9785A" w:rsidR="008B692A">
        <w:rPr>
          <w:rFonts w:ascii="Cambria" w:hAnsi="Cambria"/>
          <w:bCs/>
          <w:i/>
          <w:iCs/>
          <w:sz w:val="24"/>
          <w:szCs w:val="24"/>
          <w:u w:val="single"/>
        </w:rPr>
        <w:t>. Ley 7786</w:t>
      </w:r>
      <w:r w:rsidRPr="00B9785A" w:rsidR="008B692A">
        <w:rPr>
          <w:rFonts w:ascii="Cambria" w:hAnsi="Cambria"/>
          <w:sz w:val="24"/>
          <w:szCs w:val="24"/>
        </w:rPr>
        <w:t xml:space="preserve">, por </w:t>
      </w:r>
      <w:r>
        <w:rPr>
          <w:rFonts w:ascii="Cambria" w:hAnsi="Cambria"/>
          <w:sz w:val="24"/>
          <w:szCs w:val="24"/>
        </w:rPr>
        <w:t>cambios</w:t>
      </w:r>
      <w:r w:rsidRPr="00B9785A" w:rsidR="008B692A">
        <w:rPr>
          <w:rFonts w:ascii="Cambria" w:hAnsi="Cambria"/>
          <w:sz w:val="24"/>
          <w:szCs w:val="24"/>
        </w:rPr>
        <w:t xml:space="preserve"> en la estructura de la clase de datos, por lo que se modifica </w:t>
      </w:r>
      <w:r w:rsidRPr="00B9785A" w:rsidR="008B692A">
        <w:rPr>
          <w:rFonts w:ascii="Cambria" w:hAnsi="Cambria"/>
          <w:sz w:val="24"/>
          <w:szCs w:val="24"/>
          <w:lang w:eastAsia="es-ES"/>
        </w:rPr>
        <w:t>la fecha de entrega en el suministro de información dispuesto en</w:t>
      </w:r>
      <w:r w:rsidRPr="00B9785A" w:rsidR="008B692A">
        <w:rPr>
          <w:rFonts w:ascii="Cambria" w:hAnsi="Cambria"/>
          <w:b/>
          <w:bCs/>
          <w:sz w:val="24"/>
          <w:szCs w:val="24"/>
          <w:lang w:eastAsia="es-ES"/>
        </w:rPr>
        <w:t xml:space="preserve"> </w:t>
      </w:r>
      <w:r w:rsidRPr="00B9785A" w:rsidR="008B692A">
        <w:rPr>
          <w:rFonts w:ascii="Cambria" w:hAnsi="Cambria"/>
          <w:sz w:val="24"/>
          <w:szCs w:val="24"/>
        </w:rPr>
        <w:t xml:space="preserve">la Circular Externa SGF-3341-2021, </w:t>
      </w:r>
      <w:r w:rsidRPr="00B9785A" w:rsidR="008B692A">
        <w:rPr>
          <w:rFonts w:ascii="Cambria" w:hAnsi="Cambria"/>
          <w:sz w:val="24"/>
          <w:szCs w:val="24"/>
          <w:u w:val="single"/>
        </w:rPr>
        <w:t xml:space="preserve">específicamente para las </w:t>
      </w:r>
      <w:r>
        <w:rPr>
          <w:rFonts w:ascii="Cambria" w:hAnsi="Cambria"/>
          <w:sz w:val="24"/>
          <w:szCs w:val="24"/>
          <w:u w:val="single"/>
        </w:rPr>
        <w:t>siguientes actividades</w:t>
      </w:r>
      <w:r w:rsidRPr="00B9785A" w:rsidR="008B692A">
        <w:rPr>
          <w:rFonts w:ascii="Cambria" w:hAnsi="Cambria" w:cs="Segoe UI"/>
          <w:b/>
          <w:color w:val="000000"/>
          <w:sz w:val="24"/>
          <w:szCs w:val="24"/>
          <w:shd w:val="clear" w:color="auto" w:fill="FFFFFF"/>
        </w:rPr>
        <w:t xml:space="preserve">: </w:t>
      </w:r>
    </w:p>
    <w:p w:rsidRPr="00B9785A" w:rsidR="008B692A" w:rsidP="008B692A" w:rsidRDefault="008B692A" w14:paraId="71228BB3" w14:textId="77777777">
      <w:pPr>
        <w:pStyle w:val="Prrafodelista"/>
        <w:spacing w:after="0"/>
        <w:jc w:val="both"/>
        <w:rPr>
          <w:rFonts w:ascii="Cambria" w:hAnsi="Cambria"/>
          <w:b/>
          <w:bCs/>
          <w:sz w:val="24"/>
          <w:szCs w:val="24"/>
        </w:rPr>
      </w:pPr>
    </w:p>
    <w:p w:rsidRPr="00B9785A" w:rsidR="008B692A" w:rsidP="008B692A" w:rsidRDefault="008B692A" w14:paraId="5556389A" w14:textId="77777777">
      <w:pPr>
        <w:pStyle w:val="Prrafodelista"/>
        <w:numPr>
          <w:ilvl w:val="1"/>
          <w:numId w:val="5"/>
        </w:numPr>
        <w:jc w:val="both"/>
        <w:rPr>
          <w:rFonts w:ascii="Cambria" w:hAnsi="Cambria"/>
          <w:bCs/>
          <w:sz w:val="24"/>
          <w:szCs w:val="24"/>
        </w:rPr>
      </w:pPr>
      <w:r w:rsidRPr="00B9785A">
        <w:rPr>
          <w:rFonts w:ascii="Cambria" w:hAnsi="Cambria" w:cs="Segoe UI"/>
          <w:bCs/>
          <w:color w:val="000000"/>
          <w:sz w:val="24"/>
          <w:szCs w:val="24"/>
          <w:shd w:val="clear" w:color="auto" w:fill="FFFFFF"/>
        </w:rPr>
        <w:t xml:space="preserve"> “Remesas de dinero de un país a otro”</w:t>
      </w:r>
    </w:p>
    <w:p w:rsidRPr="00B9785A" w:rsidR="008B692A" w:rsidP="008B692A" w:rsidRDefault="008B692A" w14:paraId="67C65F68" w14:textId="77777777">
      <w:pPr>
        <w:pStyle w:val="Prrafodelista"/>
        <w:numPr>
          <w:ilvl w:val="1"/>
          <w:numId w:val="5"/>
        </w:numPr>
        <w:jc w:val="both"/>
        <w:rPr>
          <w:rFonts w:ascii="Cambria" w:hAnsi="Cambria"/>
          <w:bCs/>
          <w:sz w:val="24"/>
          <w:szCs w:val="24"/>
        </w:rPr>
      </w:pPr>
      <w:r w:rsidRPr="00B9785A">
        <w:rPr>
          <w:rFonts w:ascii="Cambria" w:hAnsi="Cambria" w:cs="Segoe UI"/>
          <w:bCs/>
          <w:color w:val="000000"/>
          <w:sz w:val="24"/>
          <w:szCs w:val="24"/>
          <w:shd w:val="clear" w:color="auto" w:fill="FFFFFF"/>
        </w:rPr>
        <w:t>“Transferencias sistemáticas sustanciales realizadas por cualquier medio”</w:t>
      </w:r>
    </w:p>
    <w:p w:rsidRPr="00B9785A" w:rsidR="008B692A" w:rsidP="008B692A" w:rsidRDefault="008B692A" w14:paraId="40471576" w14:textId="77777777">
      <w:pPr>
        <w:pStyle w:val="Prrafodelista"/>
        <w:numPr>
          <w:ilvl w:val="1"/>
          <w:numId w:val="5"/>
        </w:numPr>
        <w:jc w:val="both"/>
        <w:rPr>
          <w:rFonts w:ascii="Cambria" w:hAnsi="Cambria"/>
          <w:bCs/>
          <w:sz w:val="24"/>
          <w:szCs w:val="24"/>
        </w:rPr>
      </w:pPr>
      <w:r w:rsidRPr="00B9785A">
        <w:rPr>
          <w:rFonts w:ascii="Cambria" w:hAnsi="Cambria" w:cs="Segoe UI"/>
          <w:bCs/>
          <w:color w:val="000000"/>
          <w:sz w:val="24"/>
          <w:szCs w:val="24"/>
          <w:shd w:val="clear" w:color="auto" w:fill="FFFFFF"/>
        </w:rPr>
        <w:t>“Las operaciones sistemáticas y sustanciales de canje de dinero y transferencias, mediante cheques, giros bancarios, letras de cambio o similares”, y</w:t>
      </w:r>
    </w:p>
    <w:p w:rsidRPr="00B9785A" w:rsidR="008B692A" w:rsidP="008B692A" w:rsidRDefault="008B692A" w14:paraId="020F334D" w14:textId="77777777">
      <w:pPr>
        <w:pStyle w:val="Prrafodelista"/>
        <w:numPr>
          <w:ilvl w:val="1"/>
          <w:numId w:val="5"/>
        </w:numPr>
        <w:jc w:val="both"/>
        <w:rPr>
          <w:rFonts w:ascii="Cambria" w:hAnsi="Cambria"/>
          <w:bCs/>
          <w:sz w:val="24"/>
          <w:szCs w:val="24"/>
        </w:rPr>
      </w:pPr>
      <w:r w:rsidRPr="00B9785A">
        <w:rPr>
          <w:rFonts w:ascii="Cambria" w:hAnsi="Cambria" w:cs="Segoe UI"/>
          <w:bCs/>
          <w:color w:val="000000"/>
          <w:sz w:val="24"/>
          <w:szCs w:val="24"/>
          <w:shd w:val="clear" w:color="auto" w:fill="FFFFFF"/>
        </w:rPr>
        <w:t>“Las operaciones sistemáticas sustanciales de emisión, venta, rescate o transferencia de cheques de viajero o giros postales”</w:t>
      </w:r>
    </w:p>
    <w:p w:rsidRPr="00B9785A" w:rsidR="008B692A" w:rsidP="008B692A" w:rsidRDefault="008B692A" w14:paraId="1C2FC5E0" w14:textId="77777777">
      <w:pPr>
        <w:rPr>
          <w:b/>
          <w:bCs/>
          <w:sz w:val="24"/>
        </w:rPr>
      </w:pPr>
    </w:p>
    <w:p w:rsidRPr="00B9785A" w:rsidR="008B692A" w:rsidP="008B692A" w:rsidRDefault="008B692A" w14:paraId="6FC6DEFE" w14:textId="77777777">
      <w:pPr>
        <w:pStyle w:val="Prrafodelista"/>
        <w:numPr>
          <w:ilvl w:val="0"/>
          <w:numId w:val="5"/>
        </w:numPr>
        <w:jc w:val="both"/>
        <w:rPr>
          <w:rFonts w:ascii="Cambria" w:hAnsi="Cambria"/>
          <w:sz w:val="24"/>
          <w:szCs w:val="24"/>
        </w:rPr>
      </w:pPr>
      <w:r w:rsidRPr="00B9785A">
        <w:rPr>
          <w:rFonts w:ascii="Cambria" w:hAnsi="Cambria"/>
          <w:sz w:val="24"/>
          <w:szCs w:val="24"/>
        </w:rPr>
        <w:t xml:space="preserve">Comunicar a los sujetos inscritos por la(s) actividad(es) señaladas en la disposición 1, que, a partir del mes de agosto de 2022, deberán remitir por medio del Sistema de Captura, Verificación y Carga de datos (SICVECA) la siguiente información, </w:t>
      </w:r>
      <w:r w:rsidRPr="00B9785A">
        <w:rPr>
          <w:rFonts w:ascii="Cambria" w:hAnsi="Cambria"/>
          <w:b/>
          <w:bCs/>
          <w:sz w:val="24"/>
          <w:szCs w:val="24"/>
        </w:rPr>
        <w:t>según la(s) actividad(es) inscrita(s) y de acuerdo con su categorización por Tipo:</w:t>
      </w:r>
    </w:p>
    <w:p w:rsidRPr="00B9785A" w:rsidR="008B692A" w:rsidP="008B692A" w:rsidRDefault="008B692A" w14:paraId="3B65A518" w14:textId="77777777">
      <w:pPr>
        <w:pStyle w:val="Prrafodelista"/>
        <w:jc w:val="both"/>
        <w:rPr>
          <w:rFonts w:ascii="Cambria" w:hAnsi="Cambria"/>
          <w:sz w:val="24"/>
          <w:szCs w:val="24"/>
        </w:rPr>
      </w:pPr>
    </w:p>
    <w:p w:rsidRPr="00B9785A" w:rsidR="008B692A" w:rsidP="008B692A" w:rsidRDefault="008B692A" w14:paraId="457B5612" w14:textId="77777777">
      <w:pPr>
        <w:pStyle w:val="Prrafodelista"/>
        <w:numPr>
          <w:ilvl w:val="0"/>
          <w:numId w:val="6"/>
        </w:numPr>
        <w:jc w:val="both"/>
        <w:rPr>
          <w:rFonts w:ascii="Cambria" w:hAnsi="Cambria"/>
          <w:sz w:val="24"/>
          <w:szCs w:val="24"/>
        </w:rPr>
      </w:pPr>
      <w:r w:rsidRPr="00B9785A">
        <w:rPr>
          <w:rFonts w:ascii="Cambria" w:hAnsi="Cambria"/>
          <w:b/>
          <w:sz w:val="24"/>
          <w:szCs w:val="24"/>
        </w:rPr>
        <w:t xml:space="preserve">Operaciones de efectivo u otros medios de pago, por sumas iguales o superiores a US$1.000,00 o el equivalente en otras monedas: </w:t>
      </w:r>
      <w:r w:rsidRPr="00B9785A">
        <w:rPr>
          <w:rFonts w:ascii="Cambria" w:hAnsi="Cambria"/>
          <w:sz w:val="24"/>
          <w:szCs w:val="24"/>
        </w:rPr>
        <w:t xml:space="preserve">Este archivo es de aplicación obligatoria para todas las personas físicas o jurídicas registradas en SUGEF al tenor de lo que disponen los artículos 15 y 15 bis de la Ley 7786, por la(s) actividad(es) de: Remesas, </w:t>
      </w:r>
      <w:r w:rsidRPr="00B9785A">
        <w:rPr>
          <w:rFonts w:ascii="Cambria" w:hAnsi="Cambria"/>
          <w:bCs/>
          <w:sz w:val="24"/>
          <w:szCs w:val="24"/>
        </w:rPr>
        <w:t>Transferencias sistemáticas y sustanciales de fondos</w:t>
      </w:r>
      <w:r w:rsidRPr="00B9785A">
        <w:rPr>
          <w:rFonts w:ascii="Cambria" w:hAnsi="Cambria"/>
          <w:sz w:val="24"/>
          <w:szCs w:val="24"/>
        </w:rPr>
        <w:t xml:space="preserve"> u Organizaciones sin Fines de Lucro; en este se deben reportar las operaciones realizadas en efectivo (billetes y/o monedas), u otros medios de pago, por sumas iguales o superiores a US$1.000,00 o el equivalente en otras monedas, realizadas en forma única o múltiple en un mes calendario (de 28 a 31 días según corresponda), tanto de ingreso como de egreso. </w:t>
      </w:r>
    </w:p>
    <w:p w:rsidRPr="00B9785A" w:rsidR="008B692A" w:rsidP="008B692A" w:rsidRDefault="008B692A" w14:paraId="27A1CDE7" w14:textId="77777777">
      <w:pPr>
        <w:rPr>
          <w:color w:val="FF0000"/>
          <w:sz w:val="24"/>
        </w:rPr>
      </w:pPr>
    </w:p>
    <w:p w:rsidRPr="00B9785A" w:rsidR="008B692A" w:rsidP="008B692A" w:rsidRDefault="008B692A" w14:paraId="0564D6D6" w14:textId="77777777">
      <w:pPr>
        <w:pStyle w:val="Prrafodelista"/>
        <w:numPr>
          <w:ilvl w:val="0"/>
          <w:numId w:val="5"/>
        </w:numPr>
        <w:jc w:val="both"/>
        <w:rPr>
          <w:rFonts w:ascii="Cambria" w:hAnsi="Cambria"/>
          <w:sz w:val="24"/>
          <w:szCs w:val="24"/>
        </w:rPr>
      </w:pPr>
      <w:r w:rsidRPr="00B9785A">
        <w:rPr>
          <w:rFonts w:ascii="Cambria" w:hAnsi="Cambria"/>
          <w:sz w:val="24"/>
          <w:szCs w:val="24"/>
        </w:rPr>
        <w:t xml:space="preserve">La presentación inicial de los reportes señalados, se realizará de acuerdo con el siguiente cronograma: </w:t>
      </w:r>
    </w:p>
    <w:p w:rsidRPr="00B9785A" w:rsidR="008B692A" w:rsidP="008B692A" w:rsidRDefault="008B692A" w14:paraId="089280E6" w14:textId="77777777">
      <w:pPr>
        <w:pStyle w:val="Prrafodelista"/>
        <w:jc w:val="both"/>
        <w:rPr>
          <w:rFonts w:ascii="Cambria" w:hAnsi="Cambria"/>
          <w:sz w:val="24"/>
          <w:szCs w:val="24"/>
        </w:rPr>
      </w:pPr>
    </w:p>
    <w:tbl>
      <w:tblPr>
        <w:tblW w:w="5758" w:type="dxa"/>
        <w:jc w:val="center"/>
        <w:tblCellMar>
          <w:left w:w="70" w:type="dxa"/>
          <w:right w:w="70" w:type="dxa"/>
        </w:tblCellMar>
        <w:tblLook w:val="04A0" w:firstRow="1" w:lastRow="0" w:firstColumn="1" w:lastColumn="0" w:noHBand="0" w:noVBand="1"/>
      </w:tblPr>
      <w:tblGrid>
        <w:gridCol w:w="1399"/>
        <w:gridCol w:w="1189"/>
        <w:gridCol w:w="3780"/>
      </w:tblGrid>
      <w:tr w:rsidRPr="00B9785A" w:rsidR="008B692A" w:rsidTr="002B361C" w14:paraId="5877D58F" w14:textId="77777777">
        <w:trPr>
          <w:trHeight w:val="477"/>
          <w:jc w:val="center"/>
        </w:trPr>
        <w:tc>
          <w:tcPr>
            <w:tcW w:w="5758"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B9785A" w:rsidR="008B692A" w:rsidP="002B361C" w:rsidRDefault="008B692A" w14:paraId="7767B106" w14:textId="77777777">
            <w:pPr>
              <w:spacing w:line="240" w:lineRule="auto"/>
              <w:jc w:val="center"/>
              <w:rPr>
                <w:rFonts w:cs="Calibri"/>
                <w:b/>
                <w:bCs/>
                <w:color w:val="000000"/>
                <w:sz w:val="24"/>
                <w:lang w:eastAsia="es-ES"/>
              </w:rPr>
            </w:pPr>
            <w:r w:rsidRPr="00B9785A">
              <w:rPr>
                <w:rFonts w:cs="Calibri"/>
                <w:b/>
                <w:bCs/>
                <w:color w:val="000000"/>
                <w:sz w:val="24"/>
                <w:lang w:eastAsia="es-ES"/>
              </w:rPr>
              <w:lastRenderedPageBreak/>
              <w:t>REMISION DE REPORTES - INICIAL</w:t>
            </w:r>
          </w:p>
          <w:p w:rsidRPr="00B9785A" w:rsidR="008B692A" w:rsidP="002B361C" w:rsidRDefault="008B692A" w14:paraId="5FFF193B" w14:textId="77777777">
            <w:pPr>
              <w:spacing w:line="240" w:lineRule="auto"/>
              <w:jc w:val="center"/>
              <w:rPr>
                <w:rFonts w:cs="Calibri"/>
                <w:b/>
                <w:bCs/>
                <w:color w:val="000000"/>
                <w:sz w:val="24"/>
                <w:lang w:eastAsia="es-ES"/>
              </w:rPr>
            </w:pPr>
          </w:p>
        </w:tc>
      </w:tr>
      <w:tr w:rsidRPr="00B9785A" w:rsidR="008B692A" w:rsidTr="002B361C" w14:paraId="4ECEF71F" w14:textId="77777777">
        <w:trPr>
          <w:trHeight w:val="529"/>
          <w:jc w:val="center"/>
        </w:trPr>
        <w:tc>
          <w:tcPr>
            <w:tcW w:w="840" w:type="dxa"/>
            <w:tcBorders>
              <w:top w:val="nil"/>
              <w:left w:val="single" w:color="auto" w:sz="4" w:space="0"/>
              <w:bottom w:val="single" w:color="auto" w:sz="4" w:space="0"/>
              <w:right w:val="single" w:color="auto" w:sz="4" w:space="0"/>
            </w:tcBorders>
            <w:shd w:val="clear" w:color="000000" w:fill="305496"/>
            <w:noWrap/>
            <w:vAlign w:val="bottom"/>
            <w:hideMark/>
          </w:tcPr>
          <w:p w:rsidRPr="00B9785A" w:rsidR="008B692A" w:rsidP="00F32D3E" w:rsidRDefault="008B692A" w14:paraId="0848A2B9" w14:textId="4ECE6716">
            <w:pPr>
              <w:spacing w:line="240" w:lineRule="auto"/>
              <w:jc w:val="center"/>
              <w:rPr>
                <w:rFonts w:cs="Calibri"/>
                <w:b/>
                <w:bCs/>
                <w:i/>
                <w:iCs/>
                <w:color w:val="FFFFFF"/>
                <w:sz w:val="24"/>
                <w:lang w:eastAsia="es-ES"/>
              </w:rPr>
            </w:pPr>
            <w:r w:rsidRPr="00B9785A">
              <w:rPr>
                <w:rFonts w:cs="Calibri"/>
                <w:b/>
                <w:bCs/>
                <w:i/>
                <w:iCs/>
                <w:color w:val="FFFFFF"/>
                <w:sz w:val="24"/>
                <w:lang w:eastAsia="es-ES"/>
              </w:rPr>
              <w:t>Calificación</w:t>
            </w:r>
          </w:p>
        </w:tc>
        <w:tc>
          <w:tcPr>
            <w:tcW w:w="1137" w:type="dxa"/>
            <w:tcBorders>
              <w:top w:val="nil"/>
              <w:left w:val="nil"/>
              <w:bottom w:val="single" w:color="auto" w:sz="4" w:space="0"/>
              <w:right w:val="single" w:color="auto" w:sz="4" w:space="0"/>
            </w:tcBorders>
            <w:shd w:val="clear" w:color="000000" w:fill="305496"/>
            <w:noWrap/>
            <w:vAlign w:val="bottom"/>
            <w:hideMark/>
          </w:tcPr>
          <w:p w:rsidRPr="00B9785A" w:rsidR="008B692A" w:rsidP="00F32D3E" w:rsidRDefault="008B692A" w14:paraId="65974987" w14:textId="77777777">
            <w:pPr>
              <w:spacing w:line="240" w:lineRule="auto"/>
              <w:jc w:val="center"/>
              <w:rPr>
                <w:rFonts w:cs="Calibri"/>
                <w:b/>
                <w:bCs/>
                <w:i/>
                <w:iCs/>
                <w:color w:val="FFFFFF"/>
                <w:sz w:val="24"/>
                <w:lang w:eastAsia="es-ES"/>
              </w:rPr>
            </w:pPr>
            <w:r w:rsidRPr="00B9785A">
              <w:rPr>
                <w:rFonts w:cs="Calibri"/>
                <w:b/>
                <w:bCs/>
                <w:i/>
                <w:iCs/>
                <w:color w:val="FFFFFF"/>
                <w:sz w:val="24"/>
                <w:lang w:eastAsia="es-ES"/>
              </w:rPr>
              <w:t>Fecha de entrega</w:t>
            </w:r>
          </w:p>
        </w:tc>
        <w:tc>
          <w:tcPr>
            <w:tcW w:w="3780" w:type="dxa"/>
            <w:tcBorders>
              <w:top w:val="nil"/>
              <w:left w:val="nil"/>
              <w:bottom w:val="single" w:color="auto" w:sz="4" w:space="0"/>
              <w:right w:val="single" w:color="auto" w:sz="4" w:space="0"/>
            </w:tcBorders>
            <w:shd w:val="clear" w:color="000000" w:fill="305496"/>
            <w:noWrap/>
            <w:vAlign w:val="bottom"/>
            <w:hideMark/>
          </w:tcPr>
          <w:p w:rsidRPr="00B9785A" w:rsidR="008B692A" w:rsidP="00F32D3E" w:rsidRDefault="008B692A" w14:paraId="77ECB454" w14:textId="77777777">
            <w:pPr>
              <w:spacing w:line="240" w:lineRule="auto"/>
              <w:jc w:val="center"/>
              <w:rPr>
                <w:rFonts w:cs="Calibri"/>
                <w:b/>
                <w:bCs/>
                <w:i/>
                <w:iCs/>
                <w:color w:val="FFFFFF"/>
                <w:sz w:val="24"/>
                <w:lang w:eastAsia="es-ES"/>
              </w:rPr>
            </w:pPr>
            <w:r w:rsidRPr="00B9785A">
              <w:rPr>
                <w:rFonts w:cs="Calibri"/>
                <w:b/>
                <w:bCs/>
                <w:i/>
                <w:iCs/>
                <w:color w:val="FFFFFF"/>
                <w:sz w:val="24"/>
                <w:lang w:eastAsia="es-ES"/>
              </w:rPr>
              <w:t>Meses a presentar</w:t>
            </w:r>
          </w:p>
        </w:tc>
      </w:tr>
      <w:tr w:rsidRPr="00B9785A" w:rsidR="008B692A" w:rsidTr="00F32D3E" w14:paraId="7658B539" w14:textId="77777777">
        <w:trPr>
          <w:trHeight w:val="683"/>
          <w:jc w:val="center"/>
        </w:trPr>
        <w:tc>
          <w:tcPr>
            <w:tcW w:w="840" w:type="dxa"/>
            <w:tcBorders>
              <w:top w:val="nil"/>
              <w:left w:val="single" w:color="auto" w:sz="4" w:space="0"/>
              <w:bottom w:val="single" w:color="auto" w:sz="4" w:space="0"/>
              <w:right w:val="single" w:color="auto" w:sz="4" w:space="0"/>
            </w:tcBorders>
            <w:shd w:val="clear" w:color="auto" w:fill="auto"/>
            <w:noWrap/>
            <w:vAlign w:val="center"/>
            <w:hideMark/>
          </w:tcPr>
          <w:p w:rsidRPr="00B9785A" w:rsidR="008B692A" w:rsidP="002B361C" w:rsidRDefault="008B692A" w14:paraId="74EB3CCC" w14:textId="77777777">
            <w:pPr>
              <w:spacing w:line="240" w:lineRule="auto"/>
              <w:jc w:val="center"/>
              <w:rPr>
                <w:rFonts w:cs="Calibri"/>
                <w:b/>
                <w:bCs/>
                <w:color w:val="000000"/>
                <w:sz w:val="24"/>
                <w:lang w:eastAsia="es-ES"/>
              </w:rPr>
            </w:pPr>
            <w:r w:rsidRPr="00B9785A">
              <w:rPr>
                <w:rFonts w:cs="Calibri"/>
                <w:b/>
                <w:bCs/>
                <w:color w:val="000000"/>
                <w:sz w:val="24"/>
                <w:lang w:eastAsia="es-ES"/>
              </w:rPr>
              <w:t>Tipo 1 y 2</w:t>
            </w:r>
          </w:p>
        </w:tc>
        <w:tc>
          <w:tcPr>
            <w:tcW w:w="1137" w:type="dxa"/>
            <w:tcBorders>
              <w:top w:val="nil"/>
              <w:left w:val="nil"/>
              <w:bottom w:val="single" w:color="auto" w:sz="4" w:space="0"/>
              <w:right w:val="single" w:color="auto" w:sz="4" w:space="0"/>
            </w:tcBorders>
            <w:shd w:val="clear" w:color="auto" w:fill="auto"/>
            <w:noWrap/>
            <w:vAlign w:val="bottom"/>
            <w:hideMark/>
          </w:tcPr>
          <w:p w:rsidRPr="00B9785A" w:rsidR="008B692A" w:rsidP="002B361C" w:rsidRDefault="008B692A" w14:paraId="7F884475" w14:textId="77777777">
            <w:pPr>
              <w:spacing w:line="240" w:lineRule="auto"/>
              <w:jc w:val="center"/>
              <w:rPr>
                <w:rFonts w:cs="Calibri"/>
                <w:color w:val="000000"/>
                <w:sz w:val="24"/>
                <w:lang w:eastAsia="es-ES"/>
              </w:rPr>
            </w:pPr>
            <w:r w:rsidRPr="00B9785A">
              <w:rPr>
                <w:rFonts w:cs="Calibri"/>
                <w:color w:val="000000"/>
                <w:sz w:val="24"/>
                <w:lang w:eastAsia="es-ES"/>
              </w:rPr>
              <w:t>Agosto 2022</w:t>
            </w:r>
          </w:p>
        </w:tc>
        <w:tc>
          <w:tcPr>
            <w:tcW w:w="3780" w:type="dxa"/>
            <w:tcBorders>
              <w:top w:val="nil"/>
              <w:left w:val="nil"/>
              <w:bottom w:val="single" w:color="auto" w:sz="4" w:space="0"/>
              <w:right w:val="single" w:color="auto" w:sz="4" w:space="0"/>
            </w:tcBorders>
            <w:shd w:val="clear" w:color="auto" w:fill="auto"/>
            <w:noWrap/>
            <w:vAlign w:val="bottom"/>
            <w:hideMark/>
          </w:tcPr>
          <w:p w:rsidRPr="00B9785A" w:rsidR="008B692A" w:rsidP="002B361C" w:rsidRDefault="008B692A" w14:paraId="29B74181" w14:textId="77777777">
            <w:pPr>
              <w:spacing w:line="240" w:lineRule="auto"/>
              <w:rPr>
                <w:rFonts w:cs="Calibri"/>
                <w:color w:val="000000"/>
                <w:sz w:val="24"/>
                <w:lang w:eastAsia="es-ES"/>
              </w:rPr>
            </w:pPr>
            <w:r w:rsidRPr="00B9785A">
              <w:rPr>
                <w:rFonts w:cs="Calibri"/>
                <w:color w:val="000000"/>
                <w:sz w:val="24"/>
                <w:lang w:eastAsia="es-ES"/>
              </w:rPr>
              <w:t>Enero- Febrero - Marzo - Abril - Mayo - Junio - Julio</w:t>
            </w:r>
          </w:p>
        </w:tc>
      </w:tr>
      <w:tr w:rsidRPr="00B9785A" w:rsidR="008B692A" w:rsidTr="00F32D3E" w14:paraId="415879BC" w14:textId="77777777">
        <w:trPr>
          <w:trHeight w:val="683"/>
          <w:jc w:val="center"/>
        </w:trPr>
        <w:tc>
          <w:tcPr>
            <w:tcW w:w="840" w:type="dxa"/>
            <w:tcBorders>
              <w:top w:val="nil"/>
              <w:left w:val="single" w:color="auto" w:sz="4" w:space="0"/>
              <w:bottom w:val="single" w:color="auto" w:sz="4" w:space="0"/>
              <w:right w:val="single" w:color="auto" w:sz="4" w:space="0"/>
            </w:tcBorders>
            <w:shd w:val="clear" w:color="auto" w:fill="auto"/>
            <w:noWrap/>
            <w:vAlign w:val="center"/>
            <w:hideMark/>
          </w:tcPr>
          <w:p w:rsidRPr="00B9785A" w:rsidR="008B692A" w:rsidP="002B361C" w:rsidRDefault="008B692A" w14:paraId="442D30DC" w14:textId="77777777">
            <w:pPr>
              <w:spacing w:line="240" w:lineRule="auto"/>
              <w:jc w:val="center"/>
              <w:rPr>
                <w:rFonts w:cs="Calibri"/>
                <w:b/>
                <w:bCs/>
                <w:color w:val="000000"/>
                <w:sz w:val="24"/>
                <w:lang w:eastAsia="es-ES"/>
              </w:rPr>
            </w:pPr>
            <w:r w:rsidRPr="00B9785A">
              <w:rPr>
                <w:rFonts w:cs="Calibri"/>
                <w:b/>
                <w:bCs/>
                <w:color w:val="000000"/>
                <w:sz w:val="24"/>
                <w:lang w:eastAsia="es-ES"/>
              </w:rPr>
              <w:t>Tipo 3</w:t>
            </w:r>
          </w:p>
        </w:tc>
        <w:tc>
          <w:tcPr>
            <w:tcW w:w="1137" w:type="dxa"/>
            <w:tcBorders>
              <w:top w:val="nil"/>
              <w:left w:val="nil"/>
              <w:bottom w:val="single" w:color="auto" w:sz="4" w:space="0"/>
              <w:right w:val="single" w:color="auto" w:sz="4" w:space="0"/>
            </w:tcBorders>
            <w:shd w:val="clear" w:color="auto" w:fill="auto"/>
            <w:noWrap/>
            <w:vAlign w:val="bottom"/>
            <w:hideMark/>
          </w:tcPr>
          <w:p w:rsidRPr="00B9785A" w:rsidR="008B692A" w:rsidP="002B361C" w:rsidRDefault="008B692A" w14:paraId="14B84A28" w14:textId="77777777">
            <w:pPr>
              <w:spacing w:line="240" w:lineRule="auto"/>
              <w:jc w:val="center"/>
              <w:rPr>
                <w:rFonts w:cs="Calibri"/>
                <w:color w:val="000000"/>
                <w:sz w:val="24"/>
                <w:lang w:eastAsia="es-ES"/>
              </w:rPr>
            </w:pPr>
            <w:r w:rsidRPr="00B9785A">
              <w:rPr>
                <w:rFonts w:cs="Calibri"/>
                <w:color w:val="000000"/>
                <w:sz w:val="24"/>
                <w:lang w:eastAsia="es-ES"/>
              </w:rPr>
              <w:t>Setiembre 2022</w:t>
            </w:r>
          </w:p>
        </w:tc>
        <w:tc>
          <w:tcPr>
            <w:tcW w:w="3780" w:type="dxa"/>
            <w:tcBorders>
              <w:top w:val="nil"/>
              <w:left w:val="nil"/>
              <w:bottom w:val="single" w:color="auto" w:sz="4" w:space="0"/>
              <w:right w:val="single" w:color="auto" w:sz="4" w:space="0"/>
            </w:tcBorders>
            <w:shd w:val="clear" w:color="auto" w:fill="auto"/>
            <w:noWrap/>
            <w:vAlign w:val="bottom"/>
            <w:hideMark/>
          </w:tcPr>
          <w:p w:rsidRPr="00B9785A" w:rsidR="008B692A" w:rsidP="002B361C" w:rsidRDefault="008B692A" w14:paraId="7D019906" w14:textId="77777777">
            <w:pPr>
              <w:spacing w:line="240" w:lineRule="auto"/>
              <w:rPr>
                <w:rFonts w:cs="Calibri"/>
                <w:color w:val="000000"/>
                <w:sz w:val="24"/>
                <w:lang w:eastAsia="es-ES"/>
              </w:rPr>
            </w:pPr>
            <w:r w:rsidRPr="00B9785A">
              <w:rPr>
                <w:rFonts w:cs="Calibri"/>
                <w:color w:val="000000"/>
                <w:sz w:val="24"/>
                <w:lang w:eastAsia="es-ES"/>
              </w:rPr>
              <w:t>Enero- Febrero - Marzo - Abril - Mayo - Junio - Julio -Agosto</w:t>
            </w:r>
          </w:p>
        </w:tc>
      </w:tr>
    </w:tbl>
    <w:p w:rsidRPr="00B9785A" w:rsidR="008B692A" w:rsidP="008B692A" w:rsidRDefault="008B692A" w14:paraId="7A42F331" w14:textId="77777777">
      <w:pPr>
        <w:pStyle w:val="Prrafodelista"/>
        <w:jc w:val="center"/>
        <w:rPr>
          <w:rFonts w:ascii="Cambria" w:hAnsi="Cambria"/>
          <w:sz w:val="24"/>
          <w:szCs w:val="24"/>
        </w:rPr>
      </w:pPr>
    </w:p>
    <w:p w:rsidRPr="00B9785A" w:rsidR="008B692A" w:rsidP="008B692A" w:rsidRDefault="008B692A" w14:paraId="2CC9B9F2" w14:textId="77777777">
      <w:pPr>
        <w:ind w:left="708"/>
        <w:rPr>
          <w:sz w:val="24"/>
        </w:rPr>
      </w:pPr>
      <w:r w:rsidRPr="00B9785A">
        <w:rPr>
          <w:sz w:val="24"/>
        </w:rPr>
        <w:t xml:space="preserve">A partir de la segunda presentación de información, el cronograma para la remisión de la información, según la categorización por tipo, es el siguiente: </w:t>
      </w:r>
    </w:p>
    <w:p w:rsidRPr="00B9785A" w:rsidR="008B692A" w:rsidP="008B692A" w:rsidRDefault="008B692A" w14:paraId="51EF45DD" w14:textId="77777777">
      <w:pPr>
        <w:rPr>
          <w:sz w:val="24"/>
        </w:rPr>
      </w:pPr>
    </w:p>
    <w:p w:rsidRPr="00B9785A" w:rsidR="008B692A" w:rsidP="008B692A" w:rsidRDefault="008B692A" w14:paraId="63581E07" w14:textId="77777777">
      <w:pPr>
        <w:ind w:left="708"/>
        <w:rPr>
          <w:color w:val="FF0000"/>
          <w:sz w:val="24"/>
        </w:rPr>
      </w:pPr>
    </w:p>
    <w:p w:rsidRPr="00B9785A" w:rsidR="008B692A" w:rsidP="008B692A" w:rsidRDefault="008B692A" w14:paraId="4684DE37" w14:textId="77777777">
      <w:pPr>
        <w:pStyle w:val="Prrafodelista"/>
        <w:jc w:val="center"/>
        <w:rPr>
          <w:rFonts w:ascii="Cambria" w:hAnsi="Cambria"/>
          <w:color w:val="FF0000"/>
          <w:sz w:val="24"/>
          <w:szCs w:val="24"/>
        </w:rPr>
      </w:pPr>
      <w:r w:rsidRPr="00B9785A">
        <w:rPr>
          <w:rFonts w:ascii="Cambria" w:hAnsi="Cambria"/>
          <w:noProof/>
          <w:sz w:val="24"/>
          <w:szCs w:val="24"/>
        </w:rPr>
        <w:drawing>
          <wp:inline distT="0" distB="0" distL="0" distR="0" wp14:anchorId="7A37B9C3" wp14:editId="46DE6174">
            <wp:extent cx="5191125" cy="31488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6406" cy="3152064"/>
                    </a:xfrm>
                    <a:prstGeom prst="rect">
                      <a:avLst/>
                    </a:prstGeom>
                    <a:noFill/>
                    <a:ln>
                      <a:noFill/>
                    </a:ln>
                  </pic:spPr>
                </pic:pic>
              </a:graphicData>
            </a:graphic>
          </wp:inline>
        </w:drawing>
      </w:r>
    </w:p>
    <w:p w:rsidRPr="00B9785A" w:rsidR="008B692A" w:rsidP="008B692A" w:rsidRDefault="008B692A" w14:paraId="724DBE7E" w14:textId="77777777">
      <w:pPr>
        <w:pStyle w:val="Prrafodelista"/>
        <w:rPr>
          <w:rFonts w:ascii="Cambria" w:hAnsi="Cambria"/>
          <w:color w:val="FF0000"/>
          <w:sz w:val="24"/>
          <w:szCs w:val="24"/>
        </w:rPr>
      </w:pPr>
    </w:p>
    <w:p w:rsidRPr="00B9785A" w:rsidR="008B692A" w:rsidP="008B692A" w:rsidRDefault="008B692A" w14:paraId="2B91D1CC" w14:textId="77777777">
      <w:pPr>
        <w:pStyle w:val="Prrafodelista"/>
        <w:numPr>
          <w:ilvl w:val="0"/>
          <w:numId w:val="5"/>
        </w:numPr>
        <w:spacing w:after="0"/>
        <w:jc w:val="both"/>
        <w:rPr>
          <w:rFonts w:ascii="Cambria" w:hAnsi="Cambria"/>
          <w:color w:val="FF0000"/>
          <w:sz w:val="24"/>
          <w:szCs w:val="24"/>
        </w:rPr>
      </w:pPr>
      <w:r w:rsidRPr="00B9785A">
        <w:rPr>
          <w:rFonts w:ascii="Cambria" w:hAnsi="Cambria"/>
          <w:sz w:val="24"/>
          <w:szCs w:val="24"/>
        </w:rPr>
        <w:t>Los sujetos obligados deben ajustar sus sistemas y herramientas informáticas, para cumplir con la remisión de información, según los campos de información dispuestos en la nueva estructura XML, para lo cual deben consultar los documentos que se detallan, los cuales están publicados</w:t>
      </w:r>
      <w:r w:rsidRPr="00B9785A">
        <w:rPr>
          <w:rFonts w:ascii="Cambria" w:hAnsi="Cambria"/>
          <w:i/>
          <w:iCs/>
          <w:sz w:val="24"/>
          <w:szCs w:val="24"/>
        </w:rPr>
        <w:t xml:space="preserve"> </w:t>
      </w:r>
      <w:r w:rsidRPr="00B9785A">
        <w:rPr>
          <w:rFonts w:ascii="Cambria" w:hAnsi="Cambria"/>
          <w:sz w:val="24"/>
          <w:szCs w:val="24"/>
        </w:rPr>
        <w:t xml:space="preserve">a partir del envío de esta circular externa en el siguiente enlace: </w:t>
      </w:r>
      <w:hyperlink w:history="1" r:id="rId14">
        <w:r w:rsidRPr="00B9785A">
          <w:rPr>
            <w:rStyle w:val="Hipervnculo"/>
            <w:rFonts w:ascii="Cambria" w:hAnsi="Cambria" w:cs="Segoe UI"/>
            <w:sz w:val="24"/>
            <w:szCs w:val="24"/>
            <w:shd w:val="clear" w:color="auto" w:fill="FFFFFF"/>
          </w:rPr>
          <w:t>https://www.sugef.fi.cr/informacion_relevante/manuales/manual_de_informacion_sicveca.aspx</w:t>
        </w:r>
      </w:hyperlink>
      <w:r w:rsidRPr="00B9785A">
        <w:rPr>
          <w:rStyle w:val="Hipervnculo"/>
          <w:rFonts w:ascii="Cambria" w:hAnsi="Cambria" w:cs="Segoe UI"/>
          <w:sz w:val="24"/>
          <w:szCs w:val="24"/>
          <w:shd w:val="clear" w:color="auto" w:fill="FFFFFF"/>
        </w:rPr>
        <w:t>,</w:t>
      </w:r>
      <w:r w:rsidRPr="00B9785A">
        <w:rPr>
          <w:rFonts w:ascii="Cambria" w:hAnsi="Cambria" w:cs="Segoe UI"/>
          <w:color w:val="000000"/>
          <w:sz w:val="24"/>
          <w:szCs w:val="24"/>
          <w:shd w:val="clear" w:color="auto" w:fill="FFFFFF"/>
        </w:rPr>
        <w:t xml:space="preserve"> en la sección “APNFD Inscritas (Artículo 15 y 15bis)”.</w:t>
      </w:r>
    </w:p>
    <w:p w:rsidRPr="00B9785A" w:rsidR="008B692A" w:rsidP="008B692A" w:rsidRDefault="008B692A" w14:paraId="142A59DA" w14:textId="77777777">
      <w:pPr>
        <w:pStyle w:val="Prrafodelista"/>
        <w:numPr>
          <w:ilvl w:val="2"/>
          <w:numId w:val="5"/>
        </w:numPr>
        <w:spacing w:after="0"/>
        <w:ind w:left="1843" w:hanging="142"/>
        <w:jc w:val="both"/>
        <w:rPr>
          <w:rFonts w:ascii="Cambria" w:hAnsi="Cambria"/>
          <w:color w:val="FF0000"/>
          <w:sz w:val="24"/>
          <w:szCs w:val="24"/>
        </w:rPr>
      </w:pPr>
      <w:r w:rsidRPr="00B9785A">
        <w:rPr>
          <w:rFonts w:ascii="Cambria" w:hAnsi="Cambria"/>
          <w:b/>
          <w:bCs/>
          <w:i/>
          <w:iCs/>
          <w:sz w:val="24"/>
          <w:szCs w:val="24"/>
        </w:rPr>
        <w:t>APNFD_Manual_Operativo_XML_SICVECA_V3,</w:t>
      </w:r>
    </w:p>
    <w:p w:rsidRPr="00B9785A" w:rsidR="008B692A" w:rsidP="008B692A" w:rsidRDefault="008B692A" w14:paraId="37C5B266" w14:textId="77777777">
      <w:pPr>
        <w:pStyle w:val="Prrafodelista"/>
        <w:numPr>
          <w:ilvl w:val="2"/>
          <w:numId w:val="5"/>
        </w:numPr>
        <w:spacing w:after="0"/>
        <w:ind w:left="1843" w:hanging="142"/>
        <w:jc w:val="both"/>
        <w:rPr>
          <w:rFonts w:ascii="Cambria" w:hAnsi="Cambria"/>
          <w:color w:val="FF0000"/>
          <w:sz w:val="24"/>
          <w:szCs w:val="24"/>
        </w:rPr>
      </w:pPr>
      <w:r w:rsidRPr="00B9785A">
        <w:rPr>
          <w:rFonts w:ascii="Cambria" w:hAnsi="Cambria"/>
          <w:b/>
          <w:bCs/>
          <w:i/>
          <w:iCs/>
          <w:sz w:val="24"/>
          <w:szCs w:val="24"/>
        </w:rPr>
        <w:t>APNFD_Descriptivo_Tablas_XML_SICVECA_V3, y</w:t>
      </w:r>
    </w:p>
    <w:p w:rsidRPr="00B9785A" w:rsidR="008B692A" w:rsidP="008B692A" w:rsidRDefault="008B692A" w14:paraId="3659C15B" w14:textId="77777777">
      <w:pPr>
        <w:pStyle w:val="Prrafodelista"/>
        <w:numPr>
          <w:ilvl w:val="2"/>
          <w:numId w:val="5"/>
        </w:numPr>
        <w:spacing w:after="0"/>
        <w:ind w:left="1843" w:hanging="142"/>
        <w:jc w:val="both"/>
        <w:rPr>
          <w:rFonts w:ascii="Cambria" w:hAnsi="Cambria"/>
          <w:color w:val="FF0000"/>
          <w:sz w:val="24"/>
          <w:szCs w:val="24"/>
        </w:rPr>
      </w:pPr>
      <w:r w:rsidRPr="00B9785A">
        <w:rPr>
          <w:rFonts w:ascii="Cambria" w:hAnsi="Cambria"/>
          <w:b/>
          <w:bCs/>
          <w:i/>
          <w:iCs/>
          <w:sz w:val="24"/>
          <w:szCs w:val="24"/>
        </w:rPr>
        <w:t xml:space="preserve"> </w:t>
      </w:r>
      <w:proofErr w:type="spellStart"/>
      <w:r w:rsidRPr="00B9785A">
        <w:rPr>
          <w:rFonts w:ascii="Cambria" w:hAnsi="Cambria"/>
          <w:b/>
          <w:bCs/>
          <w:i/>
          <w:iCs/>
          <w:sz w:val="24"/>
          <w:szCs w:val="24"/>
        </w:rPr>
        <w:t>APNFD_Archivos_XML_y_XSD</w:t>
      </w:r>
      <w:proofErr w:type="spellEnd"/>
      <w:r w:rsidRPr="00B9785A">
        <w:rPr>
          <w:rFonts w:ascii="Cambria" w:hAnsi="Cambria"/>
          <w:b/>
          <w:bCs/>
          <w:i/>
          <w:iCs/>
          <w:sz w:val="24"/>
          <w:szCs w:val="24"/>
        </w:rPr>
        <w:t>_(v2</w:t>
      </w:r>
      <w:r w:rsidRPr="00B9785A">
        <w:rPr>
          <w:rFonts w:ascii="Cambria" w:hAnsi="Cambria"/>
          <w:i/>
          <w:iCs/>
          <w:sz w:val="24"/>
          <w:szCs w:val="24"/>
        </w:rPr>
        <w:t xml:space="preserve">), </w:t>
      </w:r>
    </w:p>
    <w:p w:rsidRPr="00B9785A" w:rsidR="008B692A" w:rsidP="008B692A" w:rsidRDefault="008B692A" w14:paraId="501ACA83" w14:textId="4DAC3748">
      <w:pPr>
        <w:pStyle w:val="Prrafodelista"/>
        <w:numPr>
          <w:ilvl w:val="0"/>
          <w:numId w:val="5"/>
        </w:numPr>
        <w:jc w:val="both"/>
        <w:rPr>
          <w:rFonts w:ascii="Cambria" w:hAnsi="Cambria"/>
          <w:color w:val="FF0000"/>
          <w:sz w:val="24"/>
          <w:szCs w:val="24"/>
        </w:rPr>
      </w:pPr>
      <w:r w:rsidRPr="00B9785A">
        <w:rPr>
          <w:rFonts w:ascii="Cambria" w:hAnsi="Cambria" w:eastAsia="Times New Roman" w:cs="Segoe UI"/>
          <w:color w:val="000000"/>
          <w:sz w:val="24"/>
          <w:szCs w:val="24"/>
          <w:lang w:val="es-MX" w:eastAsia="es-MX"/>
        </w:rPr>
        <w:lastRenderedPageBreak/>
        <w:t xml:space="preserve">Se dispondrá de un ambiente de pruebas para que los sujetos APNFD puedan realizar pruebas de cargas y validaciones previo a la salida en producción del sistema. Las pruebas sobre las alternativas de reporte podrán realizarse del 4 al 29 de julio de 2022. Deben remitirse con el periodo “enero 2022”. Pueden realizar las cargas de prueba por medio del siguiente enlace </w:t>
      </w:r>
      <w:hyperlink w:history="1" r:id="rId15">
        <w:r w:rsidRPr="00B9785A">
          <w:rPr>
            <w:rStyle w:val="Hipervnculo"/>
            <w:rFonts w:ascii="Cambria" w:hAnsi="Cambria" w:eastAsia="Times New Roman" w:cs="Segoe UI"/>
            <w:sz w:val="24"/>
            <w:szCs w:val="24"/>
            <w:lang w:val="es-MX" w:eastAsia="es-MX"/>
          </w:rPr>
          <w:t>https://remoto.sugef.fi.cr/extranet</w:t>
        </w:r>
      </w:hyperlink>
    </w:p>
    <w:p w:rsidRPr="00B9785A" w:rsidR="008B692A" w:rsidP="008B692A" w:rsidRDefault="008B692A" w14:paraId="2ED7E4D9" w14:textId="77777777">
      <w:pPr>
        <w:pStyle w:val="Prrafodelista"/>
        <w:rPr>
          <w:rFonts w:ascii="Cambria" w:hAnsi="Cambria"/>
          <w:color w:val="FF0000"/>
          <w:sz w:val="24"/>
          <w:szCs w:val="24"/>
        </w:rPr>
      </w:pPr>
    </w:p>
    <w:p w:rsidRPr="00B9785A" w:rsidR="008B692A" w:rsidP="008B692A" w:rsidRDefault="008B692A" w14:paraId="7C18916A" w14:textId="77777777">
      <w:pPr>
        <w:pStyle w:val="Prrafodelista"/>
        <w:numPr>
          <w:ilvl w:val="0"/>
          <w:numId w:val="5"/>
        </w:numPr>
        <w:jc w:val="both"/>
        <w:rPr>
          <w:rFonts w:ascii="Cambria" w:hAnsi="Cambria"/>
          <w:sz w:val="24"/>
          <w:szCs w:val="24"/>
        </w:rPr>
      </w:pPr>
      <w:r w:rsidRPr="00B9785A">
        <w:rPr>
          <w:rFonts w:ascii="Cambria" w:hAnsi="Cambria"/>
          <w:sz w:val="24"/>
          <w:szCs w:val="24"/>
        </w:rPr>
        <w:t xml:space="preserve">Para cumplir con la remisión de la información a través de SICVECA, previamente, deberán consultar los manuales, documento de preguntas frecuentes, videos y guías publicados en el siguiente enlace: </w:t>
      </w:r>
      <w:hyperlink w:history="1" r:id="rId16">
        <w:r w:rsidRPr="00B9785A">
          <w:rPr>
            <w:rStyle w:val="Hipervnculo"/>
            <w:rFonts w:ascii="Cambria" w:hAnsi="Cambria" w:cs="Segoe UI"/>
            <w:sz w:val="24"/>
            <w:szCs w:val="24"/>
            <w:shd w:val="clear" w:color="auto" w:fill="FFFFFF"/>
          </w:rPr>
          <w:t>https://www.sugef.fi.cr/informacion_relevante/manuales/manual_de_informacion_sicveca.aspx</w:t>
        </w:r>
      </w:hyperlink>
      <w:r w:rsidRPr="00B9785A">
        <w:rPr>
          <w:rStyle w:val="Hipervnculo"/>
          <w:rFonts w:ascii="Cambria" w:hAnsi="Cambria" w:cs="Segoe UI"/>
          <w:sz w:val="24"/>
          <w:szCs w:val="24"/>
          <w:shd w:val="clear" w:color="auto" w:fill="FFFFFF"/>
        </w:rPr>
        <w:t>,</w:t>
      </w:r>
      <w:r w:rsidRPr="00B9785A">
        <w:rPr>
          <w:rFonts w:ascii="Cambria" w:hAnsi="Cambria" w:cs="Segoe UI"/>
          <w:color w:val="000000"/>
          <w:sz w:val="24"/>
          <w:szCs w:val="24"/>
          <w:shd w:val="clear" w:color="auto" w:fill="FFFFFF"/>
        </w:rPr>
        <w:t xml:space="preserve"> en la sección “APNFD Inscritas (Artículo 15 y 15bis)”.</w:t>
      </w:r>
    </w:p>
    <w:p w:rsidRPr="00B9785A" w:rsidR="008B692A" w:rsidP="008B692A" w:rsidRDefault="008B692A" w14:paraId="558F82D2" w14:textId="77777777">
      <w:pPr>
        <w:pStyle w:val="Prrafodelista"/>
        <w:rPr>
          <w:rFonts w:ascii="Cambria" w:hAnsi="Cambria"/>
          <w:sz w:val="24"/>
          <w:szCs w:val="24"/>
        </w:rPr>
      </w:pPr>
    </w:p>
    <w:p w:rsidRPr="00B9785A" w:rsidR="008B692A" w:rsidP="008B692A" w:rsidRDefault="008B692A" w14:paraId="7D9AA11B" w14:textId="71ABF1C1">
      <w:pPr>
        <w:rPr>
          <w:sz w:val="24"/>
        </w:rPr>
      </w:pPr>
      <w:r w:rsidRPr="00B9785A">
        <w:rPr>
          <w:sz w:val="24"/>
        </w:rPr>
        <w:t>La Circular Externa SGF-3341-2021 del 2 de diciembre de 2021 se mantiene vigente en los demás aspectos establecidos</w:t>
      </w:r>
      <w:r w:rsidR="00D76550">
        <w:rPr>
          <w:sz w:val="24"/>
        </w:rPr>
        <w:t>.</w:t>
      </w:r>
    </w:p>
    <w:p w:rsidRPr="00B9785A" w:rsidR="008B692A" w:rsidP="008B692A" w:rsidRDefault="008B692A" w14:paraId="30237B73" w14:textId="77777777">
      <w:pPr>
        <w:rPr>
          <w:sz w:val="24"/>
        </w:rPr>
      </w:pPr>
    </w:p>
    <w:p w:rsidRPr="00B9785A" w:rsidR="008B692A" w:rsidP="008B692A" w:rsidRDefault="008B692A" w14:paraId="5C43C151" w14:textId="77777777">
      <w:pPr>
        <w:rPr>
          <w:sz w:val="24"/>
        </w:rPr>
      </w:pPr>
      <w:r w:rsidRPr="00B9785A">
        <w:rPr>
          <w:rFonts w:cs="Segoe UI"/>
          <w:color w:val="000000"/>
          <w:sz w:val="24"/>
          <w:shd w:val="clear" w:color="auto" w:fill="FFFFFF"/>
        </w:rPr>
        <w:t xml:space="preserve">Finalmente, en caso de requerir soporte para aquellas consultas </w:t>
      </w:r>
      <w:r w:rsidRPr="00B9785A">
        <w:rPr>
          <w:rFonts w:cs="Segoe UI"/>
          <w:color w:val="000000"/>
          <w:sz w:val="24"/>
          <w:u w:val="single"/>
          <w:shd w:val="clear" w:color="auto" w:fill="FFFFFF"/>
        </w:rPr>
        <w:t>que no haya podido solventar previa consulta de las ayudas indicadas anteriormente</w:t>
      </w:r>
      <w:r w:rsidRPr="00B9785A">
        <w:rPr>
          <w:rFonts w:cs="Segoe UI"/>
          <w:color w:val="000000"/>
          <w:sz w:val="24"/>
          <w:shd w:val="clear" w:color="auto" w:fill="FFFFFF"/>
        </w:rPr>
        <w:t xml:space="preserve">, pueden comunicarse al correo: </w:t>
      </w:r>
      <w:hyperlink w:history="1" r:id="rId17">
        <w:r w:rsidRPr="00B9785A">
          <w:rPr>
            <w:rStyle w:val="Hipervnculo"/>
            <w:rFonts w:cs="Segoe UI"/>
            <w:sz w:val="24"/>
            <w:shd w:val="clear" w:color="auto" w:fill="FFFFFF"/>
          </w:rPr>
          <w:t>consultasarticulo15@sugef.fi.cr</w:t>
        </w:r>
      </w:hyperlink>
      <w:r w:rsidRPr="00B9785A">
        <w:rPr>
          <w:rFonts w:cs="Segoe UI"/>
          <w:color w:val="000000"/>
          <w:sz w:val="24"/>
          <w:shd w:val="clear" w:color="auto" w:fill="FFFFFF"/>
        </w:rPr>
        <w:t xml:space="preserve"> </w:t>
      </w:r>
      <w:r w:rsidRPr="00B9785A">
        <w:rPr>
          <w:rFonts w:cs="Segoe UI"/>
          <w:b/>
          <w:bCs/>
          <w:color w:val="000000"/>
          <w:sz w:val="24"/>
          <w:shd w:val="clear" w:color="auto" w:fill="FFFFFF"/>
        </w:rPr>
        <w:t xml:space="preserve">indicando en el asunto del correo el nombre de la entidad inscrita ante esta Superintendencia. </w:t>
      </w:r>
    </w:p>
    <w:p w:rsidR="008B692A" w:rsidP="001B6D55" w:rsidRDefault="008B692A" w14:paraId="6C16D846" w14:textId="62D195A1">
      <w:pPr>
        <w:pStyle w:val="Texto"/>
        <w:spacing w:before="0" w:after="0" w:line="240" w:lineRule="auto"/>
        <w:rPr>
          <w:sz w:val="24"/>
        </w:rPr>
      </w:pPr>
    </w:p>
    <w:p w:rsidRPr="00B9785A" w:rsidR="00D76550" w:rsidP="001B6D55" w:rsidRDefault="00D76550" w14:paraId="1D661E7A" w14:textId="77777777">
      <w:pPr>
        <w:pStyle w:val="Texto"/>
        <w:spacing w:before="0" w:after="0" w:line="240" w:lineRule="auto"/>
        <w:rPr>
          <w:sz w:val="24"/>
        </w:rPr>
      </w:pPr>
    </w:p>
    <w:p w:rsidRPr="00B9785A" w:rsidR="006972C9" w:rsidP="001B6D55" w:rsidRDefault="006972C9" w14:paraId="00A8A8CF" w14:textId="2DCF2850">
      <w:pPr>
        <w:pStyle w:val="Texto"/>
        <w:spacing w:before="0" w:after="0" w:line="240" w:lineRule="auto"/>
        <w:rPr>
          <w:sz w:val="24"/>
        </w:rPr>
      </w:pPr>
      <w:r w:rsidRPr="00B9785A">
        <w:rPr>
          <w:sz w:val="24"/>
        </w:rPr>
        <w:t>Atentamente,</w:t>
      </w:r>
    </w:p>
    <w:p w:rsidR="006972C9" w:rsidP="001B6D55" w:rsidRDefault="006972C9" w14:paraId="6160AC71" w14:textId="5DBF9A93">
      <w:pPr>
        <w:spacing w:line="240" w:lineRule="auto"/>
        <w:rPr>
          <w:sz w:val="24"/>
        </w:rPr>
      </w:pPr>
    </w:p>
    <w:p w:rsidRPr="00B9785A" w:rsidR="00D76550" w:rsidP="001B6D55" w:rsidRDefault="00D76550" w14:paraId="2F468CD5" w14:textId="6C5610F2">
      <w:pPr>
        <w:spacing w:line="240" w:lineRule="auto"/>
        <w:rPr>
          <w:sz w:val="24"/>
        </w:rPr>
      </w:pPr>
      <w:r>
        <w:rPr>
          <w:noProof/>
          <w:lang w:val="es-CR" w:eastAsia="es-CR"/>
        </w:rPr>
        <w:drawing>
          <wp:anchor distT="0" distB="0" distL="114300" distR="114300" simplePos="0" relativeHeight="251659264" behindDoc="1" locked="0" layoutInCell="1" allowOverlap="1" wp14:editId="75B3385B" wp14:anchorId="31D22B77">
            <wp:simplePos x="0" y="0"/>
            <wp:positionH relativeFrom="column">
              <wp:posOffset>17145</wp:posOffset>
            </wp:positionH>
            <wp:positionV relativeFrom="paragraph">
              <wp:posOffset>6350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326EE5" w:rsidP="001B6D55" w:rsidRDefault="00326EE5" w14:paraId="54C46170" w14:textId="3D9F6E19">
      <w:pPr>
        <w:pStyle w:val="Negrita"/>
        <w:spacing w:line="240" w:lineRule="auto"/>
        <w:jc w:val="left"/>
        <w:rPr>
          <w:b w:val="0"/>
          <w:sz w:val="24"/>
        </w:rPr>
      </w:pPr>
    </w:p>
    <w:p w:rsidR="00D76550" w:rsidP="001B6D55" w:rsidRDefault="00D76550" w14:paraId="51F95CAE" w14:textId="77777777">
      <w:pPr>
        <w:pStyle w:val="Negrita"/>
        <w:spacing w:line="240" w:lineRule="auto"/>
        <w:jc w:val="left"/>
        <w:rPr>
          <w:b w:val="0"/>
          <w:sz w:val="24"/>
        </w:rPr>
      </w:pPr>
    </w:p>
    <w:p w:rsidRPr="002733E1" w:rsidR="00326EE5" w:rsidP="001B6D55" w:rsidRDefault="00326EE5" w14:paraId="1C695A95" w14:textId="3CD4FCF7">
      <w:pPr>
        <w:pStyle w:val="Negrita"/>
        <w:spacing w:line="240" w:lineRule="auto"/>
        <w:jc w:val="left"/>
        <w:rPr>
          <w:b w:val="0"/>
          <w:sz w:val="24"/>
        </w:rPr>
      </w:pPr>
      <w:r w:rsidRPr="002733E1">
        <w:rPr>
          <w:b w:val="0"/>
          <w:sz w:val="24"/>
        </w:rPr>
        <w:t>José Armando Fallas Martínez</w:t>
      </w:r>
    </w:p>
    <w:p w:rsidR="00326EE5" w:rsidP="001B6D55" w:rsidRDefault="00326EE5" w14:paraId="10C4BF74" w14:textId="77777777">
      <w:pPr>
        <w:pStyle w:val="Negrita"/>
        <w:spacing w:line="240" w:lineRule="auto"/>
        <w:jc w:val="left"/>
        <w:rPr>
          <w:noProof/>
          <w:lang w:val="es-CR" w:eastAsia="es-CR"/>
        </w:rPr>
      </w:pPr>
      <w:r>
        <w:rPr>
          <w:sz w:val="24"/>
        </w:rPr>
        <w:t>Intendente</w:t>
      </w:r>
      <w:r w:rsidR="001B6D55">
        <w:rPr>
          <w:sz w:val="24"/>
        </w:rPr>
        <w:t xml:space="preserve"> General</w:t>
      </w:r>
      <w:r w:rsidRPr="00A35D0A">
        <w:rPr>
          <w:sz w:val="24"/>
        </w:rPr>
        <w:t xml:space="preserve"> </w:t>
      </w:r>
      <w:r>
        <w:rPr>
          <w:noProof/>
          <w:lang w:val="es-CR" w:eastAsia="es-CR"/>
        </w:rPr>
        <w:t xml:space="preserve"> </w:t>
      </w:r>
    </w:p>
    <w:p w:rsidR="006972C9" w:rsidP="001B6D55" w:rsidRDefault="006972C9" w14:paraId="6D4C0033" w14:textId="0A7CAF19">
      <w:pPr>
        <w:pStyle w:val="Negrita"/>
        <w:spacing w:line="240" w:lineRule="auto"/>
      </w:pPr>
    </w:p>
    <w:p w:rsidR="006972C9" w:rsidP="001B6D55" w:rsidRDefault="006972C9" w14:paraId="17B0A46F" w14:textId="77777777">
      <w:pPr>
        <w:pStyle w:val="Negrita"/>
        <w:spacing w:line="240" w:lineRule="auto"/>
      </w:pPr>
    </w:p>
    <w:p w:rsidR="006972C9" w:rsidP="001B6D55" w:rsidRDefault="006972C9" w14:paraId="6EA0EC32" w14:textId="77777777">
      <w:pPr>
        <w:pStyle w:val="Negrita"/>
        <w:spacing w:line="240" w:lineRule="auto"/>
      </w:pPr>
    </w:p>
    <w:p w:rsidRPr="00B42FCD" w:rsidR="008B692A" w:rsidP="008B692A" w:rsidRDefault="008B692A" w14:paraId="7FFC69FD" w14:textId="1A01DA0E">
      <w:pPr>
        <w:pStyle w:val="CC"/>
        <w:rPr>
          <w:i/>
          <w:sz w:val="16"/>
          <w:szCs w:val="16"/>
        </w:rPr>
      </w:pPr>
      <w:r w:rsidRPr="00B42FCD">
        <w:rPr>
          <w:i/>
          <w:sz w:val="16"/>
          <w:szCs w:val="16"/>
        </w:rPr>
        <w:t>JAFM/RCA/SDO/</w:t>
      </w:r>
    </w:p>
    <w:p w:rsidRPr="006972C9" w:rsidR="006972C9" w:rsidP="006972C9" w:rsidRDefault="006972C9" w14:paraId="3888B47C" w14:textId="77777777"/>
    <w:p w:rsidRPr="006972C9" w:rsidR="006972C9" w:rsidP="006972C9" w:rsidRDefault="006972C9" w14:paraId="6F80BAD5" w14:textId="77777777"/>
    <w:p w:rsidRPr="006972C9" w:rsidR="006972C9" w:rsidP="006972C9" w:rsidRDefault="006972C9" w14:paraId="388C69A7" w14:textId="77777777"/>
    <w:p w:rsidR="006972C9" w:rsidP="006972C9" w:rsidRDefault="006972C9" w14:paraId="7DBDF146" w14:textId="77777777"/>
    <w:p w:rsidRPr="006972C9" w:rsidR="00AF06C5" w:rsidP="006972C9" w:rsidRDefault="006972C9" w14:paraId="7ADE00D0" w14:textId="77777777">
      <w:pPr>
        <w:tabs>
          <w:tab w:val="left" w:pos="7187"/>
        </w:tabs>
      </w:pPr>
      <w:r>
        <w:tab/>
      </w:r>
    </w:p>
    <w:sectPr w:rsidRPr="006972C9" w:rsidR="00AF06C5">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FD0C1" w14:textId="77777777" w:rsidR="00DF07D9" w:rsidRDefault="00DF07D9" w:rsidP="009349F3">
      <w:pPr>
        <w:spacing w:line="240" w:lineRule="auto"/>
      </w:pPr>
      <w:r>
        <w:separator/>
      </w:r>
    </w:p>
  </w:endnote>
  <w:endnote w:type="continuationSeparator" w:id="0">
    <w:p w14:paraId="632C2A4F" w14:textId="77777777" w:rsidR="00DF07D9" w:rsidRDefault="00DF07D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49948392"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071CC82" w14:textId="77777777">
      <w:tc>
        <w:tcPr>
          <w:tcW w:w="2942" w:type="dxa"/>
        </w:tcPr>
        <w:p w:rsidR="00DA2424" w:rsidP="00DA2424" w:rsidRDefault="00DA2424" w14:paraId="43A64557" w14:textId="77777777">
          <w:pPr>
            <w:pStyle w:val="Piedepgina"/>
            <w:rPr>
              <w:b/>
              <w:color w:val="7F7F7F" w:themeColor="text1" w:themeTint="80"/>
              <w:sz w:val="16"/>
              <w:szCs w:val="16"/>
            </w:rPr>
          </w:pPr>
          <w:r>
            <w:rPr>
              <w:b/>
              <w:color w:val="7F7F7F" w:themeColor="text1" w:themeTint="80"/>
              <w:sz w:val="16"/>
              <w:szCs w:val="16"/>
            </w:rPr>
            <w:t>Teléfono: (506) 2243-4848</w:t>
          </w:r>
        </w:p>
        <w:p w:rsidR="00DA2424" w:rsidP="00DA2424" w:rsidRDefault="00DA2424" w14:paraId="5CBEE60F"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228CA3EB" w14:textId="77777777">
          <w:pPr>
            <w:pStyle w:val="Piedepgina"/>
            <w:rPr>
              <w:b/>
              <w:color w:val="7F7F7F" w:themeColor="text1" w:themeTint="80"/>
              <w:sz w:val="16"/>
              <w:szCs w:val="16"/>
            </w:rPr>
          </w:pPr>
        </w:p>
      </w:tc>
      <w:tc>
        <w:tcPr>
          <w:tcW w:w="2943" w:type="dxa"/>
        </w:tcPr>
        <w:p w:rsidRPr="009349F3" w:rsidR="00517D62" w:rsidP="00855792" w:rsidRDefault="00517D62" w14:paraId="08793961"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D9AEAE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B3236EC"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68BF69B8"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642B026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DD612" w14:textId="77777777" w:rsidR="00DF07D9" w:rsidRDefault="00DF07D9" w:rsidP="009349F3">
      <w:pPr>
        <w:spacing w:line="240" w:lineRule="auto"/>
      </w:pPr>
      <w:r>
        <w:separator/>
      </w:r>
    </w:p>
  </w:footnote>
  <w:footnote w:type="continuationSeparator" w:id="0">
    <w:p w14:paraId="7FCED870" w14:textId="77777777" w:rsidR="00DF07D9" w:rsidRDefault="00DF07D9"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71718A0B"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773D3C68" w14:textId="77777777">
    <w:pPr>
      <w:pStyle w:val="Encabezado"/>
    </w:pPr>
    <w:r>
      <w:ptab w:alignment="center" w:relativeTo="margin" w:leader="none"/>
    </w:r>
    <w:r>
      <w:rPr>
        <w:noProof/>
        <w:lang w:val="es-CR" w:eastAsia="es-CR"/>
      </w:rPr>
      <w:drawing>
        <wp:inline distT="0" distB="0" distL="0" distR="0" wp14:anchorId="0B088057" wp14:editId="60303FE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645856E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FCA307C"/>
    <w:multiLevelType w:val="hybridMultilevel"/>
    <w:tmpl w:val="A100E3CC"/>
    <w:lvl w:ilvl="0" w:tplc="1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3CCE"/>
    <w:multiLevelType w:val="hybridMultilevel"/>
    <w:tmpl w:val="D22ED65A"/>
    <w:lvl w:ilvl="0" w:tplc="3E3291D2">
      <w:start w:val="1"/>
      <w:numFmt w:val="decimal"/>
      <w:lvlText w:val="%1."/>
      <w:lvlJc w:val="left"/>
      <w:pPr>
        <w:ind w:left="720" w:hanging="360"/>
      </w:pPr>
      <w:rPr>
        <w:b w:val="0"/>
        <w:bCs w:val="0"/>
        <w:color w:val="auto"/>
      </w:rPr>
    </w:lvl>
    <w:lvl w:ilvl="1" w:tplc="0C0A0019">
      <w:start w:val="1"/>
      <w:numFmt w:val="lowerLetter"/>
      <w:lvlText w:val="%2."/>
      <w:lvlJc w:val="left"/>
      <w:pPr>
        <w:ind w:left="1440" w:hanging="360"/>
      </w:pPr>
    </w:lvl>
    <w:lvl w:ilvl="2" w:tplc="B456C67E">
      <w:start w:val="1"/>
      <w:numFmt w:val="lowerRoman"/>
      <w:lvlText w:val="%3."/>
      <w:lvlJc w:val="right"/>
      <w:pPr>
        <w:ind w:left="2160" w:hanging="180"/>
      </w:pPr>
      <w:rPr>
        <w:color w:val="000000" w:themeColor="text1"/>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9813AF4"/>
    <w:multiLevelType w:val="hybridMultilevel"/>
    <w:tmpl w:val="9F40D85A"/>
    <w:lvl w:ilvl="0" w:tplc="1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A130361"/>
    <w:multiLevelType w:val="hybridMultilevel"/>
    <w:tmpl w:val="DCA2EB3C"/>
    <w:lvl w:ilvl="0" w:tplc="870432FA">
      <w:start w:val="1"/>
      <w:numFmt w:val="decimal"/>
      <w:lvlText w:val="%1."/>
      <w:lvlJc w:val="left"/>
      <w:pPr>
        <w:ind w:left="360" w:hanging="360"/>
      </w:pPr>
      <w:rPr>
        <w:rFonts w:ascii="Cambria" w:hAnsi="Cambria" w:hint="default"/>
        <w:b/>
        <w:i w:val="0"/>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D9"/>
    <w:rsid w:val="001B6D55"/>
    <w:rsid w:val="002B02F1"/>
    <w:rsid w:val="002C3420"/>
    <w:rsid w:val="002D6ACD"/>
    <w:rsid w:val="00322C6D"/>
    <w:rsid w:val="00326EE5"/>
    <w:rsid w:val="003F0C64"/>
    <w:rsid w:val="004C2B24"/>
    <w:rsid w:val="004E18E1"/>
    <w:rsid w:val="00517D62"/>
    <w:rsid w:val="005F7C14"/>
    <w:rsid w:val="0066384E"/>
    <w:rsid w:val="006972C9"/>
    <w:rsid w:val="006B5A99"/>
    <w:rsid w:val="008200B7"/>
    <w:rsid w:val="00852F96"/>
    <w:rsid w:val="00855792"/>
    <w:rsid w:val="008B692A"/>
    <w:rsid w:val="00900B79"/>
    <w:rsid w:val="0093137D"/>
    <w:rsid w:val="009349F3"/>
    <w:rsid w:val="00A8499C"/>
    <w:rsid w:val="00A90394"/>
    <w:rsid w:val="00AF06C5"/>
    <w:rsid w:val="00B9785A"/>
    <w:rsid w:val="00C9308D"/>
    <w:rsid w:val="00D76550"/>
    <w:rsid w:val="00DA2424"/>
    <w:rsid w:val="00DD2EBF"/>
    <w:rsid w:val="00DE2D06"/>
    <w:rsid w:val="00DF07D9"/>
    <w:rsid w:val="00ED4B62"/>
    <w:rsid w:val="00F0320A"/>
    <w:rsid w:val="00F32D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BBB35"/>
  <w15:chartTrackingRefBased/>
  <w15:docId w15:val="{B1456D44-B897-4191-8256-E3DDD5D6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8B692A"/>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link w:val="Prrafodelista"/>
    <w:uiPriority w:val="34"/>
    <w:locked/>
    <w:rsid w:val="008B692A"/>
  </w:style>
  <w:style w:type="character" w:styleId="Refdecomentario">
    <w:name w:val="annotation reference"/>
    <w:basedOn w:val="Fuentedeprrafopredeter"/>
    <w:uiPriority w:val="99"/>
    <w:semiHidden/>
    <w:unhideWhenUsed/>
    <w:rsid w:val="008B692A"/>
    <w:rPr>
      <w:sz w:val="16"/>
      <w:szCs w:val="16"/>
    </w:rPr>
  </w:style>
  <w:style w:type="paragraph" w:styleId="Textocomentario">
    <w:name w:val="annotation text"/>
    <w:basedOn w:val="Normal"/>
    <w:link w:val="TextocomentarioCar"/>
    <w:uiPriority w:val="99"/>
    <w:semiHidden/>
    <w:unhideWhenUsed/>
    <w:rsid w:val="008B69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692A"/>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E18E1"/>
    <w:rPr>
      <w:b/>
      <w:bCs/>
    </w:rPr>
  </w:style>
  <w:style w:type="character" w:customStyle="1" w:styleId="AsuntodelcomentarioCar">
    <w:name w:val="Asunto del comentario Car"/>
    <w:basedOn w:val="TextocomentarioCar"/>
    <w:link w:val="Asuntodelcomentario"/>
    <w:uiPriority w:val="99"/>
    <w:semiHidden/>
    <w:rsid w:val="004E18E1"/>
    <w:rPr>
      <w:rFonts w:ascii="Cambria" w:eastAsia="Times New Roman" w:hAnsi="Cambria"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3.jpe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consultasarticulo15@sugef.fi.c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gef.fi.cr/informacion_relevante/manuales/manual_de_informacion_sicveca.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remoto.sugef.fi.cr/extranet" TargetMode="External"/><Relationship Id="rId23" Type="http://schemas.openxmlformats.org/officeDocument/2006/relationships/header" Target="header3.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gef.fi.cr/informacion_relevante/manuales/manual_de_informacion_sicveca.aspx"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1C43633FB44925A27458CD6B8268BB"/>
        <w:category>
          <w:name w:val="General"/>
          <w:gallery w:val="placeholder"/>
        </w:category>
        <w:types>
          <w:type w:val="bbPlcHdr"/>
        </w:types>
        <w:behaviors>
          <w:behavior w:val="content"/>
        </w:behaviors>
        <w:guid w:val="{1770899C-3D22-448F-B90A-C6FA5D87E754}"/>
      </w:docPartPr>
      <w:docPartBody>
        <w:p w:rsidR="00835E0B" w:rsidRDefault="00835E0B">
          <w:pPr>
            <w:pStyle w:val="D11C43633FB44925A27458CD6B8268BB"/>
          </w:pPr>
          <w:r w:rsidRPr="001E0779">
            <w:rPr>
              <w:rStyle w:val="Textodelmarcadordeposicin"/>
            </w:rPr>
            <w:t>Haga clic aquí para escribir texto.</w:t>
          </w:r>
        </w:p>
      </w:docPartBody>
    </w:docPart>
    <w:docPart>
      <w:docPartPr>
        <w:name w:val="713ADC6D30314AACA2F2A0B3D14ED69A"/>
        <w:category>
          <w:name w:val="General"/>
          <w:gallery w:val="placeholder"/>
        </w:category>
        <w:types>
          <w:type w:val="bbPlcHdr"/>
        </w:types>
        <w:behaviors>
          <w:behavior w:val="content"/>
        </w:behaviors>
        <w:guid w:val="{FD10D299-90F7-465F-AE7F-EE2D9DE2A4E7}"/>
      </w:docPartPr>
      <w:docPartBody>
        <w:p w:rsidR="00835E0B" w:rsidRDefault="00835E0B">
          <w:pPr>
            <w:pStyle w:val="713ADC6D30314AACA2F2A0B3D14ED69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0B"/>
    <w:rsid w:val="00835E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11C43633FB44925A27458CD6B8268BB">
    <w:name w:val="D11C43633FB44925A27458CD6B8268BB"/>
  </w:style>
  <w:style w:type="paragraph" w:customStyle="1" w:styleId="713ADC6D30314AACA2F2A0B3D14ED69A">
    <w:name w:val="713ADC6D30314AACA2F2A0B3D14ED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KajBMXyrktf4gXQrKtPBhWtCjzx+rWFPdY8+Goocq1k=</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KMAJYYQ0zPOIRnoJpMbrls3d1LIOHqdg3wTGuMXCCAo=</DigestValue>
    </Reference>
  </SignedInfo>
  <SignatureValue>ho4mk9LEX0RiDwlY9Dts9hxPMInMEUn2R+AQYLUXxBoZZUXoVu+Vn9RavidJ/o3/r+9n5UmGF8us
uOMOW63TQE6gtmai+D8Ds867uC1WY5NPZCLGW5uaS8Yen7dgya6YmUMlELhgbBksfRGR5fBpfO4l
9FlHc2CwccKaZ717koq+cuf8uNLDkXDpVHxDdltG/lfwKXHJPU9pqqm1mxw6vRcne29d7WdfXcSd
vosojfMdRM9hJaZTE3iqkUuGRS3h1XyCktVNePa888EOPuqUrOvpzF5HSrcx+lA3wCa9xo3ergy2
g7Ip8TGbISVSDeSzFqpVjZ7G217thqAHnTkLig==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095mELXvwGEI41v05hs8OjZg56Lx5MD0xhhMmPpMEpo=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M3ApL2cmyp7xpR5OSJanod1Bi4JJhdV6Q91BtGDLq20=</DigestValue>
      </Reference>
      <Reference URI="/word/endnotes.xml?ContentType=application/vnd.openxmlformats-officedocument.wordprocessingml.endnotes+xml">
        <DigestMethod Algorithm="http://www.w3.org/2001/04/xmlenc#sha256"/>
        <DigestValue>cONgcHmligFQ6jeUmfmYU7lkb9mdR1zdr9n10ZIRnN4=</DigestValue>
      </Reference>
      <Reference URI="/word/fontTable.xml?ContentType=application/vnd.openxmlformats-officedocument.wordprocessingml.fontTable+xml">
        <DigestMethod Algorithm="http://www.w3.org/2001/04/xmlenc#sha256"/>
        <DigestValue>WYDwXFlnyGMyge+5kLNGUU18VDav1cXoitjYm6g9izY=</DigestValue>
      </Reference>
      <Reference URI="/word/footer1.xml?ContentType=application/vnd.openxmlformats-officedocument.wordprocessingml.footer+xml">
        <DigestMethod Algorithm="http://www.w3.org/2001/04/xmlenc#sha256"/>
        <DigestValue>7kqnERinaZRjTR6OAeZo83C2UmDFzYt9FQvSi5UQIXg=</DigestValue>
      </Reference>
      <Reference URI="/word/footer2.xml?ContentType=application/vnd.openxmlformats-officedocument.wordprocessingml.footer+xml">
        <DigestMethod Algorithm="http://www.w3.org/2001/04/xmlenc#sha256"/>
        <DigestValue>GzKQ5//N9Ye2NnycXwJ41DYFK5SMmYJxBA9UvJJqQgg=</DigestValue>
      </Reference>
      <Reference URI="/word/footer3.xml?ContentType=application/vnd.openxmlformats-officedocument.wordprocessingml.footer+xml">
        <DigestMethod Algorithm="http://www.w3.org/2001/04/xmlenc#sha256"/>
        <DigestValue>33jMKMGXEj8rPkc3k2/a96vwCuer1bHD6lSWO5d2Vx8=</DigestValue>
      </Reference>
      <Reference URI="/word/footnotes.xml?ContentType=application/vnd.openxmlformats-officedocument.wordprocessingml.footnotes+xml">
        <DigestMethod Algorithm="http://www.w3.org/2001/04/xmlenc#sha256"/>
        <DigestValue>h/ECa0SBhc/+aUXI6opo05DEKEZLX3BLP3+kwjSEEG4=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lnuh4jRhz+MxG3U45kdgwhjxWhCxWB6wDBjCy8RV2UA=</DigestValue>
      </Reference>
      <Reference URI="/word/glossary/fontTable.xml?ContentType=application/vnd.openxmlformats-officedocument.wordprocessingml.fontTable+xml">
        <DigestMethod Algorithm="http://www.w3.org/2001/04/xmlenc#sha256"/>
        <DigestValue>WYDwXFlnyGMyge+5kLNGUU18VDav1cXoitjYm6g9izY=</DigestValue>
      </Reference>
      <Reference URI="/word/glossary/settings.xml?ContentType=application/vnd.openxmlformats-officedocument.wordprocessingml.settings+xml">
        <DigestMethod Algorithm="http://www.w3.org/2001/04/xmlenc#sha256"/>
        <DigestValue>SsdRpuz9FFk91Lzc4PlJWefTnwi6UeEcnbY9482FYCM=</DigestValue>
      </Reference>
      <Reference URI="/word/glossary/styles.xml?ContentType=application/vnd.openxmlformats-officedocument.wordprocessingml.styles+xml">
        <DigestMethod Algorithm="http://www.w3.org/2001/04/xmlenc#sha256"/>
        <DigestValue>gXoNuSV2HkBzJA5mFN9JtkLdzBqXtcpmaZuEchXDdXc=</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Dz/iGGyJqhoFfv8RiC0HRRGYM0DiKLcNk3w1epySt0k=</DigestValue>
      </Reference>
      <Reference URI="/word/header2.xml?ContentType=application/vnd.openxmlformats-officedocument.wordprocessingml.header+xml">
        <DigestMethod Algorithm="http://www.w3.org/2001/04/xmlenc#sha256"/>
        <DigestValue>kY1nVTAbGunFG/MOiwGIoOY6oWJizFcW21Ukf/j90yE=</DigestValue>
      </Reference>
      <Reference URI="/word/header3.xml?ContentType=application/vnd.openxmlformats-officedocument.wordprocessingml.header+xml">
        <DigestMethod Algorithm="http://www.w3.org/2001/04/xmlenc#sha256"/>
        <DigestValue>MPNMQwyU62SL+E1XZM+6SH1UBBPkPsIGmZJj5n4Xe00=</DigestValue>
      </Reference>
      <Reference URI="/word/media/image1.emf?ContentType=image/x-emf">
        <DigestMethod Algorithm="http://www.w3.org/2001/04/xmlenc#sha256"/>
        <DigestValue>EYSaNhKh42AC0jLgbsfUK4o1VRZfzv5Gk7BAQ3xvsLo=</DigestValue>
      </Reference>
      <Reference URI="/word/media/image2.emf?ContentType=image/x-emf">
        <DigestMethod Algorithm="http://www.w3.org/2001/04/xmlenc#sha256"/>
        <DigestValue>HpCfHth/gEDVdoKI2ztiPyi1svUBu/PuPIB2yLcckXU=</DigestValue>
      </Reference>
      <Reference URI="/word/media/image3.jpeg?ContentType=image/jpeg">
        <DigestMethod Algorithm="http://www.w3.org/2001/04/xmlenc#sha256"/>
        <DigestValue>xyj69l3DW8glKu5smMXAwtOjzbX6e4vINW9rhAbhtrc=</DigestValue>
      </Reference>
      <Reference URI="/word/media/image4.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P068yLLb+JRPZlMMHrl90PIGCREPWIMB1nZT6bTXiac=</DigestValue>
      </Reference>
      <Reference URI="/word/settings.xml?ContentType=application/vnd.openxmlformats-officedocument.wordprocessingml.settings+xml">
        <DigestMethod Algorithm="http://www.w3.org/2001/04/xmlenc#sha256"/>
        <DigestValue>ssbBmZc0AAiZ4ctG/q7PtR/DUTWId8cKfKL8rHMAbi8=</DigestValue>
      </Reference>
      <Reference URI="/word/styles.xml?ContentType=application/vnd.openxmlformats-officedocument.wordprocessingml.styles+xml">
        <DigestMethod Algorithm="http://www.w3.org/2001/04/xmlenc#sha256"/>
        <DigestValue>+9IhWenAX9DSpS7iNJchR98JwYz7qy5rQSDRCXjAV6Y=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fr3DG8SVYTsRrsGD967sxdh8tYIvGmkIBcNVkM9WmPs=</DigestValue>
      </Reference>
    </Manifest>
    <SignatureProperties>
      <SignatureProperty Id="idSignatureTime" Target="#idPackageSignature">
        <mdssi:SignatureTime xmlns:mdssi="http://schemas.openxmlformats.org/package/2006/digital-signature">
          <mdssi:Format>YYYY-MM-DDThh:mm:ssTZD</mdssi:Format>
          <mdssi:Value>2022-06-21T20:54:11Z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2022-06-21T20:54:11Z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u2oh4EQKKSFxdmwD/Z1LzTJjsFHEfwvjCbblcDzob5wCBA+eMiAYDzIwMjIwNjIxMjA1ND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IZBZEMgYCE2N2gH1LpJej6VPn1E=</xd:ByKey>
                  </xd:ResponderID>
                  <xd:ProducedAt>2022-06-21T20:54:02Z</xd:ProducedAt>
                </xd:OCSPIdentifier>
                <xd:DigestAlgAndValue>
                  <DigestMethod Algorithm="http://www.w3.org/2001/04/xmlenc#sha256"/>
                  <DigestValue>HqPXB6H9LDgjNd8c0mLWb3Mg2BAChW+g5Hy6QPGkvCk=</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</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9b3T+qF46iHlP5zDjShS9+HzQxKxs2NmzsQjS3yx/D8CBA+eMiQYDzIwMjIwNjIxMjA1ND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SUSAN DELGADO OLIVARES</DisplayName>
        <AccountId>2025</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i:0#.w|pdc-atlantida\delgadoos</DisplayName>
        <AccountId>2025</AccountId>
        <AccountType/>
      </UserInfo>
      <UserInfo>
        <DisplayName>i:0#.w|pdc-atlantida\cotoar</DisplayName>
        <AccountId>291</AccountId>
        <AccountType/>
      </UserInfo>
      <UserInfo>
        <DisplayName>i:0#.w|pdc-atlantida\brenesvi</DisplayName>
        <AccountId>2457</AccountId>
        <AccountType/>
      </UserInfo>
      <UserInfo>
        <DisplayName>i:0#.w|pdc-atlantida\amadormg</DisplayName>
        <AccountId>415</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2022-06-22T17:25:55+00:00</FechaEnvio>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2022-06-17T06:00:00+00:00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SGF-0000-2022_Reforma circular externa SGF33412021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_dlc_ExpireDateSaved xmlns="http://schemas.microsoft.com/sharepoint/v3" xsi:nil="true"/>
    <_dlc_ExpireDate xmlns="http://schemas.microsoft.com/sharepoint/v3">2022-07-06T17:25:55+00:00</_dlc_ExpireDate>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251D7FF2-F9E0-4867-825E-ACDDA8EA6D1B}"/>
</file>

<file path=customXml/itemProps2.xml><?xml version="1.0" encoding="utf-8"?>
<ds:datastoreItem xmlns:ds="http://schemas.openxmlformats.org/officeDocument/2006/customXml" ds:itemID="{F52E0985-DE71-47CB-A111-7E2E42C66926}">
  <ds:schemaRefs>
    <ds:schemaRef ds:uri="b875e23b-67d9-4b2e-bdec-edacbf90b326"/>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4.xml><?xml version="1.0" encoding="utf-8"?>
<ds:datastoreItem xmlns:ds="http://schemas.openxmlformats.org/officeDocument/2006/customXml" ds:itemID="{B102C234-4447-4438-8BF8-510E94543F48}"/>
</file>

<file path=customXml/itemProps5.xml><?xml version="1.0" encoding="utf-8"?>
<ds:datastoreItem xmlns:ds="http://schemas.openxmlformats.org/officeDocument/2006/customXml" ds:itemID="{EAA3A784-5548-4D19-9C63-397CFB507161}"/>
</file>

<file path=customXml/itemProps6.xml><?xml version="1.0" encoding="utf-8"?>
<ds:datastoreItem xmlns:ds="http://schemas.openxmlformats.org/officeDocument/2006/customXml" ds:itemID="{2B0CC34C-C9C7-43E7-9A70-CC9E16B4C4A1}"/>
</file>

<file path=docProps/app.xml><?xml version="1.0" encoding="utf-8"?>
<Properties xmlns="http://schemas.openxmlformats.org/officeDocument/2006/extended-properties" xmlns:vt="http://schemas.openxmlformats.org/officeDocument/2006/docPropsVTypes">
  <Template>plantillas-SGF-ACL-CAQ-13-E</Template>
  <TotalTime>122</TotalTime>
  <Pages>6</Pages>
  <Words>1725</Words>
  <Characters>9488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OLIVARES SUSAN</dc:creator>
  <cp:keywords/>
  <dc:description/>
  <cp:lastModifiedBy>COTO ALFARO RAFAEL</cp:lastModifiedBy>
  <cp:revision>7</cp:revision>
  <dcterms:created xsi:type="dcterms:W3CDTF">2022-06-17T17:40:00Z</dcterms:created>
  <dcterms:modified xsi:type="dcterms:W3CDTF">2022-06-20T18:09:00Z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2" name="Order">
    <vt:r8>123200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f1fd9d7f-da86-405a-9476-87cbb240632e,4;e296350a-171a-4531-9415-14f9933ddbf9,7;129ecd23-b383-4acf-9f18-362a388191dd,8;</vt:lpwstr>
  </property>
  <property fmtid="{D5CDD505-2E9C-101B-9397-08002B2CF9AE}" pid="18" name="ecm_ItemDeleteBlockHolders">
    <vt:lpwstr>ecm_InPlaceRecordLock</vt:lpwstr>
  </property>
  <property fmtid="{D5CDD505-2E9C-101B-9397-08002B2CF9AE}" pid="19" name="_vti_ItemDeclaredRecord">
    <vt:filetime>2022-06-22T17:26:03Z</vt:filetime>
  </property>
  <property fmtid="{D5CDD505-2E9C-101B-9397-08002B2CF9AE}" pid="20" name="_vti_ItemHoldRecordStatus">
    <vt:i4>273</vt:i4>
  </property>
  <property fmtid="{D5CDD505-2E9C-101B-9397-08002B2CF9AE}" pid="21" name="IconOverlay">
    <vt:lpwstr>|docx|lockoverlay.png</vt:lpwstr>
  </property>
  <property fmtid="{D5CDD505-2E9C-101B-9397-08002B2CF9AE}" pid="22" name="ecm_RecordRestrictions">
    <vt:lpwstr>BlockDelete, BlockEdit</vt:lpwstr>
  </property>
  <property fmtid="{D5CDD505-2E9C-101B-9397-08002B2CF9AE}" pid="23" name="ecm_ItemLockHolders">
    <vt:lpwstr>ecm_InPlaceRecordLock</vt:lpwstr>
  </property>
</Properties>
</file>