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3D58" w:rsidP="00181ABF" w:rsidRDefault="00403D58" w14:paraId="02C7F0A0" w14:textId="77777777">
      <w:pPr>
        <w:pStyle w:val="Texto"/>
        <w:spacing w:before="0" w:after="0" w:line="240" w:lineRule="auto"/>
        <w:rPr>
          <w:sz w:val="24"/>
        </w:rPr>
      </w:pPr>
    </w:p>
    <w:p w:rsidR="00403D58" w:rsidP="00181ABF" w:rsidRDefault="00403D58" w14:paraId="4B66CCD1" w14:textId="77777777">
      <w:pPr>
        <w:pStyle w:val="Texto"/>
        <w:spacing w:before="0" w:after="0" w:line="240" w:lineRule="auto"/>
        <w:rPr>
          <w:sz w:val="24"/>
        </w:rPr>
      </w:pPr>
    </w:p>
    <w:p w:rsidRPr="00A658F9" w:rsidR="002B658E" w:rsidP="002B658E" w:rsidRDefault="002B658E" w14:paraId="7BE36D41" w14:textId="77777777">
      <w:pPr>
        <w:pStyle w:val="Texto"/>
        <w:spacing w:before="0" w:after="0" w:line="240" w:lineRule="auto"/>
        <w:contextualSpacing/>
        <w:jc w:val="center"/>
        <w:rPr>
          <w:rFonts w:ascii="Times New Roman" w:hAnsi="Times New Roman"/>
          <w:b/>
          <w:bCs/>
          <w:sz w:val="24"/>
        </w:rPr>
      </w:pPr>
      <w:r w:rsidRPr="00A658F9">
        <w:rPr>
          <w:rFonts w:ascii="Times New Roman" w:hAnsi="Times New Roman"/>
          <w:b/>
          <w:bCs/>
          <w:sz w:val="24"/>
        </w:rPr>
        <w:t>Circular Externa</w:t>
      </w:r>
      <w:r>
        <w:rPr>
          <w:rFonts w:ascii="Times New Roman" w:hAnsi="Times New Roman"/>
          <w:b/>
          <w:bCs/>
          <w:sz w:val="24"/>
        </w:rPr>
        <w:t xml:space="preserve"> </w:t>
      </w:r>
    </w:p>
    <w:p w:rsidRPr="002E2B0A" w:rsidR="00181ABF" w:rsidP="002B658E" w:rsidRDefault="0084242B" w14:paraId="41CC4B97" w14:textId="3A8855C2">
      <w:pPr>
        <w:pStyle w:val="Texto"/>
        <w:spacing w:before="0" w:after="0" w:line="240" w:lineRule="auto"/>
        <w:jc w:val="center"/>
        <w:rPr>
          <w:sz w:val="24"/>
        </w:rPr>
      </w:pPr>
      <w:r>
        <w:rPr>
          <w:sz w:val="24"/>
        </w:rPr>
        <w:t>1</w:t>
      </w:r>
      <w:r w:rsidR="0004039A">
        <w:rPr>
          <w:sz w:val="24"/>
        </w:rPr>
        <w:t>5</w:t>
      </w:r>
      <w:r>
        <w:rPr>
          <w:sz w:val="24"/>
        </w:rPr>
        <w:t xml:space="preserve"> de marzo de 2024</w:t>
      </w:r>
    </w:p>
    <w:sdt>
      <w:sdtPr>
        <w:rPr>
          <w:sz w:val="24"/>
        </w:rPr>
        <w:alias w:val="Consecutivo"/>
        <w:tag w:val="Consecutivo"/>
        <w:id w:val="2052717023"/>
        <w:placeholder>
          <w:docPart w:val="12BF3703B2274DD4B005120E9BDE9E3A"/>
        </w:placeholder>
        <w:text/>
      </w:sdtPr>
      <w:sdtEndPr/>
      <w:sdtContent>
        <w:p w:rsidR="00181ABF" w:rsidP="002B658E" w:rsidRDefault="00181ABF" w14:paraId="557CAC48" w14:textId="77777777">
          <w:pPr>
            <w:tabs>
              <w:tab w:val="left" w:pos="2843"/>
            </w:tabs>
            <w:spacing w:line="240" w:lineRule="auto"/>
            <w:jc w:val="center"/>
            <w:rPr>
              <w:sz w:val="24"/>
            </w:rPr>
          </w:pPr>
          <w:r>
            <w:t>SGF-0819-2024</w:t>
          </w:r>
        </w:p>
      </w:sdtContent>
    </w:sdt>
    <w:p w:rsidR="00181ABF" w:rsidP="002B658E" w:rsidRDefault="0004039A" w14:paraId="2AEA2A7D" w14:textId="72AA26DD">
      <w:pPr>
        <w:tabs>
          <w:tab w:val="left" w:pos="2843"/>
        </w:tabs>
        <w:spacing w:line="240" w:lineRule="auto"/>
        <w:jc w:val="center"/>
        <w:rPr>
          <w:sz w:val="24"/>
        </w:rPr>
      </w:pPr>
      <w:sdt>
        <w:sdtPr>
          <w:rPr>
            <w:sz w:val="24"/>
          </w:rPr>
          <w:alias w:val="Confidencialidad"/>
          <w:tag w:val="Confidencialidad"/>
          <w:id w:val="1447896894"/>
          <w:placeholder>
            <w:docPart w:val="9C0F0BF398594FD9A4F360D8E25E6CC8"/>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2B658E">
            <w:rPr>
              <w:sz w:val="24"/>
            </w:rPr>
            <w:t>SGF-PUBLICO</w:t>
          </w:r>
        </w:sdtContent>
      </w:sdt>
    </w:p>
    <w:p w:rsidRPr="002E2B0A" w:rsidR="00181ABF" w:rsidP="00181ABF" w:rsidRDefault="00181ABF" w14:paraId="746CB933" w14:textId="77777777">
      <w:pPr>
        <w:tabs>
          <w:tab w:val="left" w:pos="2843"/>
        </w:tabs>
        <w:spacing w:line="240" w:lineRule="auto"/>
        <w:rPr>
          <w:sz w:val="24"/>
        </w:rPr>
      </w:pPr>
      <w:r w:rsidRPr="002E2B0A">
        <w:rPr>
          <w:sz w:val="24"/>
        </w:rPr>
        <w:tab/>
      </w:r>
    </w:p>
    <w:p w:rsidRPr="00A658F9" w:rsidR="002B658E" w:rsidP="002B658E" w:rsidRDefault="002B658E" w14:paraId="22B83E14" w14:textId="77777777">
      <w:pPr>
        <w:widowControl w:val="0"/>
        <w:spacing w:line="240" w:lineRule="auto"/>
        <w:ind w:left="34" w:right="86"/>
        <w:contextualSpacing/>
        <w:outlineLvl w:val="0"/>
        <w:rPr>
          <w:rFonts w:ascii="Times New Roman" w:hAnsi="Times New Roman"/>
          <w:b/>
          <w:sz w:val="24"/>
        </w:rPr>
      </w:pPr>
      <w:r w:rsidRPr="00A658F9">
        <w:rPr>
          <w:rFonts w:ascii="Times New Roman" w:hAnsi="Times New Roman"/>
          <w:b/>
          <w:sz w:val="24"/>
        </w:rPr>
        <w:t xml:space="preserve">Dirigida a: </w:t>
      </w:r>
    </w:p>
    <w:p w:rsidRPr="00A658F9" w:rsidR="002B658E" w:rsidP="002B658E" w:rsidRDefault="002B658E" w14:paraId="11324F39" w14:textId="77777777">
      <w:pPr>
        <w:widowControl w:val="0"/>
        <w:spacing w:line="240" w:lineRule="auto"/>
        <w:ind w:left="34" w:right="86"/>
        <w:contextualSpacing/>
        <w:outlineLvl w:val="0"/>
        <w:rPr>
          <w:rFonts w:ascii="Times New Roman" w:hAnsi="Times New Roman"/>
          <w:b/>
          <w:sz w:val="24"/>
        </w:rPr>
      </w:pPr>
    </w:p>
    <w:p w:rsidRPr="00A658F9" w:rsidR="002B658E" w:rsidP="002B658E" w:rsidRDefault="002B658E" w14:paraId="5215FBE6" w14:textId="77777777">
      <w:pPr>
        <w:widowControl w:val="0"/>
        <w:numPr>
          <w:ilvl w:val="0"/>
          <w:numId w:val="3"/>
        </w:numPr>
        <w:spacing w:line="240" w:lineRule="auto"/>
        <w:ind w:left="567" w:right="86" w:hanging="567"/>
        <w:contextualSpacing/>
        <w:rPr>
          <w:rFonts w:ascii="Times New Roman" w:hAnsi="Times New Roman"/>
          <w:b/>
          <w:sz w:val="24"/>
          <w:lang w:eastAsia="es-ES"/>
        </w:rPr>
      </w:pPr>
      <w:r w:rsidRPr="00A658F9">
        <w:rPr>
          <w:rFonts w:ascii="Times New Roman" w:hAnsi="Times New Roman"/>
          <w:b/>
          <w:sz w:val="24"/>
          <w:lang w:eastAsia="es-ES"/>
        </w:rPr>
        <w:t>Organizaciones Cooperativas de Ahorro y Crédito</w:t>
      </w:r>
    </w:p>
    <w:p w:rsidRPr="00A658F9" w:rsidR="002B658E" w:rsidP="002B658E" w:rsidRDefault="002B658E" w14:paraId="306D7741" w14:textId="77777777">
      <w:pPr>
        <w:pStyle w:val="Texto"/>
        <w:spacing w:before="0" w:after="0" w:line="240" w:lineRule="auto"/>
        <w:contextualSpacing/>
        <w:rPr>
          <w:rFonts w:ascii="Times New Roman" w:hAnsi="Times New Roman"/>
          <w:b/>
          <w:sz w:val="24"/>
        </w:rPr>
      </w:pPr>
    </w:p>
    <w:p w:rsidRPr="00A658F9" w:rsidR="002B658E" w:rsidP="002B658E" w:rsidRDefault="002B658E" w14:paraId="7284C423" w14:textId="77777777">
      <w:pPr>
        <w:spacing w:line="240" w:lineRule="auto"/>
        <w:contextualSpacing/>
        <w:rPr>
          <w:rFonts w:ascii="Times New Roman" w:hAnsi="Times New Roman"/>
          <w:sz w:val="24"/>
        </w:rPr>
      </w:pPr>
      <w:r w:rsidRPr="00A658F9">
        <w:rPr>
          <w:rFonts w:ascii="Times New Roman" w:hAnsi="Times New Roman"/>
          <w:b/>
          <w:sz w:val="24"/>
        </w:rPr>
        <w:t xml:space="preserve">Asunto: </w:t>
      </w:r>
      <w:r w:rsidRPr="00A658F9">
        <w:rPr>
          <w:rFonts w:ascii="Times New Roman" w:hAnsi="Times New Roman"/>
          <w:bCs/>
          <w:sz w:val="24"/>
        </w:rPr>
        <w:t>Aplicación del requerimiento de encaje mínimo legal a las Organizaciones Cooperativas de Ahorro y Crédito supervisadas por la SUGEF</w:t>
      </w:r>
      <w:r w:rsidRPr="00A658F9">
        <w:rPr>
          <w:rFonts w:ascii="Times New Roman" w:hAnsi="Times New Roman"/>
          <w:sz w:val="24"/>
        </w:rPr>
        <w:t>.</w:t>
      </w:r>
    </w:p>
    <w:p w:rsidRPr="00A658F9" w:rsidR="002B658E" w:rsidP="002B658E" w:rsidRDefault="002B658E" w14:paraId="6A657683" w14:textId="77777777">
      <w:pPr>
        <w:spacing w:line="240" w:lineRule="auto"/>
        <w:contextualSpacing/>
        <w:rPr>
          <w:rFonts w:ascii="Times New Roman" w:hAnsi="Times New Roman"/>
          <w:b/>
          <w:bCs/>
          <w:sz w:val="24"/>
        </w:rPr>
      </w:pPr>
    </w:p>
    <w:p w:rsidRPr="00A658F9" w:rsidR="002B658E" w:rsidP="002B658E" w:rsidRDefault="002B658E" w14:paraId="51806CE9" w14:textId="77777777">
      <w:pPr>
        <w:widowControl w:val="0"/>
        <w:spacing w:after="240" w:line="240" w:lineRule="auto"/>
        <w:rPr>
          <w:rFonts w:ascii="Times New Roman" w:hAnsi="Times New Roman"/>
          <w:b/>
          <w:bCs/>
          <w:sz w:val="24"/>
        </w:rPr>
      </w:pPr>
      <w:r w:rsidRPr="00A658F9">
        <w:rPr>
          <w:rFonts w:ascii="Times New Roman" w:hAnsi="Times New Roman"/>
          <w:b/>
          <w:bCs/>
          <w:sz w:val="24"/>
        </w:rPr>
        <w:t xml:space="preserve">La Superintendencia General de Entidades Financieras, </w:t>
      </w:r>
    </w:p>
    <w:p w:rsidRPr="00A658F9" w:rsidR="002B658E" w:rsidP="002B658E" w:rsidRDefault="002B658E" w14:paraId="46DF0102" w14:textId="77777777">
      <w:pPr>
        <w:pStyle w:val="Default"/>
        <w:ind w:left="993" w:hanging="993"/>
        <w:contextualSpacing/>
        <w:jc w:val="both"/>
        <w:rPr>
          <w:b/>
        </w:rPr>
      </w:pPr>
      <w:r w:rsidRPr="00A658F9">
        <w:rPr>
          <w:b/>
        </w:rPr>
        <w:t>Considerando que:</w:t>
      </w:r>
    </w:p>
    <w:p w:rsidRPr="00A658F9" w:rsidR="002B658E" w:rsidP="002B658E" w:rsidRDefault="002B658E" w14:paraId="743685D0" w14:textId="77777777">
      <w:pPr>
        <w:pStyle w:val="Default"/>
        <w:ind w:left="993" w:hanging="993"/>
        <w:contextualSpacing/>
        <w:jc w:val="both"/>
        <w:rPr>
          <w:b/>
        </w:rPr>
      </w:pPr>
    </w:p>
    <w:p w:rsidRPr="00A658F9" w:rsidR="002B658E" w:rsidP="002B658E" w:rsidRDefault="002B658E" w14:paraId="6AB85F77" w14:textId="77777777">
      <w:pPr>
        <w:pStyle w:val="Prrafodelista"/>
        <w:numPr>
          <w:ilvl w:val="0"/>
          <w:numId w:val="4"/>
        </w:numPr>
        <w:jc w:val="both"/>
        <w:rPr>
          <w:rFonts w:ascii="Times New Roman" w:hAnsi="Times New Roman" w:eastAsia="Times New Roman" w:cs="Times New Roman"/>
          <w:noProof/>
          <w:sz w:val="24"/>
          <w:szCs w:val="24"/>
          <w:lang w:val="es-ES"/>
        </w:rPr>
      </w:pPr>
      <w:r w:rsidRPr="00A658F9">
        <w:rPr>
          <w:rFonts w:ascii="Times New Roman" w:hAnsi="Times New Roman" w:eastAsia="Times New Roman" w:cs="Times New Roman"/>
          <w:sz w:val="24"/>
          <w:szCs w:val="24"/>
          <w:lang w:val="es-ES"/>
        </w:rPr>
        <w:t xml:space="preserve">La Junta Directiva del Banco Central de Costa Rica (BCCR), en el artículo 8 del acta de la sesión 6121-2023, celebrada el 25 de mayo del 2023, dispuso aplicar el requisito de encaje mínimo legal (EML) a las cooperativas de ahorro y crédito supervisadas (CACS) por la Superintendencia General de Entidades Financieras (SUGEF). </w:t>
      </w:r>
    </w:p>
    <w:p w:rsidRPr="00A658F9" w:rsidR="002B658E" w:rsidP="002B658E" w:rsidRDefault="002B658E" w14:paraId="3E334F71" w14:textId="77777777">
      <w:pPr>
        <w:pStyle w:val="Prrafodelista"/>
        <w:spacing w:after="0"/>
        <w:ind w:left="357"/>
        <w:jc w:val="both"/>
        <w:rPr>
          <w:rFonts w:ascii="Times New Roman" w:hAnsi="Times New Roman" w:eastAsia="Times New Roman" w:cs="Times New Roman"/>
          <w:noProof/>
          <w:sz w:val="24"/>
          <w:szCs w:val="24"/>
          <w:lang w:val="es-ES"/>
        </w:rPr>
      </w:pPr>
    </w:p>
    <w:p w:rsidRPr="00A658F9" w:rsidR="002B658E" w:rsidP="002B658E" w:rsidRDefault="002B658E" w14:paraId="517B7B84" w14:textId="77777777">
      <w:pPr>
        <w:pStyle w:val="Prrafodelista"/>
        <w:numPr>
          <w:ilvl w:val="0"/>
          <w:numId w:val="4"/>
        </w:numPr>
        <w:jc w:val="both"/>
        <w:rPr>
          <w:rFonts w:ascii="Times New Roman" w:hAnsi="Times New Roman" w:eastAsia="Times New Roman" w:cs="Times New Roman"/>
          <w:sz w:val="24"/>
          <w:szCs w:val="24"/>
          <w:lang w:val="es-ES"/>
        </w:rPr>
      </w:pPr>
      <w:r w:rsidRPr="00A658F9">
        <w:rPr>
          <w:rFonts w:ascii="Times New Roman" w:hAnsi="Times New Roman" w:eastAsia="Times New Roman" w:cs="Times New Roman"/>
          <w:sz w:val="24"/>
          <w:szCs w:val="24"/>
          <w:lang w:val="es-ES"/>
        </w:rPr>
        <w:t xml:space="preserve">Particularmente ese Órgano dispuso que las CACS estarán obligadas a cumplir con ese requerimiento, para operaciones en moneda nacional y moneda extranjera, a partir del 1° de abril del 2024, con la siguiente gradualidad: </w:t>
      </w:r>
    </w:p>
    <w:p w:rsidRPr="00A658F9" w:rsidR="002B658E" w:rsidP="002B658E" w:rsidRDefault="002B658E" w14:paraId="093E4C26" w14:textId="77777777">
      <w:pPr>
        <w:spacing w:before="120" w:after="120" w:line="240" w:lineRule="auto"/>
        <w:ind w:hanging="10"/>
        <w:contextualSpacing/>
        <w:jc w:val="center"/>
        <w:rPr>
          <w:rFonts w:ascii="Times New Roman" w:hAnsi="Times New Roman"/>
          <w:sz w:val="24"/>
        </w:rPr>
      </w:pPr>
      <w:r w:rsidRPr="00A658F9">
        <w:rPr>
          <w:rFonts w:ascii="Times New Roman" w:hAnsi="Times New Roman"/>
          <w:noProof/>
          <w:sz w:val="24"/>
        </w:rPr>
        <w:drawing>
          <wp:inline distT="0" distB="0" distL="0" distR="0" wp14:anchorId="400FDC00" wp14:editId="3B77C1DE">
            <wp:extent cx="2072392" cy="1908334"/>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2628" cy="1917760"/>
                    </a:xfrm>
                    <a:prstGeom prst="rect">
                      <a:avLst/>
                    </a:prstGeom>
                    <a:noFill/>
                    <a:ln>
                      <a:noFill/>
                    </a:ln>
                  </pic:spPr>
                </pic:pic>
              </a:graphicData>
            </a:graphic>
          </wp:inline>
        </w:drawing>
      </w:r>
    </w:p>
    <w:p w:rsidRPr="00A658F9" w:rsidR="002B658E" w:rsidP="002B658E" w:rsidRDefault="002B658E" w14:paraId="35FC1570" w14:textId="77777777">
      <w:pPr>
        <w:spacing w:before="120" w:after="120" w:line="240" w:lineRule="auto"/>
        <w:ind w:hanging="11"/>
        <w:rPr>
          <w:rFonts w:ascii="Times New Roman" w:hAnsi="Times New Roman"/>
          <w:sz w:val="24"/>
        </w:rPr>
      </w:pPr>
    </w:p>
    <w:p w:rsidRPr="00A658F9" w:rsidR="002B658E" w:rsidP="002B658E" w:rsidRDefault="002B658E" w14:paraId="22CF360B" w14:textId="77777777">
      <w:pPr>
        <w:spacing w:before="120" w:after="120" w:line="240" w:lineRule="auto"/>
        <w:ind w:hanging="10"/>
        <w:contextualSpacing/>
        <w:rPr>
          <w:rFonts w:ascii="Times New Roman" w:hAnsi="Times New Roman"/>
          <w:sz w:val="24"/>
        </w:rPr>
      </w:pPr>
      <w:r w:rsidRPr="00A658F9">
        <w:rPr>
          <w:rFonts w:ascii="Times New Roman" w:hAnsi="Times New Roman"/>
          <w:sz w:val="24"/>
        </w:rPr>
        <w:t>Durante este período y hasta el 30 de setiembre del 2028, estas entidades deberán cumplir el requerimiento de EML por el porcentaje indicado y el requerimiento de reserva de liquidez (RL) por el complemento para alcanzar el 15%.</w:t>
      </w:r>
    </w:p>
    <w:p w:rsidRPr="00A658F9" w:rsidR="002B658E" w:rsidP="002B658E" w:rsidRDefault="002B658E" w14:paraId="0258FAFF" w14:textId="77777777">
      <w:pPr>
        <w:spacing w:before="120" w:after="120" w:line="240" w:lineRule="auto"/>
        <w:ind w:hanging="10"/>
        <w:contextualSpacing/>
        <w:rPr>
          <w:rFonts w:ascii="Times New Roman" w:hAnsi="Times New Roman"/>
          <w:sz w:val="24"/>
        </w:rPr>
      </w:pPr>
    </w:p>
    <w:p w:rsidR="002B658E" w:rsidP="002B658E" w:rsidRDefault="002B658E" w14:paraId="2AA1C88D" w14:textId="77777777">
      <w:pPr>
        <w:spacing w:after="160" w:line="259" w:lineRule="auto"/>
        <w:rPr>
          <w:rFonts w:ascii="Times New Roman" w:hAnsi="Times New Roman"/>
          <w:b/>
          <w:sz w:val="24"/>
        </w:rPr>
      </w:pPr>
    </w:p>
    <w:p w:rsidRPr="00A658F9" w:rsidR="002B658E" w:rsidP="002B658E" w:rsidRDefault="002B658E" w14:paraId="1B97A0BE" w14:textId="77777777">
      <w:pPr>
        <w:spacing w:before="120" w:after="120" w:line="240" w:lineRule="auto"/>
        <w:ind w:hanging="10"/>
        <w:contextualSpacing/>
        <w:rPr>
          <w:rFonts w:ascii="Times New Roman" w:hAnsi="Times New Roman"/>
          <w:b/>
          <w:sz w:val="24"/>
        </w:rPr>
      </w:pPr>
      <w:r w:rsidRPr="00A658F9">
        <w:rPr>
          <w:rFonts w:ascii="Times New Roman" w:hAnsi="Times New Roman"/>
          <w:b/>
          <w:sz w:val="24"/>
        </w:rPr>
        <w:lastRenderedPageBreak/>
        <w:t>Dispone:</w:t>
      </w:r>
    </w:p>
    <w:p w:rsidRPr="00A658F9" w:rsidR="002B658E" w:rsidP="002B658E" w:rsidRDefault="002B658E" w14:paraId="22FE6980" w14:textId="77777777">
      <w:pPr>
        <w:pStyle w:val="Prrafodelista"/>
        <w:widowControl w:val="0"/>
        <w:numPr>
          <w:ilvl w:val="0"/>
          <w:numId w:val="5"/>
        </w:numPr>
        <w:spacing w:before="120" w:after="120" w:line="240" w:lineRule="auto"/>
        <w:jc w:val="both"/>
        <w:rPr>
          <w:rFonts w:ascii="Times New Roman" w:hAnsi="Times New Roman" w:eastAsia="Times New Roman" w:cs="Times New Roman"/>
          <w:sz w:val="24"/>
          <w:szCs w:val="24"/>
          <w:lang w:val="es-ES" w:eastAsia="es-ES"/>
        </w:rPr>
      </w:pPr>
      <w:r w:rsidRPr="00A658F9">
        <w:rPr>
          <w:rFonts w:ascii="Times New Roman" w:hAnsi="Times New Roman" w:cs="Times New Roman"/>
          <w:sz w:val="24"/>
          <w:szCs w:val="24"/>
        </w:rPr>
        <w:t>Que, con</w:t>
      </w:r>
      <w:r w:rsidRPr="00A658F9">
        <w:rPr>
          <w:rFonts w:ascii="Times New Roman" w:hAnsi="Times New Roman" w:eastAsia="Times New Roman" w:cs="Times New Roman"/>
          <w:sz w:val="24"/>
          <w:szCs w:val="24"/>
          <w:lang w:val="es-ES" w:eastAsia="es-ES"/>
        </w:rPr>
        <w:t xml:space="preserve"> el propósito de implementar los alcances de este acuerdo, se actualizaron los documentos </w:t>
      </w:r>
      <w:r w:rsidRPr="00A658F9">
        <w:rPr>
          <w:rFonts w:ascii="Times New Roman" w:hAnsi="Times New Roman" w:eastAsia="Times New Roman" w:cs="Times New Roman"/>
          <w:i/>
          <w:iCs/>
          <w:sz w:val="24"/>
          <w:szCs w:val="24"/>
          <w:lang w:val="es-ES" w:eastAsia="es-ES"/>
        </w:rPr>
        <w:t>Catálogo Encaje Legal</w:t>
      </w:r>
      <w:r w:rsidRPr="00A658F9">
        <w:rPr>
          <w:rFonts w:ascii="Times New Roman" w:hAnsi="Times New Roman" w:eastAsia="Times New Roman" w:cs="Times New Roman"/>
          <w:sz w:val="24"/>
          <w:szCs w:val="24"/>
          <w:lang w:val="es-ES" w:eastAsia="es-ES"/>
        </w:rPr>
        <w:t xml:space="preserve"> (Versión marzo 2024) y </w:t>
      </w:r>
      <w:r w:rsidRPr="00A658F9">
        <w:rPr>
          <w:rFonts w:ascii="Times New Roman" w:hAnsi="Times New Roman" w:eastAsia="Times New Roman" w:cs="Times New Roman"/>
          <w:i/>
          <w:iCs/>
          <w:sz w:val="24"/>
          <w:szCs w:val="24"/>
          <w:lang w:val="es-ES" w:eastAsia="es-ES"/>
        </w:rPr>
        <w:t>Especificación clase de datos Encaje Legal</w:t>
      </w:r>
      <w:r w:rsidRPr="00A658F9">
        <w:rPr>
          <w:rFonts w:ascii="Times New Roman" w:hAnsi="Times New Roman" w:eastAsia="Times New Roman" w:cs="Times New Roman"/>
          <w:sz w:val="24"/>
          <w:szCs w:val="24"/>
          <w:lang w:val="es-ES" w:eastAsia="es-ES"/>
        </w:rPr>
        <w:t xml:space="preserve"> (Versión 1.5 marzo 2024). Ambos archivos se pueden consultar en el vínculo: </w:t>
      </w:r>
    </w:p>
    <w:p w:rsidRPr="00A658F9" w:rsidR="002B658E" w:rsidP="002B658E" w:rsidRDefault="0004039A" w14:paraId="15220A20" w14:textId="77777777">
      <w:pPr>
        <w:widowControl w:val="0"/>
        <w:spacing w:line="240" w:lineRule="auto"/>
        <w:ind w:firstLine="360"/>
        <w:rPr>
          <w:rFonts w:ascii="Times New Roman" w:hAnsi="Times New Roman"/>
          <w:szCs w:val="22"/>
          <w:lang w:eastAsia="es-ES"/>
        </w:rPr>
      </w:pPr>
      <w:hyperlink w:history="1" r:id="rId13">
        <w:r w:rsidRPr="006041EF" w:rsidR="002B658E">
          <w:rPr>
            <w:rStyle w:val="Hipervnculo"/>
            <w:rFonts w:ascii="Times New Roman" w:hAnsi="Times New Roman"/>
            <w:lang w:eastAsia="es-ES"/>
          </w:rPr>
          <w:t>https://www.sugef.fi.cr/informacion_relevante/manuales/manual_de_informacion_sicveca.aspx</w:t>
        </w:r>
      </w:hyperlink>
    </w:p>
    <w:p w:rsidRPr="00A658F9" w:rsidR="002B658E" w:rsidP="002B658E" w:rsidRDefault="002B658E" w14:paraId="55EB310F" w14:textId="77777777">
      <w:pPr>
        <w:widowControl w:val="0"/>
        <w:spacing w:line="240" w:lineRule="auto"/>
        <w:rPr>
          <w:rFonts w:ascii="Times New Roman" w:hAnsi="Times New Roman"/>
          <w:sz w:val="24"/>
          <w:lang w:eastAsia="es-ES"/>
        </w:rPr>
      </w:pPr>
    </w:p>
    <w:p w:rsidRPr="00A658F9" w:rsidR="002B658E" w:rsidP="002B658E" w:rsidRDefault="002B658E" w14:paraId="3AC5F892" w14:textId="77777777">
      <w:pPr>
        <w:widowControl w:val="0"/>
        <w:spacing w:line="240" w:lineRule="auto"/>
        <w:ind w:left="360"/>
        <w:rPr>
          <w:rFonts w:ascii="Times New Roman" w:hAnsi="Times New Roman"/>
          <w:sz w:val="24"/>
          <w:lang w:eastAsia="es-ES"/>
        </w:rPr>
      </w:pPr>
      <w:r w:rsidRPr="00A658F9">
        <w:rPr>
          <w:rFonts w:ascii="Times New Roman" w:hAnsi="Times New Roman"/>
          <w:sz w:val="24"/>
          <w:lang w:eastAsia="es-ES"/>
        </w:rPr>
        <w:t xml:space="preserve">Es relevante indicar que la actualización de estos documentos no implica cambio alguno en la estructura del bloque de encabezado o del bloque de datos del XML Encaje Legal que actualmente envían a la SUGEF las entidades supervisadas por esa dependencia. </w:t>
      </w:r>
    </w:p>
    <w:p w:rsidRPr="00A658F9" w:rsidR="002B658E" w:rsidP="002B658E" w:rsidRDefault="002B658E" w14:paraId="57DDD6FF" w14:textId="77777777">
      <w:pPr>
        <w:widowControl w:val="0"/>
        <w:spacing w:line="240" w:lineRule="auto"/>
        <w:rPr>
          <w:rFonts w:ascii="Times New Roman" w:hAnsi="Times New Roman"/>
          <w:sz w:val="24"/>
          <w:lang w:eastAsia="es-ES"/>
        </w:rPr>
      </w:pPr>
    </w:p>
    <w:p w:rsidRPr="00A658F9" w:rsidR="002B658E" w:rsidP="002B658E" w:rsidRDefault="002B658E" w14:paraId="748DEC4B" w14:textId="77777777">
      <w:pPr>
        <w:widowControl w:val="0"/>
        <w:spacing w:line="240" w:lineRule="auto"/>
        <w:ind w:left="360"/>
        <w:rPr>
          <w:rFonts w:ascii="Times New Roman" w:hAnsi="Times New Roman"/>
          <w:sz w:val="24"/>
          <w:lang w:eastAsia="es-ES"/>
        </w:rPr>
      </w:pPr>
      <w:r w:rsidRPr="00A658F9">
        <w:rPr>
          <w:rFonts w:ascii="Times New Roman" w:hAnsi="Times New Roman"/>
          <w:sz w:val="24"/>
          <w:lang w:eastAsia="es-ES"/>
        </w:rPr>
        <w:t xml:space="preserve">Concretamente, en el documento </w:t>
      </w:r>
      <w:r w:rsidRPr="00A658F9">
        <w:rPr>
          <w:rFonts w:ascii="Times New Roman" w:hAnsi="Times New Roman"/>
          <w:i/>
          <w:iCs/>
          <w:sz w:val="24"/>
          <w:lang w:eastAsia="es-ES"/>
        </w:rPr>
        <w:t>Catálogo de Encaje Legal,</w:t>
      </w:r>
      <w:r w:rsidRPr="00A658F9">
        <w:rPr>
          <w:rFonts w:ascii="Times New Roman" w:hAnsi="Times New Roman"/>
          <w:sz w:val="24"/>
          <w:lang w:eastAsia="es-ES"/>
        </w:rPr>
        <w:t xml:space="preserve"> se incluyeron los rubros 321, 322, 323, 324 y 325, los cuales se describen a continuación y aplican exclusivamente para las CACS ya que en ellos deben declarar el referido requerimiento de RL mantenido como complemento para alcanzar el 15% de EML. </w:t>
      </w:r>
    </w:p>
    <w:p w:rsidRPr="00A658F9" w:rsidR="002B658E" w:rsidP="002B658E" w:rsidRDefault="002B658E" w14:paraId="03AEFC86" w14:textId="77777777">
      <w:pPr>
        <w:widowControl w:val="0"/>
        <w:spacing w:line="240" w:lineRule="auto"/>
        <w:rPr>
          <w:rFonts w:ascii="Times New Roman" w:hAnsi="Times New Roman"/>
          <w:sz w:val="24"/>
          <w:lang w:eastAsia="es-ES"/>
        </w:rPr>
      </w:pPr>
    </w:p>
    <w:tbl>
      <w:tblPr>
        <w:tblStyle w:val="Tablaconcuadrcula"/>
        <w:tblW w:w="0" w:type="auto"/>
        <w:jc w:val="right"/>
        <w:tblLook w:val="04A0" w:firstRow="1" w:lastRow="0" w:firstColumn="1" w:lastColumn="0" w:noHBand="0" w:noVBand="1"/>
      </w:tblPr>
      <w:tblGrid>
        <w:gridCol w:w="843"/>
        <w:gridCol w:w="7657"/>
      </w:tblGrid>
      <w:tr w:rsidRPr="00A658F9" w:rsidR="002B658E" w:rsidTr="00EF7339" w14:paraId="207BCB50" w14:textId="77777777">
        <w:trPr>
          <w:trHeight w:val="284"/>
          <w:jc w:val="right"/>
        </w:trPr>
        <w:tc>
          <w:tcPr>
            <w:tcW w:w="843" w:type="dxa"/>
            <w:shd w:val="clear" w:color="auto" w:fill="F2F2F2" w:themeFill="background1" w:themeFillShade="F2"/>
          </w:tcPr>
          <w:p w:rsidRPr="00A658F9" w:rsidR="002B658E" w:rsidP="00EF7339" w:rsidRDefault="002B658E" w14:paraId="6B1A5D25" w14:textId="77777777">
            <w:pPr>
              <w:spacing w:before="80" w:after="80" w:line="240" w:lineRule="auto"/>
              <w:rPr>
                <w:rFonts w:ascii="Times New Roman" w:hAnsi="Times New Roman"/>
                <w:b/>
                <w:bCs/>
                <w:szCs w:val="22"/>
              </w:rPr>
            </w:pPr>
            <w:bookmarkStart w:name="_Hlk161183397" w:id="0"/>
            <w:r w:rsidRPr="00A658F9">
              <w:rPr>
                <w:rFonts w:ascii="Times New Roman" w:hAnsi="Times New Roman"/>
                <w:b/>
                <w:bCs/>
                <w:szCs w:val="22"/>
              </w:rPr>
              <w:t>Rubro</w:t>
            </w:r>
          </w:p>
        </w:tc>
        <w:tc>
          <w:tcPr>
            <w:tcW w:w="7657" w:type="dxa"/>
            <w:shd w:val="clear" w:color="auto" w:fill="F2F2F2" w:themeFill="background1" w:themeFillShade="F2"/>
          </w:tcPr>
          <w:p w:rsidRPr="00A658F9" w:rsidR="002B658E" w:rsidP="00EF7339" w:rsidRDefault="002B658E" w14:paraId="6D7444AE" w14:textId="77777777">
            <w:pPr>
              <w:spacing w:before="80" w:after="80" w:line="240" w:lineRule="auto"/>
              <w:rPr>
                <w:rFonts w:ascii="Times New Roman" w:hAnsi="Times New Roman"/>
                <w:b/>
                <w:bCs/>
                <w:szCs w:val="22"/>
              </w:rPr>
            </w:pPr>
            <w:r w:rsidRPr="00A658F9">
              <w:rPr>
                <w:rFonts w:ascii="Times New Roman" w:hAnsi="Times New Roman"/>
                <w:b/>
                <w:bCs/>
                <w:szCs w:val="22"/>
              </w:rPr>
              <w:t>Descripción</w:t>
            </w:r>
          </w:p>
        </w:tc>
      </w:tr>
      <w:tr w:rsidRPr="00A658F9" w:rsidR="002B658E" w:rsidTr="00EF7339" w14:paraId="1A87A51C" w14:textId="77777777">
        <w:trPr>
          <w:trHeight w:val="284"/>
          <w:jc w:val="right"/>
        </w:trPr>
        <w:tc>
          <w:tcPr>
            <w:tcW w:w="843" w:type="dxa"/>
            <w:vAlign w:val="center"/>
          </w:tcPr>
          <w:p w:rsidRPr="001D0934" w:rsidR="002B658E" w:rsidP="00EF7339" w:rsidRDefault="002B658E" w14:paraId="48337888" w14:textId="77777777">
            <w:pPr>
              <w:spacing w:after="120" w:line="240" w:lineRule="auto"/>
              <w:jc w:val="center"/>
              <w:rPr>
                <w:rFonts w:ascii="Times New Roman" w:hAnsi="Times New Roman"/>
                <w:sz w:val="20"/>
                <w:szCs w:val="20"/>
              </w:rPr>
            </w:pPr>
            <w:r w:rsidRPr="001D0934">
              <w:rPr>
                <w:rFonts w:ascii="Times New Roman" w:hAnsi="Times New Roman"/>
                <w:sz w:val="20"/>
                <w:szCs w:val="20"/>
              </w:rPr>
              <w:t>321</w:t>
            </w:r>
          </w:p>
        </w:tc>
        <w:tc>
          <w:tcPr>
            <w:tcW w:w="7657" w:type="dxa"/>
            <w:vAlign w:val="center"/>
          </w:tcPr>
          <w:p w:rsidRPr="001D0934" w:rsidR="002B658E" w:rsidP="00EF7339" w:rsidRDefault="002B658E" w14:paraId="79A3C348" w14:textId="77777777">
            <w:pPr>
              <w:spacing w:after="120" w:line="240" w:lineRule="auto"/>
              <w:rPr>
                <w:rFonts w:ascii="Times New Roman" w:hAnsi="Times New Roman"/>
                <w:sz w:val="20"/>
                <w:szCs w:val="20"/>
              </w:rPr>
            </w:pPr>
            <w:r w:rsidRPr="001D0934">
              <w:rPr>
                <w:rFonts w:ascii="Times New Roman" w:hAnsi="Times New Roman"/>
                <w:sz w:val="20"/>
                <w:szCs w:val="20"/>
              </w:rPr>
              <w:t>Depósitos en el MIL como reserva de liquidez</w:t>
            </w:r>
          </w:p>
        </w:tc>
      </w:tr>
      <w:tr w:rsidRPr="00A658F9" w:rsidR="002B658E" w:rsidTr="00EF7339" w14:paraId="32E5566D" w14:textId="77777777">
        <w:trPr>
          <w:trHeight w:val="284"/>
          <w:jc w:val="right"/>
        </w:trPr>
        <w:tc>
          <w:tcPr>
            <w:tcW w:w="843" w:type="dxa"/>
            <w:vAlign w:val="center"/>
          </w:tcPr>
          <w:p w:rsidRPr="001D0934" w:rsidR="002B658E" w:rsidP="00EF7339" w:rsidRDefault="002B658E" w14:paraId="60D5D1B3" w14:textId="77777777">
            <w:pPr>
              <w:spacing w:after="120" w:line="240" w:lineRule="auto"/>
              <w:jc w:val="center"/>
              <w:rPr>
                <w:rFonts w:ascii="Times New Roman" w:hAnsi="Times New Roman"/>
                <w:sz w:val="20"/>
                <w:szCs w:val="20"/>
              </w:rPr>
            </w:pPr>
            <w:r w:rsidRPr="001D0934">
              <w:rPr>
                <w:rFonts w:ascii="Times New Roman" w:hAnsi="Times New Roman"/>
                <w:sz w:val="20"/>
                <w:szCs w:val="20"/>
              </w:rPr>
              <w:t>322</w:t>
            </w:r>
          </w:p>
        </w:tc>
        <w:tc>
          <w:tcPr>
            <w:tcW w:w="7657" w:type="dxa"/>
            <w:vAlign w:val="center"/>
          </w:tcPr>
          <w:p w:rsidRPr="001D0934" w:rsidR="002B658E" w:rsidP="00EF7339" w:rsidRDefault="002B658E" w14:paraId="05DAB884" w14:textId="77777777">
            <w:pPr>
              <w:spacing w:after="120" w:line="240" w:lineRule="auto"/>
              <w:rPr>
                <w:rFonts w:ascii="Times New Roman" w:hAnsi="Times New Roman"/>
                <w:sz w:val="20"/>
                <w:szCs w:val="20"/>
              </w:rPr>
            </w:pPr>
            <w:r w:rsidRPr="001D0934">
              <w:rPr>
                <w:rFonts w:ascii="Times New Roman" w:hAnsi="Times New Roman"/>
                <w:sz w:val="20"/>
                <w:szCs w:val="20"/>
              </w:rPr>
              <w:t>Saldo vigente de BEM mantenido como reserva de liquidez al 30 de abril del 2023.</w:t>
            </w:r>
          </w:p>
        </w:tc>
      </w:tr>
      <w:tr w:rsidRPr="00A658F9" w:rsidR="002B658E" w:rsidTr="00EF7339" w14:paraId="6D6C54DB" w14:textId="77777777">
        <w:trPr>
          <w:trHeight w:val="284"/>
          <w:jc w:val="right"/>
        </w:trPr>
        <w:tc>
          <w:tcPr>
            <w:tcW w:w="843" w:type="dxa"/>
            <w:vAlign w:val="center"/>
          </w:tcPr>
          <w:p w:rsidRPr="001D0934" w:rsidR="002B658E" w:rsidP="00EF7339" w:rsidRDefault="002B658E" w14:paraId="23316F76" w14:textId="77777777">
            <w:pPr>
              <w:spacing w:after="120" w:line="240" w:lineRule="auto"/>
              <w:jc w:val="center"/>
              <w:rPr>
                <w:rFonts w:ascii="Times New Roman" w:hAnsi="Times New Roman"/>
                <w:sz w:val="20"/>
                <w:szCs w:val="20"/>
              </w:rPr>
            </w:pPr>
            <w:r w:rsidRPr="001D0934">
              <w:rPr>
                <w:rFonts w:ascii="Times New Roman" w:hAnsi="Times New Roman"/>
                <w:sz w:val="20"/>
                <w:szCs w:val="20"/>
              </w:rPr>
              <w:t>323</w:t>
            </w:r>
          </w:p>
        </w:tc>
        <w:tc>
          <w:tcPr>
            <w:tcW w:w="7657" w:type="dxa"/>
            <w:vAlign w:val="center"/>
          </w:tcPr>
          <w:p w:rsidRPr="001D0934" w:rsidR="002B658E" w:rsidP="00EF7339" w:rsidRDefault="002B658E" w14:paraId="3A8DCFDE" w14:textId="77777777">
            <w:pPr>
              <w:spacing w:after="120" w:line="240" w:lineRule="auto"/>
              <w:rPr>
                <w:rFonts w:ascii="Times New Roman" w:hAnsi="Times New Roman"/>
                <w:sz w:val="20"/>
                <w:szCs w:val="20"/>
              </w:rPr>
            </w:pPr>
            <w:r w:rsidRPr="001D0934">
              <w:rPr>
                <w:rFonts w:ascii="Times New Roman" w:hAnsi="Times New Roman"/>
                <w:sz w:val="20"/>
                <w:szCs w:val="20"/>
              </w:rPr>
              <w:t>Saldo vigente de DEP mantenido como reserva de liquidez al 30 de abril del 2023.</w:t>
            </w:r>
          </w:p>
        </w:tc>
      </w:tr>
      <w:tr w:rsidRPr="00A658F9" w:rsidR="002B658E" w:rsidTr="00EF7339" w14:paraId="3368741D" w14:textId="77777777">
        <w:trPr>
          <w:trHeight w:val="163"/>
          <w:jc w:val="right"/>
        </w:trPr>
        <w:tc>
          <w:tcPr>
            <w:tcW w:w="843" w:type="dxa"/>
            <w:vAlign w:val="center"/>
          </w:tcPr>
          <w:p w:rsidRPr="001D0934" w:rsidR="002B658E" w:rsidP="00EF7339" w:rsidRDefault="002B658E" w14:paraId="70005442" w14:textId="77777777">
            <w:pPr>
              <w:spacing w:after="120" w:line="240" w:lineRule="auto"/>
              <w:jc w:val="center"/>
              <w:rPr>
                <w:rFonts w:ascii="Times New Roman" w:hAnsi="Times New Roman"/>
                <w:sz w:val="20"/>
                <w:szCs w:val="20"/>
              </w:rPr>
            </w:pPr>
            <w:r w:rsidRPr="001D0934">
              <w:rPr>
                <w:rFonts w:ascii="Times New Roman" w:hAnsi="Times New Roman"/>
                <w:sz w:val="20"/>
                <w:szCs w:val="20"/>
              </w:rPr>
              <w:t>324</w:t>
            </w:r>
          </w:p>
        </w:tc>
        <w:tc>
          <w:tcPr>
            <w:tcW w:w="7657" w:type="dxa"/>
            <w:vAlign w:val="center"/>
          </w:tcPr>
          <w:p w:rsidRPr="001D0934" w:rsidR="002B658E" w:rsidP="00EF7339" w:rsidRDefault="002B658E" w14:paraId="57AD6E2C" w14:textId="77777777">
            <w:pPr>
              <w:spacing w:after="120" w:line="240" w:lineRule="auto"/>
              <w:rPr>
                <w:rFonts w:ascii="Times New Roman" w:hAnsi="Times New Roman"/>
                <w:sz w:val="20"/>
                <w:szCs w:val="20"/>
              </w:rPr>
            </w:pPr>
            <w:r w:rsidRPr="001D0934">
              <w:rPr>
                <w:rFonts w:ascii="Times New Roman" w:hAnsi="Times New Roman"/>
                <w:sz w:val="20"/>
                <w:szCs w:val="20"/>
              </w:rPr>
              <w:t>Saldo vigente de Títulos de Propiedad mantenidos como reserva de liquidez al 30 de abril del 2023.</w:t>
            </w:r>
          </w:p>
        </w:tc>
      </w:tr>
      <w:tr w:rsidRPr="00A658F9" w:rsidR="002B658E" w:rsidTr="00EF7339" w14:paraId="7C207BF9" w14:textId="77777777">
        <w:trPr>
          <w:trHeight w:val="213"/>
          <w:jc w:val="right"/>
        </w:trPr>
        <w:tc>
          <w:tcPr>
            <w:tcW w:w="843" w:type="dxa"/>
            <w:vAlign w:val="center"/>
          </w:tcPr>
          <w:p w:rsidRPr="001D0934" w:rsidR="002B658E" w:rsidP="00EF7339" w:rsidRDefault="002B658E" w14:paraId="493B461D" w14:textId="77777777">
            <w:pPr>
              <w:spacing w:after="120" w:line="240" w:lineRule="auto"/>
              <w:jc w:val="center"/>
              <w:rPr>
                <w:rFonts w:ascii="Times New Roman" w:hAnsi="Times New Roman"/>
                <w:sz w:val="20"/>
                <w:szCs w:val="20"/>
              </w:rPr>
            </w:pPr>
            <w:r w:rsidRPr="001D0934">
              <w:rPr>
                <w:rFonts w:ascii="Times New Roman" w:hAnsi="Times New Roman"/>
                <w:sz w:val="20"/>
                <w:szCs w:val="20"/>
              </w:rPr>
              <w:t>325</w:t>
            </w:r>
          </w:p>
        </w:tc>
        <w:tc>
          <w:tcPr>
            <w:tcW w:w="7657" w:type="dxa"/>
            <w:vAlign w:val="center"/>
          </w:tcPr>
          <w:p w:rsidRPr="001D0934" w:rsidR="002B658E" w:rsidP="00EF7339" w:rsidRDefault="002B658E" w14:paraId="01FDAE9D" w14:textId="77777777">
            <w:pPr>
              <w:spacing w:after="120" w:line="240" w:lineRule="auto"/>
              <w:rPr>
                <w:rFonts w:ascii="Times New Roman" w:hAnsi="Times New Roman"/>
                <w:sz w:val="20"/>
                <w:szCs w:val="20"/>
              </w:rPr>
            </w:pPr>
            <w:r w:rsidRPr="001D0934">
              <w:rPr>
                <w:rFonts w:ascii="Times New Roman" w:hAnsi="Times New Roman"/>
                <w:sz w:val="20"/>
                <w:szCs w:val="20"/>
              </w:rPr>
              <w:t>Saldo vigente de Certificados Depósito a Plazo mantenidos como reserva de liquidez al 30 de abril del 2023.</w:t>
            </w:r>
          </w:p>
        </w:tc>
      </w:tr>
      <w:bookmarkEnd w:id="0"/>
    </w:tbl>
    <w:p w:rsidRPr="00A658F9" w:rsidR="002B658E" w:rsidP="002B658E" w:rsidRDefault="002B658E" w14:paraId="0540EF7B" w14:textId="77777777">
      <w:pPr>
        <w:widowControl w:val="0"/>
        <w:spacing w:line="240" w:lineRule="auto"/>
        <w:rPr>
          <w:rFonts w:ascii="Times New Roman" w:hAnsi="Times New Roman"/>
          <w:sz w:val="24"/>
          <w:lang w:eastAsia="es-ES"/>
        </w:rPr>
      </w:pPr>
    </w:p>
    <w:p w:rsidRPr="00A658F9" w:rsidR="002B658E" w:rsidP="002B658E" w:rsidRDefault="002B658E" w14:paraId="272FFB01" w14:textId="77777777">
      <w:pPr>
        <w:widowControl w:val="0"/>
        <w:spacing w:line="240" w:lineRule="auto"/>
        <w:ind w:left="357"/>
        <w:rPr>
          <w:rFonts w:ascii="Times New Roman" w:hAnsi="Times New Roman"/>
          <w:sz w:val="24"/>
          <w:lang w:eastAsia="es-ES"/>
        </w:rPr>
      </w:pPr>
      <w:r w:rsidRPr="00A658F9">
        <w:rPr>
          <w:rFonts w:ascii="Times New Roman" w:hAnsi="Times New Roman"/>
          <w:sz w:val="24"/>
          <w:lang w:eastAsia="es-ES"/>
        </w:rPr>
        <w:t xml:space="preserve">Asimismo, en el documento </w:t>
      </w:r>
      <w:r w:rsidRPr="00A658F9">
        <w:rPr>
          <w:rFonts w:ascii="Times New Roman" w:hAnsi="Times New Roman"/>
          <w:i/>
          <w:iCs/>
          <w:sz w:val="24"/>
          <w:lang w:eastAsia="es-ES"/>
        </w:rPr>
        <w:t>Especificación clase de datos Encaje Legal</w:t>
      </w:r>
      <w:r w:rsidRPr="00A658F9">
        <w:rPr>
          <w:rFonts w:ascii="Times New Roman" w:hAnsi="Times New Roman"/>
          <w:sz w:val="24"/>
          <w:lang w:eastAsia="es-ES"/>
        </w:rPr>
        <w:t xml:space="preserve"> (Versión 1.5 marzo 2024), en la sección 2.2.2 </w:t>
      </w:r>
      <w:r w:rsidRPr="00A658F9">
        <w:rPr>
          <w:rFonts w:ascii="Times New Roman" w:hAnsi="Times New Roman"/>
          <w:i/>
          <w:iCs/>
          <w:sz w:val="24"/>
          <w:lang w:eastAsia="es-ES"/>
        </w:rPr>
        <w:t>Campos del bloque de datos del XML “Encaje legal”</w:t>
      </w:r>
      <w:r w:rsidRPr="00A658F9">
        <w:rPr>
          <w:rFonts w:ascii="Times New Roman" w:hAnsi="Times New Roman"/>
          <w:sz w:val="24"/>
          <w:lang w:eastAsia="es-ES"/>
        </w:rPr>
        <w:t xml:space="preserve"> (página 7), se incluyó una especificación del dato que deben reportar exclusivamente las CACS en el campo “</w:t>
      </w:r>
      <w:proofErr w:type="spellStart"/>
      <w:r w:rsidRPr="00A658F9">
        <w:rPr>
          <w:rFonts w:ascii="Times New Roman" w:hAnsi="Times New Roman"/>
          <w:sz w:val="24"/>
          <w:lang w:eastAsia="es-ES"/>
        </w:rPr>
        <w:t>NumeroOperacion</w:t>
      </w:r>
      <w:proofErr w:type="spellEnd"/>
      <w:r w:rsidRPr="00A658F9">
        <w:rPr>
          <w:rFonts w:ascii="Times New Roman" w:hAnsi="Times New Roman"/>
          <w:sz w:val="24"/>
          <w:lang w:eastAsia="es-ES"/>
        </w:rPr>
        <w:t>” para los rubros 322 y 324 del citado Catálogo de Encaje Legal.</w:t>
      </w:r>
    </w:p>
    <w:p w:rsidRPr="00A658F9" w:rsidR="002B658E" w:rsidP="002B658E" w:rsidRDefault="002B658E" w14:paraId="76BD2D7A" w14:textId="77777777">
      <w:pPr>
        <w:widowControl w:val="0"/>
        <w:spacing w:line="240" w:lineRule="auto"/>
        <w:rPr>
          <w:rFonts w:ascii="Times New Roman" w:hAnsi="Times New Roman"/>
          <w:sz w:val="24"/>
          <w:lang w:eastAsia="es-ES"/>
        </w:rPr>
      </w:pPr>
    </w:p>
    <w:p w:rsidRPr="00EF1915" w:rsidR="002B658E" w:rsidP="002B658E" w:rsidRDefault="002B658E" w14:paraId="52869289" w14:textId="77777777">
      <w:pPr>
        <w:pStyle w:val="Prrafodelista"/>
        <w:widowControl w:val="0"/>
        <w:numPr>
          <w:ilvl w:val="0"/>
          <w:numId w:val="5"/>
        </w:numPr>
        <w:spacing w:before="120" w:after="0" w:line="240" w:lineRule="auto"/>
        <w:ind w:left="357" w:hanging="357"/>
        <w:jc w:val="both"/>
        <w:rPr>
          <w:rFonts w:ascii="Times New Roman" w:hAnsi="Times New Roman" w:cs="Times New Roman"/>
          <w:sz w:val="24"/>
          <w:szCs w:val="24"/>
        </w:rPr>
      </w:pPr>
      <w:r w:rsidRPr="00EF1915">
        <w:rPr>
          <w:rFonts w:ascii="Times New Roman" w:hAnsi="Times New Roman" w:cs="Times New Roman"/>
          <w:sz w:val="24"/>
          <w:szCs w:val="24"/>
        </w:rPr>
        <w:t xml:space="preserve">Que durante las siguientes semanas la SUGEF y el BCCR, de manera conjunta, tienen programadas las siguientes actividades: </w:t>
      </w:r>
    </w:p>
    <w:p w:rsidRPr="00EF1915" w:rsidR="002B658E" w:rsidP="002B658E" w:rsidRDefault="002B658E" w14:paraId="0FB07D4B" w14:textId="77777777">
      <w:pPr>
        <w:spacing w:line="240" w:lineRule="auto"/>
        <w:rPr>
          <w:rFonts w:ascii="Times New Roman" w:hAnsi="Times New Roman"/>
          <w:bCs/>
          <w:sz w:val="24"/>
        </w:rPr>
      </w:pPr>
    </w:p>
    <w:p w:rsidR="002B658E" w:rsidP="002B658E" w:rsidRDefault="002B658E" w14:paraId="00C372D4" w14:textId="77777777">
      <w:pPr>
        <w:pStyle w:val="Prrafodelista"/>
        <w:numPr>
          <w:ilvl w:val="0"/>
          <w:numId w:val="6"/>
        </w:numPr>
        <w:spacing w:line="240" w:lineRule="auto"/>
        <w:jc w:val="both"/>
        <w:rPr>
          <w:rFonts w:ascii="Times New Roman" w:hAnsi="Times New Roman"/>
          <w:bCs/>
          <w:sz w:val="24"/>
        </w:rPr>
      </w:pPr>
      <w:bookmarkStart w:name="_Hlk161230656" w:id="1"/>
      <w:r w:rsidRPr="00035B40">
        <w:rPr>
          <w:rFonts w:ascii="Times New Roman" w:hAnsi="Times New Roman"/>
          <w:bCs/>
          <w:sz w:val="24"/>
        </w:rPr>
        <w:t>Reunión virtual con las CACS para atender dudas que puedan presentar a la fecha, ya sea con respecto a los alcances regulatorios del EML, así como, sobre los rubros del Catálogo de Encaje Legal y su registro en el XML Encaje Legal o cualquier otro aspecto relacionado con la aplicación del EML a estas entidades.</w:t>
      </w:r>
    </w:p>
    <w:p w:rsidR="002B658E" w:rsidP="002B658E" w:rsidRDefault="002B658E" w14:paraId="6518D48E" w14:textId="77777777">
      <w:pPr>
        <w:pStyle w:val="Prrafodelista"/>
        <w:numPr>
          <w:ilvl w:val="0"/>
          <w:numId w:val="6"/>
        </w:numPr>
        <w:spacing w:line="240" w:lineRule="auto"/>
        <w:jc w:val="both"/>
        <w:rPr>
          <w:rFonts w:ascii="Times New Roman" w:hAnsi="Times New Roman"/>
          <w:bCs/>
          <w:sz w:val="24"/>
        </w:rPr>
      </w:pPr>
      <w:r w:rsidRPr="00035B40">
        <w:rPr>
          <w:rFonts w:ascii="Times New Roman" w:hAnsi="Times New Roman"/>
          <w:bCs/>
          <w:sz w:val="24"/>
        </w:rPr>
        <w:t>Fechas opcionales:</w:t>
      </w:r>
    </w:p>
    <w:p w:rsidR="002B658E" w:rsidP="002B658E" w:rsidRDefault="002B658E" w14:paraId="049F2581" w14:textId="77777777">
      <w:pPr>
        <w:pStyle w:val="Prrafodelista"/>
        <w:numPr>
          <w:ilvl w:val="0"/>
          <w:numId w:val="7"/>
        </w:numPr>
        <w:spacing w:line="240" w:lineRule="auto"/>
        <w:jc w:val="both"/>
        <w:rPr>
          <w:rFonts w:ascii="Times New Roman" w:hAnsi="Times New Roman"/>
          <w:bCs/>
          <w:sz w:val="24"/>
        </w:rPr>
      </w:pPr>
      <w:r w:rsidRPr="00035B40">
        <w:rPr>
          <w:rFonts w:ascii="Times New Roman" w:hAnsi="Times New Roman"/>
          <w:bCs/>
          <w:sz w:val="24"/>
        </w:rPr>
        <w:t>martes 19 de marzo, de 3:00 pm a 5:00 pm</w:t>
      </w:r>
    </w:p>
    <w:p w:rsidR="002B658E" w:rsidP="002B658E" w:rsidRDefault="002B658E" w14:paraId="686E839A" w14:textId="77777777">
      <w:pPr>
        <w:pStyle w:val="Prrafodelista"/>
        <w:numPr>
          <w:ilvl w:val="0"/>
          <w:numId w:val="7"/>
        </w:numPr>
        <w:spacing w:line="240" w:lineRule="auto"/>
        <w:jc w:val="both"/>
        <w:rPr>
          <w:rFonts w:ascii="Times New Roman" w:hAnsi="Times New Roman"/>
          <w:bCs/>
          <w:sz w:val="24"/>
        </w:rPr>
      </w:pPr>
      <w:r w:rsidRPr="001D0934">
        <w:rPr>
          <w:rFonts w:ascii="Times New Roman" w:hAnsi="Times New Roman"/>
          <w:bCs/>
          <w:sz w:val="24"/>
        </w:rPr>
        <w:t xml:space="preserve">viernes 22 de marzo, de 3:00 pm a 5:00 pm </w:t>
      </w:r>
    </w:p>
    <w:p w:rsidRPr="00A658F9" w:rsidR="002B658E" w:rsidP="002B658E" w:rsidRDefault="002B658E" w14:paraId="72BB9E8F" w14:textId="77777777">
      <w:pPr>
        <w:pStyle w:val="Prrafodelista"/>
        <w:spacing w:after="0" w:line="240" w:lineRule="auto"/>
        <w:ind w:left="1077"/>
        <w:contextualSpacing w:val="0"/>
        <w:jc w:val="both"/>
        <w:rPr>
          <w:rFonts w:ascii="Times New Roman" w:hAnsi="Times New Roman" w:cs="Times New Roman"/>
          <w:bCs/>
          <w:sz w:val="24"/>
          <w:szCs w:val="24"/>
        </w:rPr>
      </w:pPr>
      <w:r w:rsidRPr="00EF1915">
        <w:rPr>
          <w:rFonts w:ascii="Times New Roman" w:hAnsi="Times New Roman" w:cs="Times New Roman"/>
          <w:bCs/>
          <w:sz w:val="24"/>
          <w:szCs w:val="24"/>
          <w:lang w:val="es-ES"/>
        </w:rPr>
        <w:lastRenderedPageBreak/>
        <w:t xml:space="preserve">Para asistir a esta reunión, por favor completar el siguiente formulario de inscripción y enviarlo </w:t>
      </w:r>
      <w:bookmarkEnd w:id="1"/>
      <w:r w:rsidRPr="00EF1915">
        <w:rPr>
          <w:rFonts w:ascii="Times New Roman" w:hAnsi="Times New Roman" w:cs="Times New Roman"/>
          <w:bCs/>
          <w:sz w:val="24"/>
          <w:szCs w:val="24"/>
          <w:lang w:val="es-ES"/>
        </w:rPr>
        <w:t>a los correos</w:t>
      </w:r>
      <w:bookmarkStart w:name="_Hlk161299482" w:id="2"/>
      <w:r w:rsidRPr="00EF1915">
        <w:rPr>
          <w:rFonts w:ascii="Times New Roman" w:hAnsi="Times New Roman" w:cs="Times New Roman"/>
          <w:bCs/>
          <w:sz w:val="24"/>
          <w:szCs w:val="24"/>
          <w:lang w:val="es-ES"/>
        </w:rPr>
        <w:t>:</w:t>
      </w:r>
      <w:r w:rsidRPr="00A658F9">
        <w:rPr>
          <w:rFonts w:ascii="Times New Roman" w:hAnsi="Times New Roman" w:cs="Times New Roman"/>
          <w:bCs/>
          <w:sz w:val="24"/>
          <w:szCs w:val="24"/>
          <w:lang w:val="es-ES"/>
        </w:rPr>
        <w:t xml:space="preserve"> </w:t>
      </w:r>
      <w:hyperlink w:history="1" r:id="rId14">
        <w:r w:rsidRPr="00A658F9">
          <w:rPr>
            <w:rStyle w:val="Hipervnculo"/>
            <w:rFonts w:ascii="Times New Roman" w:hAnsi="Times New Roman" w:cs="Times New Roman"/>
            <w:bCs/>
            <w:sz w:val="24"/>
            <w:szCs w:val="24"/>
            <w:lang w:val="es-ES"/>
          </w:rPr>
          <w:t>castroae@bccr.fi.cr</w:t>
        </w:r>
      </w:hyperlink>
      <w:r w:rsidRPr="00A658F9">
        <w:rPr>
          <w:rFonts w:ascii="Times New Roman" w:hAnsi="Times New Roman" w:cs="Times New Roman"/>
          <w:bCs/>
          <w:sz w:val="24"/>
          <w:szCs w:val="24"/>
          <w:lang w:val="es-ES"/>
        </w:rPr>
        <w:t xml:space="preserve"> (CASTRO ALPIZAR EDDY) y </w:t>
      </w:r>
      <w:hyperlink w:history="1" r:id="rId15">
        <w:r w:rsidRPr="00A658F9">
          <w:rPr>
            <w:rStyle w:val="Hipervnculo"/>
            <w:rFonts w:ascii="Times New Roman" w:hAnsi="Times New Roman" w:cs="Times New Roman"/>
          </w:rPr>
          <w:t>consultasencajelegal@sugef.fi.cr</w:t>
        </w:r>
      </w:hyperlink>
      <w:bookmarkEnd w:id="2"/>
      <w:r w:rsidRPr="00A658F9">
        <w:rPr>
          <w:rFonts w:ascii="Times New Roman" w:hAnsi="Times New Roman" w:cs="Times New Roman"/>
        </w:rPr>
        <w:t xml:space="preserve"> </w:t>
      </w:r>
    </w:p>
    <w:p w:rsidRPr="00A658F9" w:rsidR="002B658E" w:rsidP="002B658E" w:rsidRDefault="002B658E" w14:paraId="22BEB835" w14:textId="77777777">
      <w:pPr>
        <w:pStyle w:val="Prrafodelista"/>
        <w:spacing w:after="0" w:line="240" w:lineRule="auto"/>
        <w:ind w:left="425"/>
        <w:contextualSpacing w:val="0"/>
        <w:jc w:val="both"/>
        <w:rPr>
          <w:rFonts w:ascii="Times New Roman" w:hAnsi="Times New Roman" w:cs="Times New Roman"/>
          <w:bCs/>
          <w:sz w:val="24"/>
        </w:rPr>
      </w:pPr>
      <w:r w:rsidRPr="00A658F9">
        <w:rPr>
          <w:rFonts w:ascii="Times New Roman" w:hAnsi="Times New Roman" w:cs="Times New Roman"/>
          <w:bCs/>
          <w:sz w:val="24"/>
        </w:rPr>
        <w:t xml:space="preserve">       </w:t>
      </w:r>
    </w:p>
    <w:tbl>
      <w:tblPr>
        <w:tblStyle w:val="Tablaconcuadrcula"/>
        <w:tblW w:w="8212" w:type="dxa"/>
        <w:jc w:val="right"/>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ook w:val="04A0" w:firstRow="1" w:lastRow="0" w:firstColumn="1" w:lastColumn="0" w:noHBand="0" w:noVBand="1"/>
      </w:tblPr>
      <w:tblGrid>
        <w:gridCol w:w="1706"/>
        <w:gridCol w:w="1831"/>
        <w:gridCol w:w="1687"/>
        <w:gridCol w:w="1588"/>
        <w:gridCol w:w="1400"/>
      </w:tblGrid>
      <w:tr w:rsidRPr="00A658F9" w:rsidR="002B658E" w:rsidTr="00EF7339" w14:paraId="559733BF" w14:textId="77777777">
        <w:trPr>
          <w:trHeight w:val="848"/>
          <w:jc w:val="right"/>
        </w:trPr>
        <w:tc>
          <w:tcPr>
            <w:tcW w:w="8212" w:type="dxa"/>
            <w:gridSpan w:val="5"/>
          </w:tcPr>
          <w:p w:rsidRPr="00A658F9" w:rsidR="002B658E" w:rsidP="00EF7339" w:rsidRDefault="002B658E" w14:paraId="09AD7E3B" w14:textId="77777777">
            <w:pPr>
              <w:spacing w:line="240" w:lineRule="auto"/>
              <w:jc w:val="center"/>
              <w:rPr>
                <w:rFonts w:ascii="Times New Roman" w:hAnsi="Times New Roman"/>
                <w:b/>
                <w:color w:val="002060"/>
                <w:szCs w:val="22"/>
              </w:rPr>
            </w:pPr>
            <w:r w:rsidRPr="00A658F9">
              <w:rPr>
                <w:rFonts w:ascii="Times New Roman" w:hAnsi="Times New Roman"/>
                <w:b/>
                <w:color w:val="002060"/>
                <w:szCs w:val="22"/>
              </w:rPr>
              <w:t>Inscripción a reunión sobre aplicación del EML a las CACS</w:t>
            </w:r>
            <w:r w:rsidRPr="00A658F9">
              <w:rPr>
                <w:rFonts w:ascii="Times New Roman" w:hAnsi="Times New Roman"/>
                <w:b/>
                <w:color w:val="002060"/>
                <w:szCs w:val="22"/>
                <w:vertAlign w:val="superscript"/>
              </w:rPr>
              <w:t>*</w:t>
            </w:r>
            <w:r w:rsidRPr="00A658F9">
              <w:rPr>
                <w:rFonts w:ascii="Times New Roman" w:hAnsi="Times New Roman"/>
                <w:b/>
                <w:color w:val="002060"/>
                <w:szCs w:val="22"/>
              </w:rPr>
              <w:t xml:space="preserve"> </w:t>
            </w:r>
          </w:p>
          <w:p w:rsidRPr="00A658F9" w:rsidR="002B658E" w:rsidP="00EF7339" w:rsidRDefault="002B658E" w14:paraId="5FD06104" w14:textId="77777777">
            <w:pPr>
              <w:spacing w:line="240" w:lineRule="auto"/>
              <w:jc w:val="center"/>
              <w:rPr>
                <w:rFonts w:ascii="Times New Roman" w:hAnsi="Times New Roman"/>
                <w:b/>
                <w:color w:val="002060"/>
                <w:szCs w:val="22"/>
              </w:rPr>
            </w:pPr>
            <w:r w:rsidRPr="00A658F9">
              <w:rPr>
                <w:rFonts w:ascii="Times New Roman" w:hAnsi="Times New Roman"/>
                <w:b/>
                <w:color w:val="002060"/>
                <w:szCs w:val="22"/>
              </w:rPr>
              <w:t>Organización cooperativa:  _______________________</w:t>
            </w:r>
          </w:p>
          <w:p w:rsidRPr="00A658F9" w:rsidR="002B658E" w:rsidP="00EF7339" w:rsidRDefault="002B658E" w14:paraId="5826D083" w14:textId="77777777">
            <w:pPr>
              <w:spacing w:line="240" w:lineRule="auto"/>
              <w:jc w:val="center"/>
              <w:rPr>
                <w:rFonts w:ascii="Times New Roman" w:hAnsi="Times New Roman"/>
                <w:b/>
                <w:color w:val="002060"/>
                <w:szCs w:val="22"/>
              </w:rPr>
            </w:pPr>
            <w:r w:rsidRPr="00A658F9">
              <w:rPr>
                <w:rFonts w:ascii="Times New Roman" w:hAnsi="Times New Roman"/>
                <w:b/>
                <w:color w:val="002060"/>
                <w:szCs w:val="22"/>
              </w:rPr>
              <w:t>Fecha de asistencia:  ____________________</w:t>
            </w:r>
          </w:p>
          <w:p w:rsidRPr="00A658F9" w:rsidR="002B658E" w:rsidP="00EF7339" w:rsidRDefault="002B658E" w14:paraId="641A074E" w14:textId="77777777">
            <w:pPr>
              <w:spacing w:line="240" w:lineRule="auto"/>
              <w:rPr>
                <w:rFonts w:ascii="Times New Roman" w:hAnsi="Times New Roman"/>
                <w:bCs/>
                <w:color w:val="002060"/>
                <w:szCs w:val="22"/>
              </w:rPr>
            </w:pPr>
          </w:p>
        </w:tc>
      </w:tr>
      <w:tr w:rsidRPr="00A658F9" w:rsidR="002B658E" w:rsidTr="00EF7339" w14:paraId="51AE60F4" w14:textId="77777777">
        <w:trPr>
          <w:trHeight w:val="428"/>
          <w:jc w:val="right"/>
        </w:trPr>
        <w:tc>
          <w:tcPr>
            <w:tcW w:w="1706" w:type="dxa"/>
            <w:shd w:val="clear" w:color="auto" w:fill="DEEAF6" w:themeFill="accent5" w:themeFillTint="33"/>
          </w:tcPr>
          <w:p w:rsidRPr="00A658F9" w:rsidR="002B658E" w:rsidP="00EF7339" w:rsidRDefault="002B658E" w14:paraId="24A8FC42" w14:textId="77777777">
            <w:pPr>
              <w:jc w:val="center"/>
              <w:rPr>
                <w:rFonts w:ascii="Times New Roman" w:hAnsi="Times New Roman"/>
                <w:b/>
                <w:color w:val="002060"/>
                <w:sz w:val="20"/>
                <w:szCs w:val="20"/>
              </w:rPr>
            </w:pPr>
            <w:r w:rsidRPr="00A658F9">
              <w:rPr>
                <w:rFonts w:ascii="Times New Roman" w:hAnsi="Times New Roman"/>
                <w:b/>
                <w:color w:val="002060"/>
                <w:sz w:val="20"/>
                <w:szCs w:val="20"/>
              </w:rPr>
              <w:t>Nombre del funcionario</w:t>
            </w:r>
          </w:p>
        </w:tc>
        <w:tc>
          <w:tcPr>
            <w:tcW w:w="1831" w:type="dxa"/>
            <w:shd w:val="clear" w:color="auto" w:fill="DEEAF6" w:themeFill="accent5" w:themeFillTint="33"/>
          </w:tcPr>
          <w:p w:rsidRPr="00A658F9" w:rsidR="002B658E" w:rsidP="00EF7339" w:rsidRDefault="002B658E" w14:paraId="01E2299A" w14:textId="77777777">
            <w:pPr>
              <w:jc w:val="center"/>
              <w:rPr>
                <w:rFonts w:ascii="Times New Roman" w:hAnsi="Times New Roman"/>
                <w:b/>
                <w:color w:val="002060"/>
                <w:sz w:val="20"/>
                <w:szCs w:val="20"/>
              </w:rPr>
            </w:pPr>
            <w:r w:rsidRPr="00A658F9">
              <w:rPr>
                <w:rFonts w:ascii="Times New Roman" w:hAnsi="Times New Roman"/>
                <w:b/>
                <w:color w:val="002060"/>
                <w:sz w:val="20"/>
                <w:szCs w:val="20"/>
              </w:rPr>
              <w:t>Departamento o área de trabajo</w:t>
            </w:r>
          </w:p>
        </w:tc>
        <w:tc>
          <w:tcPr>
            <w:tcW w:w="1687" w:type="dxa"/>
            <w:shd w:val="clear" w:color="auto" w:fill="DEEAF6" w:themeFill="accent5" w:themeFillTint="33"/>
          </w:tcPr>
          <w:p w:rsidRPr="00A658F9" w:rsidR="002B658E" w:rsidP="00EF7339" w:rsidRDefault="002B658E" w14:paraId="5C62A035" w14:textId="77777777">
            <w:pPr>
              <w:jc w:val="center"/>
              <w:rPr>
                <w:rFonts w:ascii="Times New Roman" w:hAnsi="Times New Roman"/>
                <w:b/>
                <w:color w:val="002060"/>
                <w:sz w:val="20"/>
                <w:szCs w:val="20"/>
              </w:rPr>
            </w:pPr>
            <w:r w:rsidRPr="00A658F9">
              <w:rPr>
                <w:rFonts w:ascii="Times New Roman" w:hAnsi="Times New Roman"/>
                <w:b/>
                <w:color w:val="002060"/>
                <w:sz w:val="20"/>
                <w:szCs w:val="20"/>
              </w:rPr>
              <w:t>Correo electrónico</w:t>
            </w:r>
          </w:p>
        </w:tc>
        <w:tc>
          <w:tcPr>
            <w:tcW w:w="1588" w:type="dxa"/>
            <w:shd w:val="clear" w:color="auto" w:fill="DEEAF6" w:themeFill="accent5" w:themeFillTint="33"/>
          </w:tcPr>
          <w:p w:rsidRPr="00A658F9" w:rsidR="002B658E" w:rsidP="00EF7339" w:rsidRDefault="002B658E" w14:paraId="4EA8F1FD" w14:textId="77777777">
            <w:pPr>
              <w:jc w:val="center"/>
              <w:rPr>
                <w:rFonts w:ascii="Times New Roman" w:hAnsi="Times New Roman"/>
                <w:b/>
                <w:color w:val="002060"/>
                <w:sz w:val="20"/>
                <w:szCs w:val="20"/>
              </w:rPr>
            </w:pPr>
            <w:r w:rsidRPr="00A658F9">
              <w:rPr>
                <w:rFonts w:ascii="Times New Roman" w:hAnsi="Times New Roman"/>
                <w:b/>
                <w:color w:val="002060"/>
                <w:sz w:val="20"/>
                <w:szCs w:val="20"/>
              </w:rPr>
              <w:t>Teléfono de oficina</w:t>
            </w:r>
            <w:r>
              <w:rPr>
                <w:rFonts w:ascii="Times New Roman" w:hAnsi="Times New Roman"/>
                <w:b/>
                <w:color w:val="002060"/>
                <w:sz w:val="20"/>
                <w:szCs w:val="20"/>
              </w:rPr>
              <w:t xml:space="preserve"> (indicar extensión)</w:t>
            </w:r>
          </w:p>
        </w:tc>
        <w:tc>
          <w:tcPr>
            <w:tcW w:w="1400" w:type="dxa"/>
            <w:shd w:val="clear" w:color="auto" w:fill="DEEAF6" w:themeFill="accent5" w:themeFillTint="33"/>
          </w:tcPr>
          <w:p w:rsidRPr="00A658F9" w:rsidR="002B658E" w:rsidP="00EF7339" w:rsidRDefault="002B658E" w14:paraId="4258547F" w14:textId="77777777">
            <w:pPr>
              <w:jc w:val="center"/>
              <w:rPr>
                <w:rFonts w:ascii="Times New Roman" w:hAnsi="Times New Roman"/>
                <w:b/>
                <w:sz w:val="20"/>
                <w:szCs w:val="20"/>
              </w:rPr>
            </w:pPr>
            <w:r w:rsidRPr="00A658F9">
              <w:rPr>
                <w:rFonts w:ascii="Times New Roman" w:hAnsi="Times New Roman"/>
                <w:b/>
                <w:color w:val="002060"/>
                <w:sz w:val="20"/>
                <w:szCs w:val="20"/>
              </w:rPr>
              <w:t>Celular (opcional)</w:t>
            </w:r>
          </w:p>
        </w:tc>
      </w:tr>
      <w:tr w:rsidRPr="00A658F9" w:rsidR="002B658E" w:rsidTr="00EF7339" w14:paraId="5529D363" w14:textId="77777777">
        <w:trPr>
          <w:trHeight w:val="250"/>
          <w:jc w:val="right"/>
        </w:trPr>
        <w:tc>
          <w:tcPr>
            <w:tcW w:w="1706" w:type="dxa"/>
          </w:tcPr>
          <w:p w:rsidRPr="00A658F9" w:rsidR="002B658E" w:rsidP="00EF7339" w:rsidRDefault="002B658E" w14:paraId="29CA6229" w14:textId="77777777">
            <w:pPr>
              <w:rPr>
                <w:rFonts w:ascii="Times New Roman" w:hAnsi="Times New Roman"/>
                <w:bCs/>
                <w:sz w:val="24"/>
              </w:rPr>
            </w:pPr>
          </w:p>
        </w:tc>
        <w:tc>
          <w:tcPr>
            <w:tcW w:w="1831" w:type="dxa"/>
          </w:tcPr>
          <w:p w:rsidRPr="00A658F9" w:rsidR="002B658E" w:rsidP="00EF7339" w:rsidRDefault="002B658E" w14:paraId="5424797D" w14:textId="77777777">
            <w:pPr>
              <w:rPr>
                <w:rFonts w:ascii="Times New Roman" w:hAnsi="Times New Roman"/>
                <w:bCs/>
                <w:szCs w:val="22"/>
              </w:rPr>
            </w:pPr>
          </w:p>
        </w:tc>
        <w:tc>
          <w:tcPr>
            <w:tcW w:w="1687" w:type="dxa"/>
          </w:tcPr>
          <w:p w:rsidRPr="00A658F9" w:rsidR="002B658E" w:rsidP="00EF7339" w:rsidRDefault="002B658E" w14:paraId="16558BE7" w14:textId="77777777">
            <w:pPr>
              <w:rPr>
                <w:rFonts w:ascii="Times New Roman" w:hAnsi="Times New Roman"/>
                <w:bCs/>
                <w:szCs w:val="22"/>
              </w:rPr>
            </w:pPr>
          </w:p>
        </w:tc>
        <w:tc>
          <w:tcPr>
            <w:tcW w:w="1588" w:type="dxa"/>
          </w:tcPr>
          <w:p w:rsidRPr="00A658F9" w:rsidR="002B658E" w:rsidP="00EF7339" w:rsidRDefault="002B658E" w14:paraId="6AE4C813" w14:textId="77777777">
            <w:pPr>
              <w:rPr>
                <w:rFonts w:ascii="Times New Roman" w:hAnsi="Times New Roman"/>
                <w:bCs/>
                <w:szCs w:val="22"/>
              </w:rPr>
            </w:pPr>
          </w:p>
        </w:tc>
        <w:tc>
          <w:tcPr>
            <w:tcW w:w="1400" w:type="dxa"/>
          </w:tcPr>
          <w:p w:rsidRPr="00A658F9" w:rsidR="002B658E" w:rsidP="00EF7339" w:rsidRDefault="002B658E" w14:paraId="65DC72B7" w14:textId="77777777">
            <w:pPr>
              <w:rPr>
                <w:rFonts w:ascii="Times New Roman" w:hAnsi="Times New Roman"/>
                <w:bCs/>
                <w:szCs w:val="22"/>
              </w:rPr>
            </w:pPr>
          </w:p>
        </w:tc>
      </w:tr>
      <w:tr w:rsidRPr="00A658F9" w:rsidR="002B658E" w:rsidTr="00EF7339" w14:paraId="50B128B0" w14:textId="77777777">
        <w:trPr>
          <w:trHeight w:val="241"/>
          <w:jc w:val="right"/>
        </w:trPr>
        <w:tc>
          <w:tcPr>
            <w:tcW w:w="1706" w:type="dxa"/>
          </w:tcPr>
          <w:p w:rsidRPr="00A658F9" w:rsidR="002B658E" w:rsidP="00EF7339" w:rsidRDefault="002B658E" w14:paraId="409F4EF0" w14:textId="77777777">
            <w:pPr>
              <w:rPr>
                <w:rFonts w:ascii="Times New Roman" w:hAnsi="Times New Roman"/>
                <w:bCs/>
                <w:sz w:val="24"/>
              </w:rPr>
            </w:pPr>
          </w:p>
        </w:tc>
        <w:tc>
          <w:tcPr>
            <w:tcW w:w="1831" w:type="dxa"/>
          </w:tcPr>
          <w:p w:rsidRPr="00A658F9" w:rsidR="002B658E" w:rsidP="00EF7339" w:rsidRDefault="002B658E" w14:paraId="3AA41C16" w14:textId="77777777">
            <w:pPr>
              <w:rPr>
                <w:rFonts w:ascii="Times New Roman" w:hAnsi="Times New Roman"/>
                <w:bCs/>
                <w:szCs w:val="22"/>
              </w:rPr>
            </w:pPr>
          </w:p>
        </w:tc>
        <w:tc>
          <w:tcPr>
            <w:tcW w:w="1687" w:type="dxa"/>
          </w:tcPr>
          <w:p w:rsidRPr="00A658F9" w:rsidR="002B658E" w:rsidP="00EF7339" w:rsidRDefault="002B658E" w14:paraId="44D65C19" w14:textId="77777777">
            <w:pPr>
              <w:rPr>
                <w:rFonts w:ascii="Times New Roman" w:hAnsi="Times New Roman"/>
                <w:bCs/>
                <w:szCs w:val="22"/>
              </w:rPr>
            </w:pPr>
          </w:p>
        </w:tc>
        <w:tc>
          <w:tcPr>
            <w:tcW w:w="1588" w:type="dxa"/>
          </w:tcPr>
          <w:p w:rsidRPr="00A658F9" w:rsidR="002B658E" w:rsidP="00EF7339" w:rsidRDefault="002B658E" w14:paraId="6E97F855" w14:textId="77777777">
            <w:pPr>
              <w:rPr>
                <w:rFonts w:ascii="Times New Roman" w:hAnsi="Times New Roman"/>
                <w:bCs/>
                <w:szCs w:val="22"/>
              </w:rPr>
            </w:pPr>
          </w:p>
        </w:tc>
        <w:tc>
          <w:tcPr>
            <w:tcW w:w="1400" w:type="dxa"/>
          </w:tcPr>
          <w:p w:rsidRPr="00A658F9" w:rsidR="002B658E" w:rsidP="00EF7339" w:rsidRDefault="002B658E" w14:paraId="571EB922" w14:textId="77777777">
            <w:pPr>
              <w:rPr>
                <w:rFonts w:ascii="Times New Roman" w:hAnsi="Times New Roman"/>
                <w:bCs/>
                <w:szCs w:val="22"/>
              </w:rPr>
            </w:pPr>
          </w:p>
        </w:tc>
      </w:tr>
      <w:tr w:rsidRPr="00A658F9" w:rsidR="002B658E" w:rsidTr="00EF7339" w14:paraId="030BAF20" w14:textId="77777777">
        <w:trPr>
          <w:trHeight w:val="250"/>
          <w:jc w:val="right"/>
        </w:trPr>
        <w:tc>
          <w:tcPr>
            <w:tcW w:w="1706" w:type="dxa"/>
          </w:tcPr>
          <w:p w:rsidRPr="00A658F9" w:rsidR="002B658E" w:rsidP="00EF7339" w:rsidRDefault="002B658E" w14:paraId="3772D1E3" w14:textId="77777777">
            <w:pPr>
              <w:rPr>
                <w:rFonts w:ascii="Times New Roman" w:hAnsi="Times New Roman"/>
                <w:bCs/>
                <w:sz w:val="24"/>
              </w:rPr>
            </w:pPr>
          </w:p>
        </w:tc>
        <w:tc>
          <w:tcPr>
            <w:tcW w:w="1831" w:type="dxa"/>
          </w:tcPr>
          <w:p w:rsidRPr="00A658F9" w:rsidR="002B658E" w:rsidP="00EF7339" w:rsidRDefault="002B658E" w14:paraId="4AEAC529" w14:textId="77777777">
            <w:pPr>
              <w:rPr>
                <w:rFonts w:ascii="Times New Roman" w:hAnsi="Times New Roman"/>
                <w:bCs/>
                <w:szCs w:val="22"/>
              </w:rPr>
            </w:pPr>
          </w:p>
        </w:tc>
        <w:tc>
          <w:tcPr>
            <w:tcW w:w="1687" w:type="dxa"/>
          </w:tcPr>
          <w:p w:rsidRPr="00A658F9" w:rsidR="002B658E" w:rsidP="00EF7339" w:rsidRDefault="002B658E" w14:paraId="2B9A8B9D" w14:textId="77777777">
            <w:pPr>
              <w:rPr>
                <w:rFonts w:ascii="Times New Roman" w:hAnsi="Times New Roman"/>
                <w:bCs/>
                <w:szCs w:val="22"/>
              </w:rPr>
            </w:pPr>
          </w:p>
        </w:tc>
        <w:tc>
          <w:tcPr>
            <w:tcW w:w="1588" w:type="dxa"/>
          </w:tcPr>
          <w:p w:rsidRPr="00A658F9" w:rsidR="002B658E" w:rsidP="00EF7339" w:rsidRDefault="002B658E" w14:paraId="62EAD814" w14:textId="77777777">
            <w:pPr>
              <w:rPr>
                <w:rFonts w:ascii="Times New Roman" w:hAnsi="Times New Roman"/>
                <w:bCs/>
                <w:szCs w:val="22"/>
              </w:rPr>
            </w:pPr>
          </w:p>
        </w:tc>
        <w:tc>
          <w:tcPr>
            <w:tcW w:w="1400" w:type="dxa"/>
          </w:tcPr>
          <w:p w:rsidRPr="00A658F9" w:rsidR="002B658E" w:rsidP="00EF7339" w:rsidRDefault="002B658E" w14:paraId="6670737F" w14:textId="77777777">
            <w:pPr>
              <w:rPr>
                <w:rFonts w:ascii="Times New Roman" w:hAnsi="Times New Roman"/>
                <w:bCs/>
                <w:szCs w:val="22"/>
              </w:rPr>
            </w:pPr>
          </w:p>
        </w:tc>
      </w:tr>
      <w:tr w:rsidRPr="00A658F9" w:rsidR="002B658E" w:rsidTr="00EF7339" w14:paraId="544D63A6" w14:textId="77777777">
        <w:trPr>
          <w:trHeight w:val="250"/>
          <w:jc w:val="right"/>
        </w:trPr>
        <w:tc>
          <w:tcPr>
            <w:tcW w:w="1706" w:type="dxa"/>
          </w:tcPr>
          <w:p w:rsidRPr="00A658F9" w:rsidR="002B658E" w:rsidP="00EF7339" w:rsidRDefault="002B658E" w14:paraId="724A05E2" w14:textId="77777777">
            <w:pPr>
              <w:rPr>
                <w:rFonts w:ascii="Times New Roman" w:hAnsi="Times New Roman"/>
                <w:bCs/>
                <w:sz w:val="24"/>
              </w:rPr>
            </w:pPr>
          </w:p>
        </w:tc>
        <w:tc>
          <w:tcPr>
            <w:tcW w:w="1831" w:type="dxa"/>
          </w:tcPr>
          <w:p w:rsidRPr="00A658F9" w:rsidR="002B658E" w:rsidP="00EF7339" w:rsidRDefault="002B658E" w14:paraId="1CD0B634" w14:textId="77777777">
            <w:pPr>
              <w:rPr>
                <w:rFonts w:ascii="Times New Roman" w:hAnsi="Times New Roman"/>
                <w:bCs/>
                <w:szCs w:val="22"/>
              </w:rPr>
            </w:pPr>
          </w:p>
        </w:tc>
        <w:tc>
          <w:tcPr>
            <w:tcW w:w="1687" w:type="dxa"/>
          </w:tcPr>
          <w:p w:rsidRPr="00A658F9" w:rsidR="002B658E" w:rsidP="00EF7339" w:rsidRDefault="002B658E" w14:paraId="0DEAA01E" w14:textId="77777777">
            <w:pPr>
              <w:rPr>
                <w:rFonts w:ascii="Times New Roman" w:hAnsi="Times New Roman"/>
                <w:bCs/>
                <w:szCs w:val="22"/>
              </w:rPr>
            </w:pPr>
          </w:p>
        </w:tc>
        <w:tc>
          <w:tcPr>
            <w:tcW w:w="1588" w:type="dxa"/>
          </w:tcPr>
          <w:p w:rsidRPr="00A658F9" w:rsidR="002B658E" w:rsidP="00EF7339" w:rsidRDefault="002B658E" w14:paraId="7D0D4D5A" w14:textId="77777777">
            <w:pPr>
              <w:rPr>
                <w:rFonts w:ascii="Times New Roman" w:hAnsi="Times New Roman"/>
                <w:bCs/>
                <w:szCs w:val="22"/>
              </w:rPr>
            </w:pPr>
          </w:p>
        </w:tc>
        <w:tc>
          <w:tcPr>
            <w:tcW w:w="1400" w:type="dxa"/>
          </w:tcPr>
          <w:p w:rsidRPr="00A658F9" w:rsidR="002B658E" w:rsidP="00EF7339" w:rsidRDefault="002B658E" w14:paraId="025D6737" w14:textId="77777777">
            <w:pPr>
              <w:rPr>
                <w:rFonts w:ascii="Times New Roman" w:hAnsi="Times New Roman"/>
                <w:bCs/>
                <w:szCs w:val="22"/>
              </w:rPr>
            </w:pPr>
          </w:p>
        </w:tc>
      </w:tr>
      <w:tr w:rsidRPr="00A658F9" w:rsidR="002B658E" w:rsidTr="00EF7339" w14:paraId="21F374C8" w14:textId="77777777">
        <w:trPr>
          <w:trHeight w:val="250"/>
          <w:jc w:val="right"/>
        </w:trPr>
        <w:tc>
          <w:tcPr>
            <w:tcW w:w="1706" w:type="dxa"/>
          </w:tcPr>
          <w:p w:rsidRPr="00A658F9" w:rsidR="002B658E" w:rsidP="00EF7339" w:rsidRDefault="002B658E" w14:paraId="37F4B9C3" w14:textId="77777777">
            <w:pPr>
              <w:rPr>
                <w:rFonts w:ascii="Times New Roman" w:hAnsi="Times New Roman"/>
                <w:bCs/>
                <w:sz w:val="24"/>
              </w:rPr>
            </w:pPr>
          </w:p>
        </w:tc>
        <w:tc>
          <w:tcPr>
            <w:tcW w:w="1831" w:type="dxa"/>
          </w:tcPr>
          <w:p w:rsidRPr="00A658F9" w:rsidR="002B658E" w:rsidP="00EF7339" w:rsidRDefault="002B658E" w14:paraId="4287523E" w14:textId="77777777">
            <w:pPr>
              <w:rPr>
                <w:rFonts w:ascii="Times New Roman" w:hAnsi="Times New Roman"/>
                <w:bCs/>
                <w:szCs w:val="22"/>
              </w:rPr>
            </w:pPr>
          </w:p>
        </w:tc>
        <w:tc>
          <w:tcPr>
            <w:tcW w:w="1687" w:type="dxa"/>
          </w:tcPr>
          <w:p w:rsidRPr="00A658F9" w:rsidR="002B658E" w:rsidP="00EF7339" w:rsidRDefault="002B658E" w14:paraId="5C6AFDA5" w14:textId="77777777">
            <w:pPr>
              <w:rPr>
                <w:rFonts w:ascii="Times New Roman" w:hAnsi="Times New Roman"/>
                <w:bCs/>
                <w:szCs w:val="22"/>
              </w:rPr>
            </w:pPr>
          </w:p>
        </w:tc>
        <w:tc>
          <w:tcPr>
            <w:tcW w:w="1588" w:type="dxa"/>
          </w:tcPr>
          <w:p w:rsidRPr="00A658F9" w:rsidR="002B658E" w:rsidP="00EF7339" w:rsidRDefault="002B658E" w14:paraId="0F919D14" w14:textId="77777777">
            <w:pPr>
              <w:rPr>
                <w:rFonts w:ascii="Times New Roman" w:hAnsi="Times New Roman"/>
                <w:bCs/>
                <w:szCs w:val="22"/>
              </w:rPr>
            </w:pPr>
          </w:p>
        </w:tc>
        <w:tc>
          <w:tcPr>
            <w:tcW w:w="1400" w:type="dxa"/>
          </w:tcPr>
          <w:p w:rsidRPr="00A658F9" w:rsidR="002B658E" w:rsidP="00EF7339" w:rsidRDefault="002B658E" w14:paraId="6043BE96" w14:textId="77777777">
            <w:pPr>
              <w:rPr>
                <w:rFonts w:ascii="Times New Roman" w:hAnsi="Times New Roman"/>
                <w:bCs/>
                <w:szCs w:val="22"/>
              </w:rPr>
            </w:pPr>
          </w:p>
        </w:tc>
      </w:tr>
      <w:tr w:rsidRPr="00A658F9" w:rsidR="002B658E" w:rsidTr="00EF7339" w14:paraId="451A3E04" w14:textId="77777777">
        <w:trPr>
          <w:trHeight w:val="40"/>
          <w:jc w:val="right"/>
        </w:trPr>
        <w:tc>
          <w:tcPr>
            <w:tcW w:w="8212" w:type="dxa"/>
            <w:gridSpan w:val="5"/>
          </w:tcPr>
          <w:p w:rsidRPr="00A658F9" w:rsidR="002B658E" w:rsidP="00EF7339" w:rsidRDefault="002B658E" w14:paraId="13D3F2E7" w14:textId="77777777">
            <w:pPr>
              <w:spacing w:before="60" w:after="60"/>
              <w:rPr>
                <w:rFonts w:ascii="Times New Roman" w:hAnsi="Times New Roman"/>
                <w:bCs/>
                <w:sz w:val="18"/>
                <w:szCs w:val="18"/>
              </w:rPr>
            </w:pPr>
            <w:r w:rsidRPr="00A658F9">
              <w:rPr>
                <w:rFonts w:ascii="Times New Roman" w:hAnsi="Times New Roman"/>
                <w:bCs/>
                <w:color w:val="002060"/>
                <w:sz w:val="18"/>
                <w:szCs w:val="18"/>
                <w:vertAlign w:val="superscript"/>
              </w:rPr>
              <w:t>*/</w:t>
            </w:r>
            <w:r w:rsidRPr="00A658F9">
              <w:rPr>
                <w:rFonts w:ascii="Times New Roman" w:hAnsi="Times New Roman"/>
                <w:bCs/>
                <w:color w:val="002060"/>
                <w:sz w:val="18"/>
                <w:szCs w:val="18"/>
              </w:rPr>
              <w:t xml:space="preserve"> Inscribir máximo </w:t>
            </w:r>
            <w:r>
              <w:rPr>
                <w:rFonts w:ascii="Times New Roman" w:hAnsi="Times New Roman"/>
                <w:bCs/>
                <w:color w:val="002060"/>
                <w:sz w:val="18"/>
                <w:szCs w:val="18"/>
              </w:rPr>
              <w:t>5</w:t>
            </w:r>
            <w:r w:rsidRPr="00A658F9">
              <w:rPr>
                <w:rFonts w:ascii="Times New Roman" w:hAnsi="Times New Roman"/>
                <w:bCs/>
                <w:color w:val="002060"/>
                <w:sz w:val="18"/>
                <w:szCs w:val="18"/>
              </w:rPr>
              <w:t xml:space="preserve"> personas.</w:t>
            </w:r>
            <w:r>
              <w:rPr>
                <w:rFonts w:ascii="Times New Roman" w:hAnsi="Times New Roman"/>
                <w:bCs/>
                <w:color w:val="002060"/>
                <w:sz w:val="18"/>
                <w:szCs w:val="18"/>
              </w:rPr>
              <w:t xml:space="preserve"> </w:t>
            </w:r>
          </w:p>
        </w:tc>
      </w:tr>
    </w:tbl>
    <w:p w:rsidR="002B658E" w:rsidP="002B658E" w:rsidRDefault="002B658E" w14:paraId="1AC9FED7" w14:textId="77777777">
      <w:pPr>
        <w:pStyle w:val="Prrafodelista"/>
        <w:spacing w:after="120" w:line="240" w:lineRule="auto"/>
        <w:ind w:left="357"/>
        <w:contextualSpacing w:val="0"/>
        <w:jc w:val="both"/>
        <w:rPr>
          <w:rFonts w:ascii="Times New Roman" w:hAnsi="Times New Roman" w:cs="Times New Roman"/>
          <w:bCs/>
          <w:sz w:val="24"/>
          <w:szCs w:val="24"/>
          <w:lang w:val="es-ES"/>
        </w:rPr>
      </w:pPr>
      <w:bookmarkStart w:name="_Hlk161231426" w:id="3"/>
    </w:p>
    <w:p w:rsidRPr="001D0934" w:rsidR="002B658E" w:rsidP="002B658E" w:rsidRDefault="002B658E" w14:paraId="52423A59" w14:textId="77777777">
      <w:pPr>
        <w:pStyle w:val="Prrafodelista"/>
        <w:numPr>
          <w:ilvl w:val="0"/>
          <w:numId w:val="6"/>
        </w:numPr>
        <w:spacing w:line="240" w:lineRule="auto"/>
        <w:jc w:val="both"/>
        <w:rPr>
          <w:rFonts w:ascii="Times New Roman" w:hAnsi="Times New Roman"/>
          <w:bCs/>
          <w:sz w:val="24"/>
        </w:rPr>
      </w:pPr>
      <w:r w:rsidRPr="001D0934">
        <w:rPr>
          <w:rFonts w:ascii="Times New Roman" w:hAnsi="Times New Roman"/>
          <w:bCs/>
          <w:sz w:val="24"/>
        </w:rPr>
        <w:t>Habilitación de pruebas de envío quincenal del XML de Encaje Legal, en ambiente de simulación del SICVECA</w:t>
      </w:r>
      <w:r w:rsidRPr="001D0934">
        <w:rPr>
          <w:vertAlign w:val="superscript"/>
        </w:rPr>
        <w:footnoteReference w:id="1"/>
      </w:r>
      <w:r w:rsidRPr="001D0934">
        <w:rPr>
          <w:rFonts w:ascii="Times New Roman" w:hAnsi="Times New Roman"/>
          <w:bCs/>
          <w:sz w:val="24"/>
        </w:rPr>
        <w:t>.</w:t>
      </w:r>
    </w:p>
    <w:p w:rsidRPr="001D0934" w:rsidR="002B658E" w:rsidP="002B658E" w:rsidRDefault="002B658E" w14:paraId="51C543AB" w14:textId="77777777">
      <w:pPr>
        <w:pStyle w:val="Prrafodelista"/>
        <w:numPr>
          <w:ilvl w:val="0"/>
          <w:numId w:val="7"/>
        </w:numPr>
        <w:spacing w:line="240" w:lineRule="auto"/>
        <w:jc w:val="both"/>
        <w:rPr>
          <w:rFonts w:ascii="Times New Roman" w:hAnsi="Times New Roman"/>
          <w:bCs/>
          <w:sz w:val="24"/>
        </w:rPr>
      </w:pPr>
      <w:r w:rsidRPr="001D0934">
        <w:rPr>
          <w:rFonts w:ascii="Times New Roman" w:hAnsi="Times New Roman"/>
          <w:bCs/>
          <w:sz w:val="24"/>
        </w:rPr>
        <w:t>Período: del lunes 18 de marzo al martes 30 de abril del 2024</w:t>
      </w:r>
      <w:r w:rsidRPr="001D0934">
        <w:rPr>
          <w:rFonts w:ascii="Times New Roman" w:hAnsi="Times New Roman"/>
          <w:bCs/>
          <w:sz w:val="24"/>
          <w:vertAlign w:val="superscript"/>
        </w:rPr>
        <w:footnoteReference w:id="2"/>
      </w:r>
      <w:r w:rsidRPr="001D0934">
        <w:rPr>
          <w:rFonts w:ascii="Times New Roman" w:hAnsi="Times New Roman"/>
          <w:bCs/>
          <w:sz w:val="24"/>
        </w:rPr>
        <w:t>.</w:t>
      </w:r>
    </w:p>
    <w:bookmarkEnd w:id="3"/>
    <w:p w:rsidRPr="001D0934" w:rsidR="002B658E" w:rsidP="002B658E" w:rsidRDefault="002B658E" w14:paraId="17C1E113" w14:textId="77777777">
      <w:pPr>
        <w:pStyle w:val="Prrafodelista"/>
        <w:numPr>
          <w:ilvl w:val="0"/>
          <w:numId w:val="6"/>
        </w:numPr>
        <w:spacing w:line="240" w:lineRule="auto"/>
        <w:jc w:val="both"/>
        <w:rPr>
          <w:rFonts w:ascii="Times New Roman" w:hAnsi="Times New Roman"/>
          <w:bCs/>
          <w:sz w:val="24"/>
        </w:rPr>
      </w:pPr>
      <w:r w:rsidRPr="001D0934">
        <w:rPr>
          <w:rFonts w:ascii="Times New Roman" w:hAnsi="Times New Roman"/>
          <w:bCs/>
          <w:sz w:val="24"/>
        </w:rPr>
        <w:t>Habilitación del envío quincenal del XML Encaje Legal, en ambiente de producción del SICVECA.</w:t>
      </w:r>
    </w:p>
    <w:p w:rsidR="002B658E" w:rsidP="002B658E" w:rsidRDefault="002B658E" w14:paraId="21F71453" w14:textId="77777777">
      <w:pPr>
        <w:pStyle w:val="Prrafodelista"/>
        <w:numPr>
          <w:ilvl w:val="0"/>
          <w:numId w:val="7"/>
        </w:numPr>
        <w:spacing w:line="240" w:lineRule="auto"/>
        <w:jc w:val="both"/>
        <w:rPr>
          <w:rFonts w:ascii="Times New Roman" w:hAnsi="Times New Roman"/>
          <w:bCs/>
          <w:sz w:val="24"/>
        </w:rPr>
      </w:pPr>
      <w:r w:rsidRPr="001D0934">
        <w:rPr>
          <w:rFonts w:ascii="Times New Roman" w:hAnsi="Times New Roman"/>
          <w:bCs/>
          <w:sz w:val="24"/>
        </w:rPr>
        <w:t xml:space="preserve">Envío del XML Encaje Legal, correspondiente a la primera quincena de abril, a partir del martes 16 de abril del 2024 y hasta el 23 de ese mes inclusive. </w:t>
      </w:r>
    </w:p>
    <w:p w:rsidRPr="002B658E" w:rsidR="00181ABF" w:rsidP="002B658E" w:rsidRDefault="002B658E" w14:paraId="6F43F091" w14:textId="06F28C25">
      <w:pPr>
        <w:pStyle w:val="Prrafodelista"/>
        <w:numPr>
          <w:ilvl w:val="0"/>
          <w:numId w:val="7"/>
        </w:numPr>
        <w:spacing w:line="240" w:lineRule="auto"/>
        <w:jc w:val="both"/>
        <w:rPr>
          <w:rFonts w:ascii="Times New Roman" w:hAnsi="Times New Roman"/>
          <w:bCs/>
          <w:sz w:val="24"/>
        </w:rPr>
      </w:pPr>
      <w:r w:rsidRPr="002B658E">
        <w:rPr>
          <w:rFonts w:ascii="Times New Roman" w:hAnsi="Times New Roman"/>
          <w:bCs/>
          <w:sz w:val="24"/>
        </w:rPr>
        <w:t>Envío del XML Encaje Legal, correspondiente a la segunda quincena de abril, a partir del miércoles 1 de mayo del 2024 y hasta el miércoles 8 de ese mes inclusive.</w:t>
      </w:r>
    </w:p>
    <w:p w:rsidRPr="002E2B0A" w:rsidR="00181ABF" w:rsidP="00181ABF" w:rsidRDefault="002B658E" w14:paraId="1C70D620" w14:textId="0F52B8F5">
      <w:pPr>
        <w:pStyle w:val="Texto"/>
        <w:spacing w:before="0" w:after="0" w:line="240" w:lineRule="auto"/>
        <w:rPr>
          <w:sz w:val="24"/>
        </w:rPr>
      </w:pPr>
      <w:r>
        <w:rPr>
          <w:noProof/>
          <w:lang w:eastAsia="es-CR"/>
        </w:rPr>
        <w:drawing>
          <wp:anchor distT="0" distB="0" distL="114300" distR="114300" simplePos="0" relativeHeight="251659264" behindDoc="1" locked="0" layoutInCell="1" allowOverlap="1" wp14:editId="0C0306E3" wp14:anchorId="29CE140B">
            <wp:simplePos x="0" y="0"/>
            <wp:positionH relativeFrom="column">
              <wp:posOffset>-192405</wp:posOffset>
            </wp:positionH>
            <wp:positionV relativeFrom="paragraph">
              <wp:posOffset>196215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181ABF">
        <w:rPr>
          <w:sz w:val="24"/>
        </w:rPr>
        <w:t>Atentamente,</w:t>
      </w:r>
    </w:p>
    <w:p w:rsidR="00181ABF" w:rsidP="00181ABF" w:rsidRDefault="00181ABF" w14:paraId="2FD34F62" w14:textId="481EE77E">
      <w:pPr>
        <w:spacing w:line="240" w:lineRule="auto"/>
        <w:rPr>
          <w:sz w:val="24"/>
        </w:rPr>
      </w:pPr>
    </w:p>
    <w:p w:rsidR="00D67CC3" w:rsidP="00181ABF" w:rsidRDefault="00D67CC3" w14:paraId="06342E96" w14:textId="0D908725">
      <w:pPr>
        <w:pStyle w:val="Negrita"/>
        <w:spacing w:line="240" w:lineRule="auto"/>
        <w:jc w:val="left"/>
        <w:rPr>
          <w:b w:val="0"/>
          <w:sz w:val="24"/>
        </w:rPr>
      </w:pPr>
    </w:p>
    <w:p w:rsidRPr="002733E1" w:rsidR="00181ABF" w:rsidP="00181ABF" w:rsidRDefault="00181ABF" w14:paraId="1AEBECF6" w14:textId="2CE55083">
      <w:pPr>
        <w:pStyle w:val="Negrita"/>
        <w:spacing w:line="240" w:lineRule="auto"/>
        <w:jc w:val="left"/>
        <w:rPr>
          <w:b w:val="0"/>
          <w:sz w:val="24"/>
        </w:rPr>
      </w:pPr>
      <w:r w:rsidRPr="002733E1">
        <w:rPr>
          <w:b w:val="0"/>
          <w:sz w:val="24"/>
        </w:rPr>
        <w:t>José Armando Fallas Martínez</w:t>
      </w:r>
    </w:p>
    <w:p w:rsidR="00181ABF" w:rsidP="00181ABF" w:rsidRDefault="00181ABF" w14:paraId="67EE633F" w14:textId="168D4CA9">
      <w:pPr>
        <w:pStyle w:val="Negrita"/>
        <w:spacing w:line="240" w:lineRule="auto"/>
        <w:jc w:val="left"/>
        <w:rPr>
          <w:noProof/>
          <w:lang w:eastAsia="es-CR"/>
        </w:rPr>
      </w:pPr>
      <w:r>
        <w:rPr>
          <w:sz w:val="24"/>
        </w:rPr>
        <w:t>Intendente General</w:t>
      </w:r>
      <w:r w:rsidRPr="00A35D0A">
        <w:rPr>
          <w:sz w:val="24"/>
        </w:rPr>
        <w:t xml:space="preserve"> </w:t>
      </w:r>
      <w:r>
        <w:rPr>
          <w:noProof/>
          <w:lang w:eastAsia="es-CR"/>
        </w:rPr>
        <w:t xml:space="preserve"> </w:t>
      </w:r>
    </w:p>
    <w:p w:rsidR="00D67CC3" w:rsidP="00181ABF" w:rsidRDefault="00D67CC3" w14:paraId="5FA77E5F" w14:textId="040EEC7A">
      <w:pPr>
        <w:pStyle w:val="Negrita"/>
        <w:spacing w:line="240" w:lineRule="auto"/>
        <w:jc w:val="left"/>
        <w:rPr>
          <w:noProof/>
          <w:lang w:eastAsia="es-CR"/>
        </w:rPr>
      </w:pPr>
    </w:p>
    <w:p w:rsidRPr="00966A04" w:rsidR="00966A04" w:rsidP="00181ABF" w:rsidRDefault="00966A04" w14:paraId="4B92B77F" w14:textId="0D0EC50A">
      <w:pPr>
        <w:pStyle w:val="Negrita"/>
        <w:spacing w:line="240" w:lineRule="auto"/>
        <w:jc w:val="left"/>
        <w:rPr>
          <w:b w:val="0"/>
          <w:bCs/>
          <w:noProof/>
          <w:sz w:val="18"/>
          <w:szCs w:val="20"/>
          <w:lang w:eastAsia="es-CR"/>
        </w:rPr>
      </w:pPr>
      <w:r w:rsidRPr="00966A04">
        <w:rPr>
          <w:b w:val="0"/>
          <w:bCs/>
          <w:noProof/>
          <w:sz w:val="18"/>
          <w:szCs w:val="20"/>
          <w:lang w:eastAsia="es-CR"/>
        </w:rPr>
        <w:t>c. División Supervisión I</w:t>
      </w:r>
    </w:p>
    <w:p w:rsidR="00181ABF" w:rsidP="00181ABF" w:rsidRDefault="00181ABF" w14:paraId="37A7DE00" w14:textId="24709D64">
      <w:pPr>
        <w:pStyle w:val="Negrita"/>
        <w:spacing w:line="240" w:lineRule="auto"/>
      </w:pPr>
    </w:p>
    <w:p w:rsidRPr="00A658F9" w:rsidR="002B658E" w:rsidP="002B658E" w:rsidRDefault="002B658E" w14:paraId="438E681B" w14:textId="77777777">
      <w:pPr>
        <w:pStyle w:val="CC"/>
        <w:spacing w:line="240" w:lineRule="auto"/>
        <w:rPr>
          <w:rFonts w:ascii="Times New Roman" w:hAnsi="Times New Roman"/>
          <w:sz w:val="16"/>
          <w:szCs w:val="16"/>
        </w:rPr>
      </w:pPr>
      <w:r w:rsidRPr="00A658F9">
        <w:rPr>
          <w:rFonts w:ascii="Times New Roman" w:hAnsi="Times New Roman"/>
          <w:b/>
          <w:bCs/>
          <w:sz w:val="14"/>
          <w:szCs w:val="14"/>
        </w:rPr>
        <w:t>JSC/PSD/IML/HCM/JPSV/</w:t>
      </w:r>
      <w:proofErr w:type="spellStart"/>
      <w:r w:rsidRPr="00A658F9">
        <w:rPr>
          <w:rFonts w:ascii="Times New Roman" w:hAnsi="Times New Roman"/>
          <w:b/>
          <w:bCs/>
          <w:sz w:val="14"/>
          <w:szCs w:val="14"/>
        </w:rPr>
        <w:t>kfm</w:t>
      </w:r>
      <w:proofErr w:type="spellEnd"/>
      <w:r w:rsidRPr="00A658F9">
        <w:rPr>
          <w:rFonts w:ascii="Times New Roman" w:hAnsi="Times New Roman"/>
          <w:b/>
          <w:bCs/>
          <w:sz w:val="14"/>
          <w:szCs w:val="14"/>
        </w:rPr>
        <w:t>*</w:t>
      </w:r>
    </w:p>
    <w:p w:rsidR="00E42AAC" w:rsidRDefault="00E42AAC" w14:paraId="420DE319" w14:textId="77777777"/>
    <w:sectPr w:rsidR="00E42AAC" w:rsidSect="002B658E">
      <w:headerReference w:type="default" r:id="rId17"/>
      <w:footerReference w:type="default" r:id="rId18"/>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A08AD" w14:textId="77777777" w:rsidR="0084242B" w:rsidRDefault="0084242B" w:rsidP="00181ABF">
      <w:pPr>
        <w:spacing w:line="240" w:lineRule="auto"/>
      </w:pPr>
      <w:r>
        <w:separator/>
      </w:r>
    </w:p>
  </w:endnote>
  <w:endnote w:type="continuationSeparator" w:id="0">
    <w:p w14:paraId="75B41E18" w14:textId="77777777" w:rsidR="0084242B" w:rsidRDefault="0084242B"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5352D3" w:rsidTr="005352D3" w14:paraId="6CFB5467" w14:textId="77777777">
      <w:tc>
        <w:tcPr>
          <w:tcW w:w="7356" w:type="dxa"/>
        </w:tcPr>
        <w:p w:rsidRPr="00637782" w:rsidR="00641717" w:rsidP="00641717" w:rsidRDefault="00641717" w14:paraId="69A0F5EA"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51544A8A" wp14:anchorId="26E243EB">
                    <wp:simplePos x="0" y="0"/>
                    <wp:positionH relativeFrom="page">
                      <wp:posOffset>0</wp:posOffset>
                    </wp:positionH>
                    <wp:positionV relativeFrom="page">
                      <wp:posOffset>9594215</wp:posOffset>
                    </wp:positionV>
                    <wp:extent cx="7772400" cy="273050"/>
                    <wp:effectExtent l="0" t="0" r="0" b="12700"/>
                    <wp:wrapNone/>
                    <wp:docPr id="4" name="MSIPCM1ab747df9f17c3f36dfb4cc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41717" w:rsidR="00641717" w:rsidP="00641717" w:rsidRDefault="00641717" w14:paraId="30B3645C" w14:textId="77777777">
                                <w:pPr>
                                  <w:jc w:val="center"/>
                                  <w:rPr>
                                    <w:rFonts w:ascii="Calibri" w:hAnsi="Calibri" w:cs="Calibri"/>
                                    <w:color w:val="000000"/>
                                    <w:sz w:val="20"/>
                                  </w:rPr>
                                </w:pPr>
                                <w:r w:rsidRPr="0064171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6E243EB">
                    <v:stroke joinstyle="miter"/>
                    <v:path gradientshapeok="t" o:connecttype="rect"/>
                  </v:shapetype>
                  <v:shape id="MSIPCM1ab747df9f17c3f36dfb4cc2"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641717" w:rsidR="00641717" w:rsidP="00641717" w:rsidRDefault="00641717" w14:paraId="30B3645C" w14:textId="77777777">
                          <w:pPr>
                            <w:jc w:val="center"/>
                            <w:rPr>
                              <w:rFonts w:ascii="Calibri" w:hAnsi="Calibri" w:cs="Calibri"/>
                              <w:color w:val="000000"/>
                              <w:sz w:val="20"/>
                            </w:rPr>
                          </w:pPr>
                          <w:r w:rsidRPr="00641717">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5352D3" w:rsidP="00641717" w:rsidRDefault="005352D3" w14:paraId="5F070519" w14:textId="77777777">
          <w:pPr>
            <w:pStyle w:val="Piedepgina"/>
            <w:rPr>
              <w:b/>
              <w:color w:val="7F7F7F" w:themeColor="text1" w:themeTint="80"/>
              <w:sz w:val="16"/>
              <w:szCs w:val="16"/>
            </w:rPr>
          </w:pPr>
        </w:p>
      </w:tc>
      <w:tc>
        <w:tcPr>
          <w:tcW w:w="1472" w:type="dxa"/>
        </w:tcPr>
        <w:p w:rsidRPr="009349F3" w:rsidR="005352D3" w:rsidP="00181ABF" w:rsidRDefault="005352D3" w14:paraId="2B5B69EC"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5352D3" w14:paraId="00E1F32D" w14:textId="77777777">
    <w:pPr>
      <w:pStyle w:val="Piedepgina"/>
    </w:pPr>
    <w:r>
      <w:rPr>
        <w:noProof/>
      </w:rPr>
      <w:drawing>
        <wp:anchor distT="0" distB="0" distL="114300" distR="114300" simplePos="0" relativeHeight="251659264" behindDoc="1" locked="0" layoutInCell="1" allowOverlap="1" wp14:editId="3B687092" wp14:anchorId="29BC6481">
          <wp:simplePos x="0" y="0"/>
          <wp:positionH relativeFrom="page">
            <wp:align>right</wp:align>
          </wp:positionH>
          <wp:positionV relativeFrom="paragraph">
            <wp:posOffset>-304800</wp:posOffset>
          </wp:positionV>
          <wp:extent cx="1985645" cy="900161"/>
          <wp:effectExtent l="0" t="0" r="0" b="0"/>
          <wp:wrapNone/>
          <wp:docPr id="13" name="Imagen 1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50927" w14:textId="77777777" w:rsidR="0084242B" w:rsidRDefault="0084242B" w:rsidP="00181ABF">
      <w:pPr>
        <w:spacing w:line="240" w:lineRule="auto"/>
      </w:pPr>
      <w:r>
        <w:separator/>
      </w:r>
    </w:p>
  </w:footnote>
  <w:footnote w:type="continuationSeparator" w:id="0">
    <w:p w14:paraId="2A0587BE" w14:textId="77777777" w:rsidR="0084242B" w:rsidRDefault="0084242B" w:rsidP="00181ABF">
      <w:pPr>
        <w:spacing w:line="240" w:lineRule="auto"/>
      </w:pPr>
      <w:r>
        <w:continuationSeparator/>
      </w:r>
    </w:p>
  </w:footnote>
  <w:footnote w:id="1">
    <w:p w14:paraId="7C5541A1" w14:textId="77777777" w:rsidR="002B658E" w:rsidRPr="00A658F9" w:rsidRDefault="002B658E" w:rsidP="002B658E">
      <w:pPr>
        <w:pStyle w:val="Textonotapie"/>
        <w:jc w:val="both"/>
        <w:rPr>
          <w:rFonts w:ascii="Times New Roman" w:hAnsi="Times New Roman"/>
          <w:color w:val="002060"/>
        </w:rPr>
      </w:pPr>
      <w:r w:rsidRPr="00A658F9">
        <w:rPr>
          <w:rStyle w:val="Refdenotaalpie"/>
          <w:rFonts w:ascii="Times New Roman" w:hAnsi="Times New Roman"/>
          <w:color w:val="002060"/>
        </w:rPr>
        <w:footnoteRef/>
      </w:r>
      <w:r w:rsidRPr="00A658F9">
        <w:rPr>
          <w:rFonts w:ascii="Times New Roman" w:hAnsi="Times New Roman"/>
          <w:color w:val="002060"/>
        </w:rPr>
        <w:t xml:space="preserve"> SICVECA: Sistema de Captura, Verificación y Carga de Datos</w:t>
      </w:r>
      <w:r>
        <w:rPr>
          <w:rFonts w:ascii="Times New Roman" w:hAnsi="Times New Roman"/>
          <w:color w:val="002060"/>
        </w:rPr>
        <w:t>.</w:t>
      </w:r>
    </w:p>
    <w:p w14:paraId="6DC3B17A" w14:textId="77777777" w:rsidR="002B658E" w:rsidRPr="00A658F9" w:rsidRDefault="002B658E" w:rsidP="002B658E">
      <w:pPr>
        <w:pStyle w:val="Textonotapie"/>
        <w:jc w:val="both"/>
        <w:rPr>
          <w:rFonts w:ascii="Times New Roman" w:hAnsi="Times New Roman"/>
          <w:color w:val="002060"/>
          <w:sz w:val="2"/>
          <w:szCs w:val="2"/>
        </w:rPr>
      </w:pPr>
    </w:p>
  </w:footnote>
  <w:footnote w:id="2">
    <w:p w14:paraId="077C760E" w14:textId="77777777" w:rsidR="002B658E" w:rsidRPr="00A658F9" w:rsidRDefault="002B658E" w:rsidP="002B658E">
      <w:pPr>
        <w:pStyle w:val="Textonotapie"/>
        <w:jc w:val="both"/>
        <w:rPr>
          <w:rFonts w:ascii="Times New Roman" w:hAnsi="Times New Roman"/>
        </w:rPr>
      </w:pPr>
      <w:r w:rsidRPr="00A658F9">
        <w:rPr>
          <w:rStyle w:val="Refdenotaalpie"/>
          <w:rFonts w:ascii="Times New Roman" w:hAnsi="Times New Roman"/>
          <w:color w:val="002060"/>
        </w:rPr>
        <w:footnoteRef/>
      </w:r>
      <w:r w:rsidRPr="00A658F9">
        <w:rPr>
          <w:rFonts w:ascii="Times New Roman" w:hAnsi="Times New Roman"/>
          <w:color w:val="002060"/>
        </w:rPr>
        <w:t xml:space="preserve"> </w:t>
      </w:r>
      <w:r>
        <w:rPr>
          <w:rFonts w:ascii="Times New Roman" w:hAnsi="Times New Roman"/>
          <w:color w:val="002060"/>
        </w:rPr>
        <w:t xml:space="preserve">Considerando las fechas reglamentarias de envío del XML Encaje Legal y dado que el </w:t>
      </w:r>
      <w:r w:rsidRPr="00A658F9">
        <w:rPr>
          <w:rFonts w:ascii="Times New Roman" w:hAnsi="Times New Roman"/>
          <w:color w:val="002060"/>
        </w:rPr>
        <w:t xml:space="preserve">ambiente </w:t>
      </w:r>
      <w:r>
        <w:rPr>
          <w:rFonts w:ascii="Times New Roman" w:hAnsi="Times New Roman"/>
          <w:color w:val="002060"/>
        </w:rPr>
        <w:t xml:space="preserve">de simulación es </w:t>
      </w:r>
      <w:r w:rsidRPr="00A658F9">
        <w:rPr>
          <w:rFonts w:ascii="Times New Roman" w:hAnsi="Times New Roman"/>
          <w:color w:val="002060"/>
        </w:rPr>
        <w:t>independiente del</w:t>
      </w:r>
      <w:r>
        <w:rPr>
          <w:rFonts w:ascii="Times New Roman" w:hAnsi="Times New Roman"/>
          <w:color w:val="002060"/>
        </w:rPr>
        <w:t xml:space="preserve"> ambiente</w:t>
      </w:r>
      <w:r w:rsidRPr="00A658F9">
        <w:rPr>
          <w:rFonts w:ascii="Times New Roman" w:hAnsi="Times New Roman"/>
          <w:color w:val="002060"/>
        </w:rPr>
        <w:t xml:space="preserve"> de producción, </w:t>
      </w:r>
      <w:r>
        <w:rPr>
          <w:rFonts w:ascii="Times New Roman" w:hAnsi="Times New Roman"/>
          <w:color w:val="002060"/>
        </w:rPr>
        <w:t>es posible extender el período de pruebas de envío hasta una fecha posterior</w:t>
      </w:r>
      <w:r w:rsidRPr="00A658F9">
        <w:rPr>
          <w:rFonts w:ascii="Times New Roman" w:hAnsi="Times New Roman"/>
          <w:color w:val="002060"/>
        </w:rPr>
        <w:t xml:space="preserve"> a la </w:t>
      </w:r>
      <w:r>
        <w:rPr>
          <w:rFonts w:ascii="Times New Roman" w:hAnsi="Times New Roman"/>
          <w:color w:val="002060"/>
        </w:rPr>
        <w:t xml:space="preserve">de </w:t>
      </w:r>
      <w:r w:rsidRPr="00A658F9">
        <w:rPr>
          <w:rFonts w:ascii="Times New Roman" w:hAnsi="Times New Roman"/>
          <w:color w:val="002060"/>
        </w:rPr>
        <w:t>entrada en vigencia</w:t>
      </w:r>
      <w:r>
        <w:rPr>
          <w:rFonts w:ascii="Times New Roman" w:hAnsi="Times New Roman"/>
          <w:color w:val="002060"/>
        </w:rPr>
        <w:t xml:space="preserve"> de la medida</w:t>
      </w:r>
      <w:r w:rsidRPr="00A658F9">
        <w:rPr>
          <w:rFonts w:ascii="Times New Roman" w:hAnsi="Times New Roman"/>
          <w:color w:val="002060"/>
        </w:rPr>
        <w:t>.</w:t>
      </w:r>
      <w:r>
        <w:rPr>
          <w:rFonts w:ascii="Times New Roman" w:hAnsi="Times New Roman"/>
          <w:color w:val="002060"/>
        </w:rPr>
        <w:t xml:space="preserve"> </w:t>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403D58" w14:paraId="59BCA6B1" w14:textId="77777777">
    <w:pPr>
      <w:pStyle w:val="Encabezado"/>
    </w:pPr>
    <w:r>
      <w:rPr>
        <w:noProof/>
      </w:rPr>
      <w:drawing>
        <wp:anchor distT="0" distB="0" distL="114300" distR="114300" simplePos="0" relativeHeight="251662336" behindDoc="1" locked="0" layoutInCell="1" allowOverlap="1" wp14:editId="5B60AD39" wp14:anchorId="229F7BE4">
          <wp:simplePos x="0" y="0"/>
          <wp:positionH relativeFrom="page">
            <wp:align>right</wp:align>
          </wp:positionH>
          <wp:positionV relativeFrom="paragraph">
            <wp:posOffset>-449055</wp:posOffset>
          </wp:positionV>
          <wp:extent cx="7761191" cy="990600"/>
          <wp:effectExtent l="0" t="0" r="0" b="0"/>
          <wp:wrapNone/>
          <wp:docPr id="12" name="Imagen 1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5352D3" w:rsidRDefault="00181ABF" w14:paraId="3553A96C"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D0A7443"/>
    <w:multiLevelType w:val="hybridMultilevel"/>
    <w:tmpl w:val="047208A2"/>
    <w:lvl w:ilvl="0" w:tplc="140A0001">
      <w:start w:val="1"/>
      <w:numFmt w:val="bullet"/>
      <w:lvlText w:val=""/>
      <w:lvlJc w:val="left"/>
      <w:pPr>
        <w:ind w:left="1077" w:hanging="360"/>
      </w:pPr>
      <w:rPr>
        <w:rFonts w:ascii="Symbol" w:hAnsi="Symbol" w:hint="default"/>
      </w:rPr>
    </w:lvl>
    <w:lvl w:ilvl="1" w:tplc="140A0003">
      <w:start w:val="1"/>
      <w:numFmt w:val="bullet"/>
      <w:lvlText w:val="o"/>
      <w:lvlJc w:val="left"/>
      <w:pPr>
        <w:ind w:left="1797" w:hanging="360"/>
      </w:pPr>
      <w:rPr>
        <w:rFonts w:ascii="Courier New" w:hAnsi="Courier New" w:cs="Courier New" w:hint="default"/>
      </w:rPr>
    </w:lvl>
    <w:lvl w:ilvl="2" w:tplc="140A0005" w:tentative="1">
      <w:start w:val="1"/>
      <w:numFmt w:val="bullet"/>
      <w:lvlText w:val=""/>
      <w:lvlJc w:val="left"/>
      <w:pPr>
        <w:ind w:left="2517" w:hanging="360"/>
      </w:pPr>
      <w:rPr>
        <w:rFonts w:ascii="Wingdings" w:hAnsi="Wingdings" w:hint="default"/>
      </w:rPr>
    </w:lvl>
    <w:lvl w:ilvl="3" w:tplc="140A0001" w:tentative="1">
      <w:start w:val="1"/>
      <w:numFmt w:val="bullet"/>
      <w:lvlText w:val=""/>
      <w:lvlJc w:val="left"/>
      <w:pPr>
        <w:ind w:left="3237" w:hanging="360"/>
      </w:pPr>
      <w:rPr>
        <w:rFonts w:ascii="Symbol" w:hAnsi="Symbol" w:hint="default"/>
      </w:rPr>
    </w:lvl>
    <w:lvl w:ilvl="4" w:tplc="140A0003" w:tentative="1">
      <w:start w:val="1"/>
      <w:numFmt w:val="bullet"/>
      <w:lvlText w:val="o"/>
      <w:lvlJc w:val="left"/>
      <w:pPr>
        <w:ind w:left="3957" w:hanging="360"/>
      </w:pPr>
      <w:rPr>
        <w:rFonts w:ascii="Courier New" w:hAnsi="Courier New" w:cs="Courier New" w:hint="default"/>
      </w:rPr>
    </w:lvl>
    <w:lvl w:ilvl="5" w:tplc="140A0005" w:tentative="1">
      <w:start w:val="1"/>
      <w:numFmt w:val="bullet"/>
      <w:lvlText w:val=""/>
      <w:lvlJc w:val="left"/>
      <w:pPr>
        <w:ind w:left="4677" w:hanging="360"/>
      </w:pPr>
      <w:rPr>
        <w:rFonts w:ascii="Wingdings" w:hAnsi="Wingdings" w:hint="default"/>
      </w:rPr>
    </w:lvl>
    <w:lvl w:ilvl="6" w:tplc="140A0001" w:tentative="1">
      <w:start w:val="1"/>
      <w:numFmt w:val="bullet"/>
      <w:lvlText w:val=""/>
      <w:lvlJc w:val="left"/>
      <w:pPr>
        <w:ind w:left="5397" w:hanging="360"/>
      </w:pPr>
      <w:rPr>
        <w:rFonts w:ascii="Symbol" w:hAnsi="Symbol" w:hint="default"/>
      </w:rPr>
    </w:lvl>
    <w:lvl w:ilvl="7" w:tplc="140A0003" w:tentative="1">
      <w:start w:val="1"/>
      <w:numFmt w:val="bullet"/>
      <w:lvlText w:val="o"/>
      <w:lvlJc w:val="left"/>
      <w:pPr>
        <w:ind w:left="6117" w:hanging="360"/>
      </w:pPr>
      <w:rPr>
        <w:rFonts w:ascii="Courier New" w:hAnsi="Courier New" w:cs="Courier New" w:hint="default"/>
      </w:rPr>
    </w:lvl>
    <w:lvl w:ilvl="8" w:tplc="140A0005" w:tentative="1">
      <w:start w:val="1"/>
      <w:numFmt w:val="bullet"/>
      <w:lvlText w:val=""/>
      <w:lvlJc w:val="left"/>
      <w:pPr>
        <w:ind w:left="6837" w:hanging="360"/>
      </w:pPr>
      <w:rPr>
        <w:rFonts w:ascii="Wingdings" w:hAnsi="Wingdings" w:hint="default"/>
      </w:rPr>
    </w:lvl>
  </w:abstractNum>
  <w:abstractNum w:abstractNumId="2" w15:restartNumberingAfterBreak="0">
    <w:nsid w:val="4BCD3656"/>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548A7367"/>
    <w:multiLevelType w:val="hybridMultilevel"/>
    <w:tmpl w:val="FB2C9338"/>
    <w:lvl w:ilvl="0" w:tplc="CD62ABC4">
      <w:start w:val="1"/>
      <w:numFmt w:val="bullet"/>
      <w:lvlText w:val=""/>
      <w:lvlJc w:val="left"/>
      <w:pPr>
        <w:ind w:left="1437" w:hanging="360"/>
      </w:pPr>
      <w:rPr>
        <w:rFonts w:ascii="Symbol" w:hAnsi="Symbol" w:hint="default"/>
      </w:rPr>
    </w:lvl>
    <w:lvl w:ilvl="1" w:tplc="FFFFFFFF">
      <w:start w:val="1"/>
      <w:numFmt w:val="bullet"/>
      <w:lvlText w:val=""/>
      <w:lvlJc w:val="left"/>
      <w:pPr>
        <w:ind w:left="2157" w:hanging="360"/>
      </w:pPr>
      <w:rPr>
        <w:rFonts w:ascii="Symbol" w:hAnsi="Symbol" w:hint="default"/>
      </w:rPr>
    </w:lvl>
    <w:lvl w:ilvl="2" w:tplc="FFFFFFFF" w:tentative="1">
      <w:start w:val="1"/>
      <w:numFmt w:val="bullet"/>
      <w:lvlText w:val=""/>
      <w:lvlJc w:val="left"/>
      <w:pPr>
        <w:ind w:left="2877" w:hanging="360"/>
      </w:pPr>
      <w:rPr>
        <w:rFonts w:ascii="Wingdings" w:hAnsi="Wingdings" w:hint="default"/>
      </w:rPr>
    </w:lvl>
    <w:lvl w:ilvl="3" w:tplc="FFFFFFFF" w:tentative="1">
      <w:start w:val="1"/>
      <w:numFmt w:val="bullet"/>
      <w:lvlText w:val=""/>
      <w:lvlJc w:val="left"/>
      <w:pPr>
        <w:ind w:left="3597" w:hanging="360"/>
      </w:pPr>
      <w:rPr>
        <w:rFonts w:ascii="Symbol" w:hAnsi="Symbol" w:hint="default"/>
      </w:rPr>
    </w:lvl>
    <w:lvl w:ilvl="4" w:tplc="FFFFFFFF" w:tentative="1">
      <w:start w:val="1"/>
      <w:numFmt w:val="bullet"/>
      <w:lvlText w:val="o"/>
      <w:lvlJc w:val="left"/>
      <w:pPr>
        <w:ind w:left="4317" w:hanging="360"/>
      </w:pPr>
      <w:rPr>
        <w:rFonts w:ascii="Courier New" w:hAnsi="Courier New" w:cs="Courier New" w:hint="default"/>
      </w:rPr>
    </w:lvl>
    <w:lvl w:ilvl="5" w:tplc="FFFFFFFF" w:tentative="1">
      <w:start w:val="1"/>
      <w:numFmt w:val="bullet"/>
      <w:lvlText w:val=""/>
      <w:lvlJc w:val="left"/>
      <w:pPr>
        <w:ind w:left="5037" w:hanging="360"/>
      </w:pPr>
      <w:rPr>
        <w:rFonts w:ascii="Wingdings" w:hAnsi="Wingdings" w:hint="default"/>
      </w:rPr>
    </w:lvl>
    <w:lvl w:ilvl="6" w:tplc="FFFFFFFF" w:tentative="1">
      <w:start w:val="1"/>
      <w:numFmt w:val="bullet"/>
      <w:lvlText w:val=""/>
      <w:lvlJc w:val="left"/>
      <w:pPr>
        <w:ind w:left="5757" w:hanging="360"/>
      </w:pPr>
      <w:rPr>
        <w:rFonts w:ascii="Symbol" w:hAnsi="Symbol" w:hint="default"/>
      </w:rPr>
    </w:lvl>
    <w:lvl w:ilvl="7" w:tplc="FFFFFFFF" w:tentative="1">
      <w:start w:val="1"/>
      <w:numFmt w:val="bullet"/>
      <w:lvlText w:val="o"/>
      <w:lvlJc w:val="left"/>
      <w:pPr>
        <w:ind w:left="6477" w:hanging="360"/>
      </w:pPr>
      <w:rPr>
        <w:rFonts w:ascii="Courier New" w:hAnsi="Courier New" w:cs="Courier New" w:hint="default"/>
      </w:rPr>
    </w:lvl>
    <w:lvl w:ilvl="8" w:tplc="FFFFFFFF" w:tentative="1">
      <w:start w:val="1"/>
      <w:numFmt w:val="bullet"/>
      <w:lvlText w:val=""/>
      <w:lvlJc w:val="left"/>
      <w:pPr>
        <w:ind w:left="7197" w:hanging="360"/>
      </w:pPr>
      <w:rPr>
        <w:rFonts w:ascii="Wingdings" w:hAnsi="Wingdings" w:hint="default"/>
      </w:rPr>
    </w:lvl>
  </w:abstractNum>
  <w:abstractNum w:abstractNumId="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6" w15:restartNumberingAfterBreak="0">
    <w:nsid w:val="776D6C94"/>
    <w:multiLevelType w:val="hybridMultilevel"/>
    <w:tmpl w:val="42460AB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525360349">
    <w:abstractNumId w:val="0"/>
  </w:num>
  <w:num w:numId="2" w16cid:durableId="2042389941">
    <w:abstractNumId w:val="3"/>
  </w:num>
  <w:num w:numId="3" w16cid:durableId="935601399">
    <w:abstractNumId w:val="5"/>
  </w:num>
  <w:num w:numId="4" w16cid:durableId="248543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5227975">
    <w:abstractNumId w:val="6"/>
  </w:num>
  <w:num w:numId="6" w16cid:durableId="1183056635">
    <w:abstractNumId w:val="1"/>
  </w:num>
  <w:num w:numId="7" w16cid:durableId="341860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2B"/>
    <w:rsid w:val="000202E3"/>
    <w:rsid w:val="0004039A"/>
    <w:rsid w:val="00181ABF"/>
    <w:rsid w:val="00264711"/>
    <w:rsid w:val="002B658E"/>
    <w:rsid w:val="003172BE"/>
    <w:rsid w:val="00403D58"/>
    <w:rsid w:val="004E07CA"/>
    <w:rsid w:val="005352D3"/>
    <w:rsid w:val="00641717"/>
    <w:rsid w:val="0084242B"/>
    <w:rsid w:val="00937EF0"/>
    <w:rsid w:val="00966A04"/>
    <w:rsid w:val="00CF141B"/>
    <w:rsid w:val="00D2422E"/>
    <w:rsid w:val="00D67CC3"/>
    <w:rsid w:val="00D90222"/>
    <w:rsid w:val="00E42AAC"/>
    <w:rsid w:val="00E77993"/>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BA607"/>
  <w15:chartTrackingRefBased/>
  <w15:docId w15:val="{954E865C-86CD-45A7-AE7F-5FF0AD83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352D3"/>
    <w:rPr>
      <w:color w:val="0563C1" w:themeColor="hyperlink"/>
      <w:u w:val="single"/>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2B658E"/>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2B658E"/>
    <w:pPr>
      <w:spacing w:after="200" w:line="276" w:lineRule="auto"/>
      <w:ind w:left="720"/>
      <w:contextualSpacing/>
      <w:jc w:val="left"/>
    </w:pPr>
    <w:rPr>
      <w:rFonts w:ascii="Calibri" w:eastAsiaTheme="minorHAnsi" w:hAnsi="Calibri" w:cs="Calibri"/>
      <w:szCs w:val="22"/>
    </w:rPr>
  </w:style>
  <w:style w:type="paragraph" w:customStyle="1" w:styleId="Default">
    <w:name w:val="Default"/>
    <w:rsid w:val="002B658E"/>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aliases w:val="Car1, Char,Char,fn,texto de nota al pie,Texto nota pie Car Car Car Car Car Car Car Car,Texto nota pie Car Car Car,Footnote Text Char Char Char Char Char Char,Texto nota pie Car Car Car Car Car,Texto nota pie Car Car,single space,footn,ft"/>
    <w:basedOn w:val="Normal"/>
    <w:link w:val="TextonotapieCar"/>
    <w:uiPriority w:val="99"/>
    <w:unhideWhenUsed/>
    <w:qFormat/>
    <w:rsid w:val="002B658E"/>
    <w:pPr>
      <w:spacing w:line="240" w:lineRule="auto"/>
      <w:jc w:val="left"/>
    </w:pPr>
    <w:rPr>
      <w:rFonts w:ascii="Calibri" w:eastAsia="Calibri" w:hAnsi="Calibri"/>
      <w:sz w:val="20"/>
      <w:szCs w:val="20"/>
    </w:rPr>
  </w:style>
  <w:style w:type="character" w:customStyle="1" w:styleId="TextonotapieCar">
    <w:name w:val="Texto nota pie Car"/>
    <w:aliases w:val="Car1 Car, Char Car,Char Car,fn Car,texto de nota al pie Car,Texto nota pie Car Car Car Car Car Car Car Car Car,Texto nota pie Car Car Car Car,Footnote Text Char Char Char Char Char Char Car,Texto nota pie Car Car Car Car Car Car"/>
    <w:basedOn w:val="Fuentedeprrafopredeter"/>
    <w:link w:val="Textonotapie"/>
    <w:uiPriority w:val="99"/>
    <w:qFormat/>
    <w:rsid w:val="002B658E"/>
    <w:rPr>
      <w:rFonts w:ascii="Calibri" w:eastAsia="Calibri" w:hAnsi="Calibri" w:cs="Times New Roman"/>
      <w:sz w:val="20"/>
      <w:szCs w:val="20"/>
    </w:rPr>
  </w:style>
  <w:style w:type="character" w:styleId="Refdenotaalpie">
    <w:name w:val="footnote reference"/>
    <w:aliases w:val="FC,ftref,referencia nota al pie,titulo 2,16 Point,Superscript 6 Point,Ref,de nota al pie,(Ref. de nota al pie),Referencia nota al pie,Style 24,pie pddes,BVI fnr,Footnote Reference Number,Footnote Reference_LVL6"/>
    <w:basedOn w:val="Fuentedeprrafopredeter"/>
    <w:uiPriority w:val="99"/>
    <w:unhideWhenUsed/>
    <w:qFormat/>
    <w:rsid w:val="002B65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gef.fi.cr/informacion_relevante/manuales/manual_de_informacion_sicveca.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nsultasencajelegal@sugef.fi.c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stroae@bccr.fi.cr" TargetMode="External"/><Relationship Id="rId22" Type="http://schemas.openxmlformats.org/officeDocument/2006/relationships/customXml" Target="../customXml/item6.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BorradoresInfCrediticia/Forms/Correspondencia%20Externa%20SUGEF/plantilla-SGF-DST-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BF3703B2274DD4B005120E9BDE9E3A"/>
        <w:category>
          <w:name w:val="General"/>
          <w:gallery w:val="placeholder"/>
        </w:category>
        <w:types>
          <w:type w:val="bbPlcHdr"/>
        </w:types>
        <w:behaviors>
          <w:behavior w:val="content"/>
        </w:behaviors>
        <w:guid w:val="{5BF399DA-F335-408D-8CCD-5D59F3042BFD}"/>
      </w:docPartPr>
      <w:docPartBody>
        <w:p w:rsidR="00C50734" w:rsidRDefault="00C50734">
          <w:pPr>
            <w:pStyle w:val="12BF3703B2274DD4B005120E9BDE9E3A"/>
          </w:pPr>
          <w:r w:rsidRPr="001E0779">
            <w:rPr>
              <w:rStyle w:val="Textodelmarcadordeposicin"/>
            </w:rPr>
            <w:t>Haga clic aquí para escribir texto.</w:t>
          </w:r>
        </w:p>
      </w:docPartBody>
    </w:docPart>
    <w:docPart>
      <w:docPartPr>
        <w:name w:val="9C0F0BF398594FD9A4F360D8E25E6CC8"/>
        <w:category>
          <w:name w:val="General"/>
          <w:gallery w:val="placeholder"/>
        </w:category>
        <w:types>
          <w:type w:val="bbPlcHdr"/>
        </w:types>
        <w:behaviors>
          <w:behavior w:val="content"/>
        </w:behaviors>
        <w:guid w:val="{2943DCF9-86BE-419B-BBD7-A375EB01187C}"/>
      </w:docPartPr>
      <w:docPartBody>
        <w:p w:rsidR="00C50734" w:rsidRDefault="00C50734">
          <w:pPr>
            <w:pStyle w:val="9C0F0BF398594FD9A4F360D8E25E6CC8"/>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34"/>
    <w:rsid w:val="00C5073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12BF3703B2274DD4B005120E9BDE9E3A">
    <w:name w:val="12BF3703B2274DD4B005120E9BDE9E3A"/>
  </w:style>
  <w:style w:type="paragraph" w:customStyle="1" w:styleId="9C0F0BF398594FD9A4F360D8E25E6CC8">
    <w:name w:val="9C0F0BF398594FD9A4F360D8E25E6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Dhs1LT6aF9Um0/NRR7zL8+A1s02WLwbKn74sinYKO78=</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Ye6eq1PRijTF4uFaeLNw4oZw0YA5mIQdxXKDVezZnUY=</DigestValue>
    </Reference>
  </SignedInfo>
  <SignatureValue>JE450Yr7B6Sxe/DSnDUqJEslAisr0ffC7blYaPHjX9qHhHKB+GjmUNkrPQlgz3wNly9Utgt+oIAn
JMVfJXjRiGvGKWIe99n8Is+kUVMRqy23kn0Xh5eSIfnxopojyI8WsVkbt8Or9gYfJDiQMH5/WFYA
xjtjYno9GsbnTfrxAz4oiwV9mYwwWze9obzR7L6kk4ewDcn0uDrgYXfbBu/xOzq5C+IRXJ1aPK2R
ocjRboaHyhgZS4HdHohEFbH6YmGcoMeAU7uYLU+hnFTQl6MISvUhgkdyVFaqcqU10oqoHKofiCk7
mLmuqKyc2on83BCsYd+z42WS9NaWxa0Z3XEs+Q==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rL/8tdzNwN8RBLiewWp5TeybfEfH9FK1mBg1oPaZWfY=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lUFHXFQpx0VZJrvjlB6olPwLQO7xSr79NZFIgD07/bw=</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6JYfDzsDjIglkzQ4gDMKmcOIA4XkneqDVrIKrCAgK4I=</DigestValue>
      </Reference>
      <Reference URI="/word/document.xml?ContentType=application/vnd.openxmlformats-officedocument.wordprocessingml.document.main+xml">
        <DigestMethod Algorithm="http://www.w3.org/2001/04/xmlenc#sha256"/>
        <DigestValue>2LwZcHPaRqUqR1upOn92xDOb6LLA080iMtrss8uxu7w=</DigestValue>
      </Reference>
      <Reference URI="/word/endnotes.xml?ContentType=application/vnd.openxmlformats-officedocument.wordprocessingml.endnotes+xml">
        <DigestMethod Algorithm="http://www.w3.org/2001/04/xmlenc#sha256"/>
        <DigestValue>DgHEhjAiL0LssaLZ/JLLPwElSTvDyISLX+6OeqgT3sw=</DigestValue>
      </Reference>
      <Reference URI="/word/fontTable.xml?ContentType=application/vnd.openxmlformats-officedocument.wordprocessingml.fontTable+xml">
        <DigestMethod Algorithm="http://www.w3.org/2001/04/xmlenc#sha256"/>
        <DigestValue>16s7Y4qDti+am3gAK28nfgZb79wCgAccYDyWqCQGwHw=</DigestValue>
      </Reference>
      <Reference URI="/word/footer1.xml?ContentType=application/vnd.openxmlformats-officedocument.wordprocessingml.footer+xml">
        <DigestMethod Algorithm="http://www.w3.org/2001/04/xmlenc#sha256"/>
        <DigestValue>Bwwa+W8YgSZ/qgY1vglj9zbTcmdLk69g435ERNx5ECc=</DigestValue>
      </Reference>
      <Reference URI="/word/footnotes.xml?ContentType=application/vnd.openxmlformats-officedocument.wordprocessingml.footnotes+xml">
        <DigestMethod Algorithm="http://www.w3.org/2001/04/xmlenc#sha256"/>
        <DigestValue>6aVs7UddGlmTuRMof6lJAmp4Xly0TX5x7famC1mm8MA=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RY6x0qcbHnQjya3Hf8gmIMrRsEnmxj9abGnSoKlJ5MY=</DigestValue>
      </Reference>
      <Reference URI="/word/glossary/fontTable.xml?ContentType=application/vnd.openxmlformats-officedocument.wordprocessingml.fontTable+xml">
        <DigestMethod Algorithm="http://www.w3.org/2001/04/xmlenc#sha256"/>
        <DigestValue>16s7Y4qDti+am3gAK28nfgZb79wCgAccYDyWqCQGwHw=</DigestValue>
      </Reference>
      <Reference URI="/word/glossary/settings.xml?ContentType=application/vnd.openxmlformats-officedocument.wordprocessingml.settings+xml">
        <DigestMethod Algorithm="http://www.w3.org/2001/04/xmlenc#sha256"/>
        <DigestValue>4p4F6BxpF5YWRIMICVNiTqDUllaLnNRaylMlS9Kd5Kw=</DigestValue>
      </Reference>
      <Reference URI="/word/glossary/styles.xml?ContentType=application/vnd.openxmlformats-officedocument.wordprocessingml.styles+xml">
        <DigestMethod Algorithm="http://www.w3.org/2001/04/xmlenc#sha256"/>
        <DigestValue>a9hN04+/jQCxX6YZSG7kg8EOeVBnxcJr8zv48QP122E=</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5MfolEMAjwQw77zW8q3/sbu4MkGWrlonWbtPQcSNCd8=</DigestValue>
      </Reference>
      <Reference URI="/word/media/image1.emf?ContentType=image/x-emf">
        <DigestMethod Algorithm="http://www.w3.org/2001/04/xmlenc#sha256"/>
        <DigestValue>RE0w79x4SZy6yIjycSCjekcRxKphAAihfya0M1b3HOs=</DigestValue>
      </Reference>
      <Reference URI="/word/media/image2.jpeg?ContentType=image/jpeg">
        <DigestMethod Algorithm="http://www.w3.org/2001/04/xmlenc#sha256"/>
        <DigestValue>xyj69l3DW8glKu5smMXAwtOjzbX6e4vINW9rhAbhtrc=</DigestValue>
      </Reference>
      <Reference URI="/word/media/image3.png?ContentType=image/png">
        <DigestMethod Algorithm="http://www.w3.org/2001/04/xmlenc#sha256"/>
        <DigestValue>/1eWI7nQQjeN3Z8UOjDekQY+XE+vGansB3tZvnyDyn0=</DigestValue>
      </Reference>
      <Reference URI="/word/media/image4.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znkCLZjYfA5HX9sr6BUPrAtru5rDKjacb4DhB34Cz9U=</DigestValue>
      </Reference>
      <Reference URI="/word/settings.xml?ContentType=application/vnd.openxmlformats-officedocument.wordprocessingml.settings+xml">
        <DigestMethod Algorithm="http://www.w3.org/2001/04/xmlenc#sha256"/>
        <DigestValue>hvWElQj8+qUuLLHqCndXbvWyaU54/bTyxuss+yR8K5s=</DigestValue>
      </Reference>
      <Reference URI="/word/styles.xml?ContentType=application/vnd.openxmlformats-officedocument.wordprocessingml.styles+xml">
        <DigestMethod Algorithm="http://www.w3.org/2001/04/xmlenc#sha256"/>
        <DigestValue>7qoHP+HqOZ2Xufz+0t5XIVzuC8saI8w0munLtkBX0hA=</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2024-03-15T17:47:06Z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2024-03-15T17:47:06Z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MT4JbO3gdRdFmIIR4B9i4zyYNqStXwa6Vs6deuk/4LMCBBmJBQ4YDzIwMjQwMzE1MTc0Nz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</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</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S8qpZzv9cRUJkgO6xZPCbzatwEc=</xd:ByKey>
                  </xd:ResponderID>
                  <xd:ProducedAt>2024-03-14T18:04:43Z</xd:ProducedAt>
                </xd:OCSPIdentifier>
                <xd:DigestAlgAndValue>
                  <DigestMethod Algorithm="http://www.w3.org/2001/04/xmlenc#sha256"/>
                  <DigestValue>OoCB/HIpeQ00EtLReP+dNivmQLQI25Ibw5aJTh1uhSM=</DigestValue>
                </xd:DigestAlgAndValue>
              </xd:OCSPRef>
            </xd:OCSPRefs>
            <xd:CRLRefs>
              <xd:CRLRef>
                <xd:DigestAlgAndValue>
                  <DigestMethod Algorithm="http://www.w3.org/2001/04/xmlenc#sha256"/>
                  <DigestValue>ITFYfaNs++i62pXOxVcDud86mV73TW3JqZoevLp10vU=</DigestValue>
                </xd:DigestAlgAndValue>
                <xd:CRLIdentifier>
                  <xd:Issuer>CN=CA POLITICA PERSONA FISICA - COSTA RICA v2, OU=DCFD, O=MICITT, C=CR, SERIALNUMBER=CPJ-2-100-098311</xd:Issuer>
                  <xd:IssueTime>2024-01-17T19:40:26Z</xd:IssueTime>
                </xd:CRLIdentifier>
              </xd:CRLRef>
              <xd:CRLRef>
                <xd:DigestAlgAndValue>
                  <DigestMethod Algorithm="http://www.w3.org/2001/04/xmlenc#sha256"/>
                  <DigestValue>d6XeBOeKV6RmIqhYQFVoxc4ECkqm0KUYMBF5XF7SjIw=</DigestValue>
                </xd:DigestAlgAndValue>
                <xd:CRLIdentifier>
                  <xd:Issuer>CN=CA RAIZ NACIONAL - COSTA RICA v2, C=CR, O=MICITT, OU=DCFD, SERIALNUMBER=CPJ-2-100-098311</xd:Issuer>
                  <xd:IssueTime>2024-01-17T19:22:40Z</xd:IssueTime>
                </xd:CRLIdentifier>
              </xd:CRLRef>
            </xd:CRLRefs>
          </xd:CompleteRevocationRefs>
          <xd:RevocationValues>
            <xd:OCSPValues>
              <xd:EncapsulatedOCSPValue>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</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6J4DlTu9x6NJs6uzKdo8xPsMtYB75pC2cB8n5NgDZloCBBmJBREYDzIwMjQwMzE1MTc0Nz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</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SEQUEIRA DITTEL PABLO</DisplayName>
        <AccountId>422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DEPARTAMENTO INFORMACIÓN CREDITICIA</DisplayName>
        <AccountId>3335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ninguna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sobre Encaje Mínimo Legal CACS
Copiar a: saliente Departamento Información Crediticia
</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mlns:xsi="http://www.w3.org/2001/XMLSchema-instance" xsi:nil="true"/>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sobre Encaje Mínimo Legal CACS</Subject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36849D30-167E-4316-89BC-BD40CBF272F2}"/>
</file>

<file path=customXml/itemProps2.xml><?xml version="1.0" encoding="utf-8"?>
<ds:datastoreItem xmlns:ds="http://schemas.openxmlformats.org/officeDocument/2006/customXml" ds:itemID="{CD55892C-0DDC-4530-A0B2-0C0870CF21B0}"/>
</file>

<file path=customXml/itemProps3.xml><?xml version="1.0" encoding="utf-8"?>
<ds:datastoreItem xmlns:ds="http://schemas.openxmlformats.org/officeDocument/2006/customXml" ds:itemID="{068C5E37-641F-4ADA-A5AD-E52456C0FFAB}"/>
</file>

<file path=customXml/itemProps4.xml><?xml version="1.0" encoding="utf-8"?>
<ds:datastoreItem xmlns:ds="http://schemas.openxmlformats.org/officeDocument/2006/customXml" ds:itemID="{6DE7619B-A4B4-4839-BB07-1D6D10F9F5FF}"/>
</file>

<file path=customXml/itemProps5.xml><?xml version="1.0" encoding="utf-8"?>
<ds:datastoreItem xmlns:ds="http://schemas.openxmlformats.org/officeDocument/2006/customXml" ds:itemID="{FEFAF717-7217-453D-BF40-E25F4630D44B}"/>
</file>

<file path=customXml/itemProps6.xml><?xml version="1.0" encoding="utf-8"?>
<ds:datastoreItem xmlns:ds="http://schemas.openxmlformats.org/officeDocument/2006/customXml" ds:itemID="{CE440242-A25A-4AC4-BDF4-EAABCEDD127F}"/>
</file>

<file path=docProps/app.xml><?xml version="1.0" encoding="utf-8"?>
<Properties xmlns="http://schemas.openxmlformats.org/officeDocument/2006/extended-properties" xmlns:vt="http://schemas.openxmlformats.org/officeDocument/2006/docPropsVTypes">
  <Template>plantilla-SGF-DST-22</Template>
  <TotalTime>16</TotalTime>
  <Pages>3</Pages>
  <Words>756</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SIBAJA VEGA JUAN PABLO</dc:creator>
  <cp:keywords/>
  <dc:description/>
  <cp:lastModifiedBy>FALLAS MUNOZ KAREN ROCIO</cp:lastModifiedBy>
  <cp:revision>3</cp:revision>
  <dcterms:created xsi:type="dcterms:W3CDTF">2024-03-14T16:27:00Z</dcterms:created>
  <dcterms:modified xsi:type="dcterms:W3CDTF">2024-03-15T17:26:00Z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161;#Alta|7fca731c-4c62-4f1c-9061-e9f164c964b2</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2024-03-14T16:42:08Z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2e63c5a1-90ab-4f05-b40a-551933bb426a</vt:lpwstr>
  </property>
  <property fmtid="{D5CDD505-2E9C-101B-9397-08002B2CF9AE}" pid="17" name="MSIP_Label_b8b4be34-365a-4a68-b9fb-75c1b6874315_ContentBits">
    <vt:lpwstr>2</vt:lpwstr>
  </property>
  <property fmtid="{D5CDD505-2E9C-101B-9397-08002B2CF9AE}" pid="18" name="Order">
    <vt:r8>709800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f1fd9d7f-da86-405a-9476-87cbb240632e,5;36e1af0c-2eec-499f-b304-a394df1aa266,8;</vt:lpwstr>
  </property>
</Properties>
</file>