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BA3" w:rsidP="00181ABF" w:rsidRDefault="00BA2BA3" w14:paraId="3F472588" w14:textId="77777777">
      <w:pPr>
        <w:pStyle w:val="Texto"/>
        <w:spacing w:before="0" w:after="0" w:line="240" w:lineRule="auto"/>
        <w:rPr>
          <w:sz w:val="24"/>
        </w:rPr>
      </w:pPr>
    </w:p>
    <w:p w:rsidR="00BA2BA3" w:rsidP="00181ABF" w:rsidRDefault="00BA2BA3" w14:paraId="27779D7C" w14:textId="77777777">
      <w:pPr>
        <w:pStyle w:val="Texto"/>
        <w:spacing w:before="0" w:after="0" w:line="240" w:lineRule="auto"/>
        <w:rPr>
          <w:sz w:val="24"/>
        </w:rPr>
      </w:pPr>
    </w:p>
    <w:p w:rsidRPr="00A54FFB" w:rsidR="008126A5" w:rsidP="008126A5" w:rsidRDefault="008126A5" w14:paraId="4D98C9CA" w14:textId="77777777">
      <w:pPr>
        <w:spacing w:line="240" w:lineRule="auto"/>
        <w:jc w:val="center"/>
        <w:rPr>
          <w:b/>
          <w:bCs/>
          <w:sz w:val="24"/>
        </w:rPr>
      </w:pPr>
      <w:r w:rsidRPr="00A54FFB">
        <w:rPr>
          <w:b/>
          <w:bCs/>
          <w:sz w:val="24"/>
        </w:rPr>
        <w:t>Circular Externa</w:t>
      </w:r>
    </w:p>
    <w:p w:rsidRPr="00A54FFB" w:rsidR="008126A5" w:rsidP="008126A5" w:rsidRDefault="00A54FFB" w14:paraId="79822F9C" w14:textId="33E59763">
      <w:pPr>
        <w:spacing w:line="240" w:lineRule="auto"/>
        <w:jc w:val="center"/>
        <w:rPr>
          <w:sz w:val="24"/>
        </w:rPr>
      </w:pPr>
      <w:r>
        <w:rPr>
          <w:sz w:val="24"/>
        </w:rPr>
        <w:t>0</w:t>
      </w:r>
      <w:r w:rsidR="002B77BF">
        <w:rPr>
          <w:sz w:val="24"/>
        </w:rPr>
        <w:t>6</w:t>
      </w:r>
      <w:r w:rsidRPr="00A54FFB" w:rsidR="008126A5">
        <w:rPr>
          <w:sz w:val="24"/>
        </w:rPr>
        <w:t xml:space="preserve"> de </w:t>
      </w:r>
      <w:r>
        <w:rPr>
          <w:sz w:val="24"/>
        </w:rPr>
        <w:t>febrero</w:t>
      </w:r>
      <w:r w:rsidRPr="00A54FFB" w:rsidR="008126A5">
        <w:rPr>
          <w:sz w:val="24"/>
        </w:rPr>
        <w:t xml:space="preserve"> del 2024</w:t>
      </w:r>
    </w:p>
    <w:sdt>
      <w:sdtPr>
        <w:rPr>
          <w:sz w:val="24"/>
        </w:rPr>
        <w:alias w:val="Consecutivo"/>
        <w:tag w:val="Consecutivo"/>
        <w:id w:val="2052717023"/>
        <w:placeholder>
          <w:docPart w:val="44F546449E3F425084F34D9FB075D351"/>
        </w:placeholder>
        <w:text/>
      </w:sdtPr>
      <w:sdtEndPr/>
      <w:sdtContent>
        <w:p w:rsidR="00A54FFB" w:rsidP="00A54FFB" w:rsidRDefault="00A54FFB" w14:paraId="70E28013" w14:textId="77777777">
          <w:pPr>
            <w:tabs>
              <w:tab w:val="left" w:pos="2843"/>
            </w:tabs>
            <w:spacing w:line="240" w:lineRule="auto"/>
            <w:jc w:val="center"/>
            <w:rPr>
              <w:sz w:val="24"/>
            </w:rPr>
          </w:pPr>
          <w:r>
            <w:t>SGF-0369-2024</w:t>
          </w:r>
        </w:p>
      </w:sdtContent>
    </w:sdt>
    <w:p w:rsidR="00A54FFB" w:rsidP="00A54FFB" w:rsidRDefault="002B77BF" w14:paraId="3C5843E7" w14:textId="04A1DB96">
      <w:pPr>
        <w:tabs>
          <w:tab w:val="left" w:pos="2843"/>
        </w:tabs>
        <w:spacing w:line="240" w:lineRule="auto"/>
        <w:jc w:val="center"/>
        <w:rPr>
          <w:sz w:val="24"/>
        </w:rPr>
      </w:pPr>
      <w:sdt>
        <w:sdtPr>
          <w:rPr>
            <w:sz w:val="24"/>
          </w:rPr>
          <w:alias w:val="Confidencialidad"/>
          <w:tag w:val="Confidencialidad"/>
          <w:id w:val="1447896894"/>
          <w:placeholder>
            <w:docPart w:val="E93F6A5F3B444B65850F8F1A56DA2AD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54FFB">
            <w:rPr>
              <w:sz w:val="24"/>
            </w:rPr>
            <w:t>SGF-PUBLICO</w:t>
          </w:r>
        </w:sdtContent>
      </w:sdt>
    </w:p>
    <w:p w:rsidR="00A54FFB" w:rsidP="008126A5" w:rsidRDefault="00A54FFB" w14:paraId="0A51497C" w14:textId="77777777">
      <w:pPr>
        <w:widowControl w:val="0"/>
        <w:spacing w:line="240" w:lineRule="auto"/>
        <w:ind w:left="34" w:right="86"/>
        <w:outlineLvl w:val="0"/>
        <w:rPr>
          <w:b/>
          <w:sz w:val="24"/>
        </w:rPr>
      </w:pPr>
    </w:p>
    <w:p w:rsidR="00A54FFB" w:rsidP="008126A5" w:rsidRDefault="00A54FFB" w14:paraId="2C5B9112" w14:textId="77777777">
      <w:pPr>
        <w:widowControl w:val="0"/>
        <w:spacing w:line="240" w:lineRule="auto"/>
        <w:ind w:left="34" w:right="86"/>
        <w:outlineLvl w:val="0"/>
        <w:rPr>
          <w:b/>
          <w:sz w:val="24"/>
        </w:rPr>
      </w:pPr>
    </w:p>
    <w:p w:rsidRPr="00A54FFB" w:rsidR="008126A5" w:rsidP="008126A5" w:rsidRDefault="008126A5" w14:paraId="77D38440" w14:textId="6B7CC341">
      <w:pPr>
        <w:widowControl w:val="0"/>
        <w:spacing w:line="240" w:lineRule="auto"/>
        <w:ind w:left="34" w:right="86"/>
        <w:outlineLvl w:val="0"/>
        <w:rPr>
          <w:b/>
          <w:sz w:val="24"/>
          <w:lang w:val="es-CR"/>
        </w:rPr>
      </w:pPr>
      <w:r w:rsidRPr="00A54FFB">
        <w:rPr>
          <w:b/>
          <w:sz w:val="24"/>
          <w:lang w:val="es-CR"/>
        </w:rPr>
        <w:t xml:space="preserve">Dirigida a: </w:t>
      </w:r>
    </w:p>
    <w:p w:rsidRPr="00A54FFB" w:rsidR="008126A5" w:rsidP="008126A5" w:rsidRDefault="008126A5" w14:paraId="088573B4" w14:textId="77777777">
      <w:pPr>
        <w:widowControl w:val="0"/>
        <w:spacing w:line="240" w:lineRule="auto"/>
        <w:ind w:right="86"/>
        <w:outlineLvl w:val="0"/>
        <w:rPr>
          <w:b/>
          <w:sz w:val="24"/>
          <w:lang w:val="es-CR"/>
        </w:rPr>
      </w:pPr>
    </w:p>
    <w:p w:rsidRPr="00A54FFB" w:rsidR="008126A5" w:rsidP="008126A5" w:rsidRDefault="008126A5" w14:paraId="02B47BF6" w14:textId="77777777">
      <w:pPr>
        <w:widowControl w:val="0"/>
        <w:numPr>
          <w:ilvl w:val="0"/>
          <w:numId w:val="4"/>
        </w:numPr>
        <w:spacing w:after="200" w:line="240" w:lineRule="auto"/>
        <w:ind w:left="567" w:right="86" w:hanging="567"/>
        <w:contextualSpacing/>
        <w:rPr>
          <w:b/>
          <w:sz w:val="24"/>
          <w:lang w:val="es-CR" w:eastAsia="es-ES"/>
        </w:rPr>
      </w:pPr>
      <w:r w:rsidRPr="00A54FFB">
        <w:rPr>
          <w:b/>
          <w:sz w:val="24"/>
          <w:lang w:val="es-CR" w:eastAsia="es-ES"/>
        </w:rPr>
        <w:t>Bancos Comerciales del Estado</w:t>
      </w:r>
    </w:p>
    <w:p w:rsidRPr="00A54FFB" w:rsidR="008126A5" w:rsidP="008126A5" w:rsidRDefault="008126A5" w14:paraId="61044F5A" w14:textId="77777777">
      <w:pPr>
        <w:widowControl w:val="0"/>
        <w:numPr>
          <w:ilvl w:val="0"/>
          <w:numId w:val="4"/>
        </w:numPr>
        <w:spacing w:after="200" w:line="240" w:lineRule="auto"/>
        <w:ind w:left="567" w:right="86" w:hanging="567"/>
        <w:contextualSpacing/>
        <w:rPr>
          <w:b/>
          <w:sz w:val="24"/>
          <w:lang w:val="es-CR" w:eastAsia="es-ES"/>
        </w:rPr>
      </w:pPr>
      <w:r w:rsidRPr="00A54FFB">
        <w:rPr>
          <w:b/>
          <w:sz w:val="24"/>
          <w:lang w:val="es-CR" w:eastAsia="es-ES"/>
        </w:rPr>
        <w:t>Bancos Creados por Leyes Especiales</w:t>
      </w:r>
    </w:p>
    <w:p w:rsidRPr="00A54FFB" w:rsidR="008126A5" w:rsidP="008126A5" w:rsidRDefault="008126A5" w14:paraId="7D65185E" w14:textId="77777777">
      <w:pPr>
        <w:widowControl w:val="0"/>
        <w:numPr>
          <w:ilvl w:val="0"/>
          <w:numId w:val="4"/>
        </w:numPr>
        <w:spacing w:after="200" w:line="240" w:lineRule="auto"/>
        <w:ind w:left="567" w:right="86" w:hanging="567"/>
        <w:contextualSpacing/>
        <w:rPr>
          <w:b/>
          <w:sz w:val="24"/>
          <w:lang w:val="es-CR" w:eastAsia="es-ES"/>
        </w:rPr>
      </w:pPr>
      <w:r w:rsidRPr="00A54FFB">
        <w:rPr>
          <w:b/>
          <w:sz w:val="24"/>
          <w:lang w:val="es-CR" w:eastAsia="es-ES"/>
        </w:rPr>
        <w:t>Bancos Privados</w:t>
      </w:r>
    </w:p>
    <w:p w:rsidRPr="00A54FFB" w:rsidR="008126A5" w:rsidP="008126A5" w:rsidRDefault="008126A5" w14:paraId="2A64DBD7" w14:textId="77777777">
      <w:pPr>
        <w:widowControl w:val="0"/>
        <w:numPr>
          <w:ilvl w:val="0"/>
          <w:numId w:val="4"/>
        </w:numPr>
        <w:spacing w:after="200" w:line="240" w:lineRule="auto"/>
        <w:ind w:left="567" w:right="86" w:hanging="567"/>
        <w:contextualSpacing/>
        <w:rPr>
          <w:b/>
          <w:sz w:val="24"/>
          <w:lang w:val="es-CR" w:eastAsia="es-ES"/>
        </w:rPr>
      </w:pPr>
      <w:r w:rsidRPr="00A54FFB">
        <w:rPr>
          <w:b/>
          <w:sz w:val="24"/>
          <w:lang w:val="es-CR" w:eastAsia="es-ES"/>
        </w:rPr>
        <w:t>Empresas Financieras no Bancarias</w:t>
      </w:r>
    </w:p>
    <w:p w:rsidRPr="00A54FFB" w:rsidR="008126A5" w:rsidP="008126A5" w:rsidRDefault="008126A5" w14:paraId="7A528D29" w14:textId="77777777">
      <w:pPr>
        <w:widowControl w:val="0"/>
        <w:numPr>
          <w:ilvl w:val="0"/>
          <w:numId w:val="4"/>
        </w:numPr>
        <w:spacing w:after="200" w:line="240" w:lineRule="auto"/>
        <w:ind w:left="567" w:right="86" w:hanging="567"/>
        <w:contextualSpacing/>
        <w:rPr>
          <w:b/>
          <w:sz w:val="24"/>
          <w:lang w:val="es-CR" w:eastAsia="es-ES"/>
        </w:rPr>
      </w:pPr>
      <w:r w:rsidRPr="00A54FFB">
        <w:rPr>
          <w:b/>
          <w:sz w:val="24"/>
          <w:lang w:val="es-CR" w:eastAsia="es-ES"/>
        </w:rPr>
        <w:t>Organizaciones Cooperativas de Ahorro y Crédito</w:t>
      </w:r>
    </w:p>
    <w:p w:rsidRPr="00A54FFB" w:rsidR="008126A5" w:rsidP="008126A5" w:rsidRDefault="008126A5" w14:paraId="4BFE57BA" w14:textId="77777777">
      <w:pPr>
        <w:widowControl w:val="0"/>
        <w:numPr>
          <w:ilvl w:val="0"/>
          <w:numId w:val="4"/>
        </w:numPr>
        <w:spacing w:after="200" w:line="240" w:lineRule="auto"/>
        <w:ind w:left="567" w:right="86" w:hanging="567"/>
        <w:contextualSpacing/>
        <w:rPr>
          <w:b/>
          <w:sz w:val="24"/>
          <w:lang w:val="es-CR" w:eastAsia="es-ES"/>
        </w:rPr>
      </w:pPr>
      <w:r w:rsidRPr="00A54FFB">
        <w:rPr>
          <w:b/>
          <w:sz w:val="24"/>
          <w:lang w:val="es-CR" w:eastAsia="es-ES"/>
        </w:rPr>
        <w:t>Asociaciones Mutualistas de Ahorro y Crédito</w:t>
      </w:r>
    </w:p>
    <w:p w:rsidRPr="00A54FFB" w:rsidR="008126A5" w:rsidP="008126A5" w:rsidRDefault="008126A5" w14:paraId="777861E5" w14:textId="77777777">
      <w:pPr>
        <w:widowControl w:val="0"/>
        <w:numPr>
          <w:ilvl w:val="0"/>
          <w:numId w:val="4"/>
        </w:numPr>
        <w:spacing w:after="200" w:line="240" w:lineRule="auto"/>
        <w:ind w:left="567" w:right="86" w:hanging="567"/>
        <w:contextualSpacing/>
        <w:rPr>
          <w:b/>
          <w:sz w:val="24"/>
          <w:lang w:val="es-CR" w:eastAsia="es-ES"/>
        </w:rPr>
      </w:pPr>
      <w:r w:rsidRPr="00A54FFB">
        <w:rPr>
          <w:b/>
          <w:sz w:val="24"/>
          <w:lang w:val="es-CR" w:eastAsia="es-ES"/>
        </w:rPr>
        <w:t>Otras Entidades Financieras</w:t>
      </w:r>
    </w:p>
    <w:p w:rsidRPr="00A54FFB" w:rsidR="008126A5" w:rsidP="008126A5" w:rsidRDefault="008126A5" w14:paraId="60507A89" w14:textId="77777777">
      <w:pPr>
        <w:rPr>
          <w:sz w:val="24"/>
          <w:lang w:val="es-CR"/>
        </w:rPr>
      </w:pPr>
    </w:p>
    <w:p w:rsidRPr="00A54FFB" w:rsidR="008126A5" w:rsidP="008126A5" w:rsidRDefault="008126A5" w14:paraId="0A79CCCA" w14:textId="77777777">
      <w:pPr>
        <w:spacing w:line="240" w:lineRule="auto"/>
        <w:rPr>
          <w:bCs/>
          <w:i/>
          <w:sz w:val="24"/>
          <w:lang w:eastAsia="es-ES"/>
        </w:rPr>
      </w:pPr>
      <w:r w:rsidRPr="00A54FFB">
        <w:rPr>
          <w:b/>
          <w:bCs/>
          <w:sz w:val="24"/>
          <w:lang w:eastAsia="es-ES"/>
        </w:rPr>
        <w:t>Asunto</w:t>
      </w:r>
      <w:r w:rsidRPr="00A54FFB">
        <w:rPr>
          <w:bCs/>
          <w:sz w:val="24"/>
          <w:lang w:eastAsia="es-ES"/>
        </w:rPr>
        <w:t>: Inclusión de datos adicionales en la Clase de datos “</w:t>
      </w:r>
      <w:r w:rsidRPr="00A54FFB">
        <w:rPr>
          <w:bCs/>
          <w:i/>
          <w:sz w:val="24"/>
          <w:lang w:eastAsia="es-ES"/>
        </w:rPr>
        <w:t>Financiera”</w:t>
      </w:r>
      <w:r w:rsidRPr="00A54FFB">
        <w:rPr>
          <w:bCs/>
          <w:sz w:val="24"/>
          <w:lang w:eastAsia="es-ES"/>
        </w:rPr>
        <w:t xml:space="preserve"> </w:t>
      </w:r>
    </w:p>
    <w:p w:rsidRPr="00A54FFB" w:rsidR="008126A5" w:rsidP="008126A5" w:rsidRDefault="008126A5" w14:paraId="7DB20DE3" w14:textId="77777777">
      <w:pPr>
        <w:spacing w:line="240" w:lineRule="auto"/>
        <w:jc w:val="center"/>
        <w:rPr>
          <w:bCs/>
          <w:sz w:val="24"/>
          <w:lang w:eastAsia="es-ES"/>
        </w:rPr>
      </w:pPr>
    </w:p>
    <w:p w:rsidRPr="00A54FFB" w:rsidR="008126A5" w:rsidP="008126A5" w:rsidRDefault="008126A5" w14:paraId="32CBB99F" w14:textId="77777777">
      <w:pPr>
        <w:keepNext/>
        <w:keepLines/>
        <w:contextualSpacing/>
        <w:jc w:val="left"/>
        <w:outlineLvl w:val="2"/>
        <w:rPr>
          <w:rFonts w:eastAsia="Malgun Gothic"/>
          <w:sz w:val="24"/>
        </w:rPr>
      </w:pPr>
      <w:r w:rsidRPr="00A54FFB">
        <w:rPr>
          <w:rFonts w:eastAsia="Malgun Gothic"/>
          <w:b/>
          <w:sz w:val="24"/>
        </w:rPr>
        <w:t>Considerando</w:t>
      </w:r>
      <w:r w:rsidRPr="00A54FFB">
        <w:rPr>
          <w:rFonts w:eastAsia="Malgun Gothic"/>
          <w:sz w:val="24"/>
        </w:rPr>
        <w:t>:</w:t>
      </w:r>
    </w:p>
    <w:p w:rsidRPr="00A54FFB" w:rsidR="008126A5" w:rsidP="008126A5" w:rsidRDefault="008126A5" w14:paraId="4C9CE1DA" w14:textId="77777777">
      <w:pPr>
        <w:keepNext/>
        <w:keepLines/>
        <w:contextualSpacing/>
        <w:outlineLvl w:val="2"/>
        <w:rPr>
          <w:rFonts w:eastAsia="Malgun Gothic"/>
          <w:b/>
          <w:color w:val="1C4062"/>
          <w:sz w:val="24"/>
        </w:rPr>
      </w:pPr>
    </w:p>
    <w:p w:rsidRPr="00A54FFB" w:rsidR="008126A5" w:rsidP="008126A5" w:rsidRDefault="008126A5" w14:paraId="399140E9" w14:textId="77777777">
      <w:pPr>
        <w:numPr>
          <w:ilvl w:val="0"/>
          <w:numId w:val="5"/>
        </w:numPr>
        <w:spacing w:line="240" w:lineRule="auto"/>
        <w:ind w:hanging="248"/>
        <w:contextualSpacing/>
        <w:rPr>
          <w:sz w:val="24"/>
          <w:lang w:eastAsia="es-ES"/>
        </w:rPr>
      </w:pPr>
      <w:r w:rsidRPr="00A54FFB">
        <w:rPr>
          <w:sz w:val="24"/>
          <w:lang w:eastAsia="es-ES"/>
        </w:rPr>
        <w:t xml:space="preserve">Que el </w:t>
      </w:r>
      <w:r w:rsidRPr="00A54FFB">
        <w:rPr>
          <w:sz w:val="24"/>
        </w:rPr>
        <w:t xml:space="preserve">Consejo Nacional de Supervisión del Sistema Financiero, en el artículo 9 del acta de la sesión 1752-2022, celebrada el 29 de agosto del 2022, en lo tocante al Acuerdo SUGEF 3- 06, </w:t>
      </w:r>
      <w:r w:rsidRPr="00A54FFB">
        <w:rPr>
          <w:i/>
          <w:iCs/>
          <w:sz w:val="24"/>
        </w:rPr>
        <w:t>“Reglamento sobre la suficiencia patrimonial de entidades financieras”</w:t>
      </w:r>
      <w:r w:rsidRPr="00A54FFB">
        <w:rPr>
          <w:sz w:val="24"/>
        </w:rPr>
        <w:t xml:space="preserve"> (Versión vigente hasta el 31 de diciembre de 2024), dispuso adicionar un artículo 18 ter, (47 ter en enero 2025), que rige a partir del 1° de enero de 2024.</w:t>
      </w:r>
    </w:p>
    <w:p w:rsidRPr="00A54FFB" w:rsidR="008126A5" w:rsidP="008126A5" w:rsidRDefault="008126A5" w14:paraId="147406E2" w14:textId="77777777">
      <w:pPr>
        <w:spacing w:line="240" w:lineRule="auto"/>
        <w:ind w:left="390" w:hanging="106"/>
        <w:contextualSpacing/>
        <w:rPr>
          <w:sz w:val="24"/>
          <w:lang w:eastAsia="es-ES"/>
        </w:rPr>
      </w:pPr>
    </w:p>
    <w:p w:rsidRPr="00A54FFB" w:rsidR="008126A5" w:rsidP="008126A5" w:rsidRDefault="008126A5" w14:paraId="4238D695" w14:textId="77777777">
      <w:pPr>
        <w:numPr>
          <w:ilvl w:val="0"/>
          <w:numId w:val="5"/>
        </w:numPr>
        <w:spacing w:line="240" w:lineRule="auto"/>
        <w:ind w:hanging="248"/>
        <w:contextualSpacing/>
        <w:rPr>
          <w:sz w:val="24"/>
          <w:lang w:eastAsia="es-ES"/>
        </w:rPr>
      </w:pPr>
      <w:r w:rsidRPr="00A54FFB">
        <w:rPr>
          <w:sz w:val="24"/>
          <w:lang w:eastAsia="es-ES"/>
        </w:rPr>
        <w:t>Que el artículo 18 ter (47 ter) aprobado por el CONASSIF señala que los créditos denominados en moneda extranjera con deudores personas físicas o jurídicas que califiquen como deudores con exposición a riesgo cambiario, deben aplicar un multiplicador de 1.5 veces sobre la ponderación de riesgo de crédito que corresponda según los artículos del 11 al 18 de este Reglamento.</w:t>
      </w:r>
    </w:p>
    <w:p w:rsidRPr="00A54FFB" w:rsidR="008126A5" w:rsidP="008126A5" w:rsidRDefault="008126A5" w14:paraId="198CDABD" w14:textId="77777777">
      <w:pPr>
        <w:spacing w:line="240" w:lineRule="auto"/>
        <w:ind w:left="390" w:hanging="106"/>
        <w:contextualSpacing/>
        <w:rPr>
          <w:sz w:val="24"/>
          <w:lang w:eastAsia="es-ES"/>
        </w:rPr>
      </w:pPr>
    </w:p>
    <w:p w:rsidRPr="00A54FFB" w:rsidR="008126A5" w:rsidP="008126A5" w:rsidRDefault="008126A5" w14:paraId="4BB03883" w14:textId="77777777">
      <w:pPr>
        <w:numPr>
          <w:ilvl w:val="0"/>
          <w:numId w:val="5"/>
        </w:numPr>
        <w:spacing w:line="240" w:lineRule="auto"/>
        <w:ind w:hanging="248"/>
        <w:contextualSpacing/>
        <w:rPr>
          <w:sz w:val="24"/>
          <w:lang w:eastAsia="es-ES"/>
        </w:rPr>
      </w:pPr>
      <w:r w:rsidRPr="00A54FFB">
        <w:rPr>
          <w:sz w:val="24"/>
          <w:lang w:eastAsia="es-ES"/>
        </w:rPr>
        <w:t xml:space="preserve">Que el </w:t>
      </w:r>
      <w:r w:rsidRPr="00A54FFB">
        <w:rPr>
          <w:sz w:val="24"/>
        </w:rPr>
        <w:t>Consejo Nacional de Supervisión del Sistema Financiero, en la supracitada sesión acordó adicionar el transitorio XXIII, que establece que el multiplicador de 1.5 veces establecidos en el artículo 18 ter de este Reglamento, será aplicado de manera gradual a la cartera de créditos directos con deudores con exposición a riesgo cambiario.</w:t>
      </w:r>
    </w:p>
    <w:p w:rsidRPr="00A54FFB" w:rsidR="008126A5" w:rsidP="008126A5" w:rsidRDefault="008126A5" w14:paraId="4274C7BD" w14:textId="77777777">
      <w:pPr>
        <w:ind w:left="708" w:hanging="106"/>
        <w:rPr>
          <w:sz w:val="24"/>
        </w:rPr>
      </w:pPr>
    </w:p>
    <w:p w:rsidRPr="00A54FFB" w:rsidR="008126A5" w:rsidP="008126A5" w:rsidRDefault="008126A5" w14:paraId="151F88D0" w14:textId="77777777">
      <w:pPr>
        <w:numPr>
          <w:ilvl w:val="0"/>
          <w:numId w:val="5"/>
        </w:numPr>
        <w:spacing w:line="240" w:lineRule="auto"/>
        <w:ind w:hanging="248"/>
        <w:contextualSpacing/>
        <w:rPr>
          <w:sz w:val="24"/>
          <w:lang w:eastAsia="es-ES"/>
        </w:rPr>
      </w:pPr>
      <w:r w:rsidRPr="00A54FFB">
        <w:rPr>
          <w:sz w:val="24"/>
          <w:lang w:eastAsia="es-ES"/>
        </w:rPr>
        <w:t>Que mediante el Sistema de Captura, Verificación y Carga de Datos (SICVECA), las entidades supervisadas remiten a esta Superintendencia información financiera que complementa los balances, estados y cuentas de las entidades, entre ellas, un detalle de datos adicionales.</w:t>
      </w:r>
    </w:p>
    <w:p w:rsidRPr="00A54FFB" w:rsidR="008126A5" w:rsidP="008126A5" w:rsidRDefault="008126A5" w14:paraId="75D03D4B" w14:textId="77777777">
      <w:pPr>
        <w:spacing w:line="240" w:lineRule="auto"/>
        <w:ind w:left="390" w:hanging="248"/>
        <w:contextualSpacing/>
        <w:rPr>
          <w:sz w:val="24"/>
          <w:lang w:eastAsia="es-ES"/>
        </w:rPr>
      </w:pPr>
    </w:p>
    <w:p w:rsidRPr="00A54FFB" w:rsidR="008126A5" w:rsidP="008126A5" w:rsidRDefault="008126A5" w14:paraId="50CC6D1E" w14:textId="77777777">
      <w:pPr>
        <w:numPr>
          <w:ilvl w:val="0"/>
          <w:numId w:val="5"/>
        </w:numPr>
        <w:spacing w:line="240" w:lineRule="auto"/>
        <w:ind w:hanging="248"/>
        <w:contextualSpacing/>
        <w:rPr>
          <w:sz w:val="24"/>
          <w:lang w:eastAsia="es-ES"/>
        </w:rPr>
      </w:pPr>
      <w:r w:rsidRPr="00A54FFB">
        <w:rPr>
          <w:sz w:val="24"/>
          <w:lang w:eastAsia="es-ES"/>
        </w:rPr>
        <w:lastRenderedPageBreak/>
        <w:t xml:space="preserve">Que el “Manual de Información–SICVECA”, publicado en el sitio Web </w:t>
      </w:r>
      <w:hyperlink w:history="1" r:id="rId12">
        <w:r w:rsidRPr="00A54FFB">
          <w:rPr>
            <w:color w:val="4F81BD"/>
            <w:sz w:val="24"/>
            <w:u w:val="single"/>
            <w:lang w:eastAsia="es-ES"/>
          </w:rPr>
          <w:t>www.sugef.fi.cr</w:t>
        </w:r>
      </w:hyperlink>
      <w:r w:rsidRPr="00A54FFB">
        <w:rPr>
          <w:sz w:val="24"/>
          <w:lang w:eastAsia="es-ES"/>
        </w:rPr>
        <w:t>, contiene las instrucciones para la preparación y el envío de la información complementaria que se solicita a las entidades supervisadas. </w:t>
      </w:r>
    </w:p>
    <w:p w:rsidRPr="00A54FFB" w:rsidR="008126A5" w:rsidP="008126A5" w:rsidRDefault="008126A5" w14:paraId="4D82EFF0" w14:textId="77777777">
      <w:pPr>
        <w:spacing w:line="240" w:lineRule="auto"/>
        <w:ind w:left="390" w:hanging="248"/>
        <w:contextualSpacing/>
        <w:rPr>
          <w:sz w:val="24"/>
          <w:lang w:eastAsia="es-ES"/>
        </w:rPr>
      </w:pPr>
    </w:p>
    <w:p w:rsidRPr="00A54FFB" w:rsidR="008126A5" w:rsidP="008126A5" w:rsidRDefault="008126A5" w14:paraId="333BB470" w14:textId="77777777">
      <w:pPr>
        <w:numPr>
          <w:ilvl w:val="0"/>
          <w:numId w:val="5"/>
        </w:numPr>
        <w:spacing w:line="240" w:lineRule="auto"/>
        <w:ind w:hanging="248"/>
        <w:contextualSpacing/>
        <w:rPr>
          <w:sz w:val="24"/>
          <w:lang w:eastAsia="es-ES"/>
        </w:rPr>
      </w:pPr>
      <w:r w:rsidRPr="00A54FFB">
        <w:rPr>
          <w:sz w:val="24"/>
          <w:lang w:eastAsia="es-ES"/>
        </w:rPr>
        <w:t xml:space="preserve">Que las tablas de documentación de los XML, disponible en el “Manual de información SICVECA”, contiene el catálogo para los datos adicionales que las entidades supervisadas deben remitir. </w:t>
      </w:r>
    </w:p>
    <w:p w:rsidRPr="00A54FFB" w:rsidR="008126A5" w:rsidP="008126A5" w:rsidRDefault="008126A5" w14:paraId="1485F5E5" w14:textId="77777777">
      <w:pPr>
        <w:spacing w:line="240" w:lineRule="auto"/>
        <w:ind w:left="708"/>
        <w:jc w:val="left"/>
        <w:rPr>
          <w:sz w:val="24"/>
          <w:lang w:eastAsia="es-ES"/>
        </w:rPr>
      </w:pPr>
    </w:p>
    <w:p w:rsidRPr="00A54FFB" w:rsidR="008126A5" w:rsidP="008126A5" w:rsidRDefault="008126A5" w14:paraId="7237176C" w14:textId="77777777">
      <w:pPr>
        <w:widowControl w:val="0"/>
        <w:contextualSpacing/>
        <w:rPr>
          <w:b/>
          <w:sz w:val="24"/>
        </w:rPr>
      </w:pPr>
      <w:r w:rsidRPr="00A54FFB">
        <w:rPr>
          <w:b/>
          <w:sz w:val="24"/>
        </w:rPr>
        <w:t>Comunica que:</w:t>
      </w:r>
    </w:p>
    <w:p w:rsidRPr="00A54FFB" w:rsidR="008126A5" w:rsidP="008126A5" w:rsidRDefault="008126A5" w14:paraId="468A8425" w14:textId="77777777">
      <w:pPr>
        <w:widowControl w:val="0"/>
        <w:contextualSpacing/>
        <w:rPr>
          <w:b/>
          <w:sz w:val="24"/>
        </w:rPr>
      </w:pPr>
    </w:p>
    <w:p w:rsidRPr="00A54FFB" w:rsidR="008126A5" w:rsidP="008126A5" w:rsidRDefault="008126A5" w14:paraId="4AFC474C" w14:textId="77777777">
      <w:pPr>
        <w:numPr>
          <w:ilvl w:val="0"/>
          <w:numId w:val="3"/>
        </w:numPr>
        <w:spacing w:line="240" w:lineRule="auto"/>
        <w:ind w:left="426"/>
        <w:contextualSpacing/>
        <w:rPr>
          <w:i/>
          <w:sz w:val="24"/>
        </w:rPr>
      </w:pPr>
      <w:r w:rsidRPr="00A54FFB">
        <w:rPr>
          <w:sz w:val="24"/>
        </w:rPr>
        <w:t xml:space="preserve">En el sitio Web de esta Superintendencia, Manual de Información-SICVECA, apartado </w:t>
      </w:r>
      <w:r w:rsidRPr="00A54FFB">
        <w:rPr>
          <w:i/>
          <w:sz w:val="24"/>
        </w:rPr>
        <w:t>“Instaladores, Guías y archivos comunes”,</w:t>
      </w:r>
      <w:r w:rsidRPr="00A54FFB">
        <w:rPr>
          <w:sz w:val="24"/>
        </w:rPr>
        <w:t xml:space="preserve"> “</w:t>
      </w:r>
      <w:r w:rsidRPr="00A54FFB">
        <w:rPr>
          <w:i/>
          <w:iCs/>
          <w:sz w:val="24"/>
        </w:rPr>
        <w:t>Tablas de documentación</w:t>
      </w:r>
      <w:r w:rsidRPr="00A54FFB">
        <w:rPr>
          <w:sz w:val="24"/>
        </w:rPr>
        <w:t xml:space="preserve">”, </w:t>
      </w:r>
      <w:hyperlink w:history="1" r:id="rId13">
        <w:r w:rsidRPr="00A54FFB">
          <w:rPr>
            <w:color w:val="4F81BD"/>
            <w:sz w:val="24"/>
            <w:u w:val="single"/>
          </w:rPr>
          <w:t>https://www.sugef.fi.cr/informacion_relevante/manuales/manual_de_informacion_sicveca.aspx</w:t>
        </w:r>
      </w:hyperlink>
      <w:r w:rsidRPr="00A54FFB">
        <w:rPr>
          <w:sz w:val="24"/>
        </w:rPr>
        <w:t xml:space="preserve">, se encuentra la versión actualizada de las </w:t>
      </w:r>
      <w:r w:rsidRPr="00A54FFB">
        <w:rPr>
          <w:i/>
          <w:sz w:val="24"/>
        </w:rPr>
        <w:t xml:space="preserve">“TablasDocumentacionXML_Primera_Parte.doc” </w:t>
      </w:r>
      <w:r w:rsidRPr="00A54FFB">
        <w:rPr>
          <w:sz w:val="24"/>
        </w:rPr>
        <w:t xml:space="preserve">que incluye la incorporación de los siguientes datos: </w:t>
      </w:r>
    </w:p>
    <w:p w:rsidRPr="00A54FFB" w:rsidR="008126A5" w:rsidP="008126A5" w:rsidRDefault="008126A5" w14:paraId="4B480FDE" w14:textId="77777777">
      <w:pPr>
        <w:spacing w:line="240" w:lineRule="auto"/>
        <w:ind w:left="66"/>
        <w:contextualSpacing/>
        <w:rPr>
          <w:i/>
          <w:sz w:val="24"/>
        </w:rPr>
      </w:pPr>
    </w:p>
    <w:p w:rsidRPr="00A54FFB" w:rsidR="008126A5" w:rsidP="008126A5" w:rsidRDefault="008126A5" w14:paraId="269588A6" w14:textId="77777777">
      <w:pPr>
        <w:contextualSpacing/>
        <w:rPr>
          <w:b/>
          <w:sz w:val="24"/>
          <w:lang w:eastAsia="es-CR"/>
        </w:rPr>
      </w:pPr>
      <w:r w:rsidRPr="00A54FFB">
        <w:rPr>
          <w:b/>
          <w:sz w:val="24"/>
          <w:lang w:eastAsia="es-CR"/>
        </w:rPr>
        <w:t>Catálogo de Datos Adicionales</w:t>
      </w:r>
    </w:p>
    <w:p w:rsidRPr="00A54FFB" w:rsidR="008126A5" w:rsidP="008126A5" w:rsidRDefault="008126A5" w14:paraId="51A80957" w14:textId="77777777">
      <w:pPr>
        <w:contextualSpacing/>
        <w:rPr>
          <w:b/>
          <w:sz w:val="24"/>
          <w:lang w:eastAsia="es-CR"/>
        </w:rPr>
      </w:pPr>
    </w:p>
    <w:tbl>
      <w:tblPr>
        <w:tblW w:w="8582" w:type="dxa"/>
        <w:tblInd w:w="5" w:type="dxa"/>
        <w:tblLayout w:type="fixed"/>
        <w:tblCellMar>
          <w:left w:w="70" w:type="dxa"/>
          <w:right w:w="70" w:type="dxa"/>
        </w:tblCellMar>
        <w:tblLook w:val="04A0" w:firstRow="1" w:lastRow="0" w:firstColumn="1" w:lastColumn="0" w:noHBand="0" w:noVBand="1"/>
      </w:tblPr>
      <w:tblGrid>
        <w:gridCol w:w="958"/>
        <w:gridCol w:w="5288"/>
        <w:gridCol w:w="825"/>
        <w:gridCol w:w="1511"/>
      </w:tblGrid>
      <w:tr w:rsidRPr="00A54FFB" w:rsidR="008126A5" w:rsidTr="00B41150" w14:paraId="6D043B39" w14:textId="77777777">
        <w:trPr>
          <w:trHeight w:val="293"/>
        </w:trPr>
        <w:tc>
          <w:tcPr>
            <w:tcW w:w="958" w:type="dxa"/>
            <w:tcBorders>
              <w:top w:val="single" w:color="auto" w:sz="4" w:space="0"/>
              <w:left w:val="single" w:color="auto" w:sz="4" w:space="0"/>
              <w:bottom w:val="single" w:color="auto" w:sz="4" w:space="0"/>
              <w:right w:val="single" w:color="auto" w:sz="4" w:space="0"/>
            </w:tcBorders>
            <w:shd w:val="clear" w:color="auto" w:fill="auto"/>
          </w:tcPr>
          <w:p w:rsidRPr="00A54FFB" w:rsidR="008126A5" w:rsidP="008126A5" w:rsidRDefault="008126A5" w14:paraId="367B41EC" w14:textId="77777777">
            <w:pPr>
              <w:rPr>
                <w:b/>
                <w:sz w:val="24"/>
              </w:rPr>
            </w:pPr>
            <w:r w:rsidRPr="00A54FFB">
              <w:rPr>
                <w:b/>
                <w:sz w:val="24"/>
              </w:rPr>
              <w:t>Cuenta</w:t>
            </w:r>
          </w:p>
        </w:tc>
        <w:tc>
          <w:tcPr>
            <w:tcW w:w="5288" w:type="dxa"/>
            <w:tcBorders>
              <w:top w:val="single" w:color="auto" w:sz="4" w:space="0"/>
              <w:left w:val="single" w:color="auto" w:sz="4" w:space="0"/>
              <w:bottom w:val="single" w:color="auto" w:sz="4" w:space="0"/>
              <w:right w:val="single" w:color="auto" w:sz="4" w:space="0"/>
            </w:tcBorders>
            <w:shd w:val="clear" w:color="auto" w:fill="auto"/>
          </w:tcPr>
          <w:p w:rsidRPr="00A54FFB" w:rsidR="008126A5" w:rsidP="008126A5" w:rsidRDefault="008126A5" w14:paraId="319CC31E" w14:textId="77777777">
            <w:pPr>
              <w:rPr>
                <w:b/>
                <w:sz w:val="24"/>
              </w:rPr>
            </w:pPr>
            <w:r w:rsidRPr="00A54FFB">
              <w:rPr>
                <w:b/>
                <w:sz w:val="24"/>
              </w:rPr>
              <w:t>Descripción</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rsidRPr="00A54FFB" w:rsidR="008126A5" w:rsidP="008126A5" w:rsidRDefault="008126A5" w14:paraId="65F61B35" w14:textId="77777777">
            <w:pPr>
              <w:jc w:val="right"/>
              <w:rPr>
                <w:b/>
                <w:sz w:val="24"/>
              </w:rPr>
            </w:pPr>
            <w:r w:rsidRPr="00A54FFB">
              <w:rPr>
                <w:b/>
                <w:sz w:val="24"/>
              </w:rPr>
              <w:t>Signo</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rsidRPr="00A54FFB" w:rsidR="008126A5" w:rsidP="008126A5" w:rsidRDefault="008126A5" w14:paraId="2D7E9AC5" w14:textId="77777777">
            <w:pPr>
              <w:jc w:val="center"/>
              <w:rPr>
                <w:b/>
                <w:sz w:val="24"/>
              </w:rPr>
            </w:pPr>
            <w:r w:rsidRPr="00A54FFB">
              <w:rPr>
                <w:b/>
                <w:sz w:val="24"/>
              </w:rPr>
              <w:t>Tipo_Catálogo</w:t>
            </w:r>
          </w:p>
        </w:tc>
      </w:tr>
    </w:tbl>
    <w:p w:rsidRPr="00A54FFB" w:rsidR="008126A5" w:rsidP="008126A5" w:rsidRDefault="008126A5" w14:paraId="5660FABC" w14:textId="77777777">
      <w:pPr>
        <w:ind w:left="426"/>
        <w:contextualSpacing/>
        <w:rPr>
          <w:b/>
          <w:sz w:val="24"/>
          <w:lang w:eastAsia="es-CR"/>
        </w:rPr>
      </w:pPr>
    </w:p>
    <w:tbl>
      <w:tblPr>
        <w:tblW w:w="850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900"/>
        <w:gridCol w:w="5272"/>
        <w:gridCol w:w="824"/>
        <w:gridCol w:w="1509"/>
      </w:tblGrid>
      <w:tr w:rsidRPr="00A54FFB" w:rsidR="008126A5" w:rsidTr="00B41150" w14:paraId="3BB1DC4B" w14:textId="77777777">
        <w:trPr>
          <w:trHeight w:val="558"/>
        </w:trPr>
        <w:tc>
          <w:tcPr>
            <w:tcW w:w="900" w:type="dxa"/>
            <w:shd w:val="clear" w:color="auto" w:fill="FFFFCC"/>
          </w:tcPr>
          <w:p w:rsidRPr="00A54FFB" w:rsidR="008126A5" w:rsidP="008126A5" w:rsidRDefault="008126A5" w14:paraId="617FD00B" w14:textId="77777777">
            <w:pPr>
              <w:widowControl w:val="0"/>
              <w:autoSpaceDE w:val="0"/>
              <w:autoSpaceDN w:val="0"/>
              <w:spacing w:line="274" w:lineRule="exact"/>
              <w:ind w:left="166"/>
              <w:jc w:val="left"/>
              <w:rPr>
                <w:sz w:val="24"/>
              </w:rPr>
            </w:pPr>
            <w:r w:rsidRPr="00A54FFB">
              <w:rPr>
                <w:color w:val="00B050"/>
                <w:sz w:val="24"/>
              </w:rPr>
              <w:t>20226</w:t>
            </w:r>
          </w:p>
        </w:tc>
        <w:tc>
          <w:tcPr>
            <w:tcW w:w="5272" w:type="dxa"/>
            <w:shd w:val="clear" w:color="auto" w:fill="FFFFCC"/>
          </w:tcPr>
          <w:p w:rsidRPr="00A54FFB" w:rsidR="008126A5" w:rsidP="008126A5" w:rsidRDefault="008126A5" w14:paraId="7F5D165A"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a otros deudores con exposición a riesgo cambiario Ponderación al 0%</w:t>
            </w:r>
          </w:p>
        </w:tc>
        <w:tc>
          <w:tcPr>
            <w:tcW w:w="824" w:type="dxa"/>
            <w:shd w:val="clear" w:color="auto" w:fill="FFFFCC"/>
          </w:tcPr>
          <w:p w:rsidRPr="00A54FFB" w:rsidR="008126A5" w:rsidP="008126A5" w:rsidRDefault="008126A5" w14:paraId="312F6B2A"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032EF677"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2F7F50D4" w14:textId="77777777">
        <w:trPr>
          <w:trHeight w:val="404"/>
        </w:trPr>
        <w:tc>
          <w:tcPr>
            <w:tcW w:w="900" w:type="dxa"/>
            <w:shd w:val="clear" w:color="auto" w:fill="FFFFCC"/>
          </w:tcPr>
          <w:p w:rsidRPr="00A54FFB" w:rsidR="008126A5" w:rsidP="008126A5" w:rsidRDefault="008126A5" w14:paraId="315CF168" w14:textId="77777777">
            <w:pPr>
              <w:widowControl w:val="0"/>
              <w:autoSpaceDE w:val="0"/>
              <w:autoSpaceDN w:val="0"/>
              <w:spacing w:line="274" w:lineRule="exact"/>
              <w:ind w:left="166"/>
              <w:jc w:val="left"/>
              <w:rPr>
                <w:color w:val="00B050"/>
                <w:sz w:val="24"/>
              </w:rPr>
            </w:pPr>
            <w:r w:rsidRPr="00A54FFB">
              <w:rPr>
                <w:color w:val="00B050"/>
                <w:sz w:val="24"/>
              </w:rPr>
              <w:t>20227</w:t>
            </w:r>
          </w:p>
        </w:tc>
        <w:tc>
          <w:tcPr>
            <w:tcW w:w="5272" w:type="dxa"/>
            <w:shd w:val="clear" w:color="auto" w:fill="FFFFCC"/>
          </w:tcPr>
          <w:p w:rsidRPr="00A54FFB" w:rsidR="008126A5" w:rsidP="008126A5" w:rsidRDefault="008126A5" w14:paraId="55A5EA30"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a otros deudores con exposición a riesgo cambiario Ponderación al 10%</w:t>
            </w:r>
          </w:p>
        </w:tc>
        <w:tc>
          <w:tcPr>
            <w:tcW w:w="824" w:type="dxa"/>
            <w:shd w:val="clear" w:color="auto" w:fill="FFFFCC"/>
          </w:tcPr>
          <w:p w:rsidRPr="00A54FFB" w:rsidR="008126A5" w:rsidP="008126A5" w:rsidRDefault="008126A5" w14:paraId="5916113F"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3EA0879C"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0396FA29" w14:textId="77777777">
        <w:trPr>
          <w:trHeight w:val="510"/>
        </w:trPr>
        <w:tc>
          <w:tcPr>
            <w:tcW w:w="900" w:type="dxa"/>
            <w:shd w:val="clear" w:color="auto" w:fill="FFFFCC"/>
          </w:tcPr>
          <w:p w:rsidRPr="00A54FFB" w:rsidR="008126A5" w:rsidP="008126A5" w:rsidRDefault="008126A5" w14:paraId="424C90BC" w14:textId="77777777">
            <w:pPr>
              <w:widowControl w:val="0"/>
              <w:autoSpaceDE w:val="0"/>
              <w:autoSpaceDN w:val="0"/>
              <w:spacing w:line="274" w:lineRule="exact"/>
              <w:ind w:left="166"/>
              <w:jc w:val="left"/>
              <w:rPr>
                <w:color w:val="00B050"/>
                <w:sz w:val="24"/>
              </w:rPr>
            </w:pPr>
            <w:r w:rsidRPr="00A54FFB">
              <w:rPr>
                <w:color w:val="00B050"/>
                <w:sz w:val="24"/>
              </w:rPr>
              <w:t>20228</w:t>
            </w:r>
          </w:p>
        </w:tc>
        <w:tc>
          <w:tcPr>
            <w:tcW w:w="5272" w:type="dxa"/>
            <w:shd w:val="clear" w:color="auto" w:fill="FFFFCC"/>
          </w:tcPr>
          <w:p w:rsidRPr="00A54FFB" w:rsidR="008126A5" w:rsidP="008126A5" w:rsidRDefault="008126A5" w14:paraId="0E594D39"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hipotecarios residencial art. 15 con exposición a riesgo cambiario Ponderación al 25%</w:t>
            </w:r>
          </w:p>
        </w:tc>
        <w:tc>
          <w:tcPr>
            <w:tcW w:w="824" w:type="dxa"/>
            <w:shd w:val="clear" w:color="auto" w:fill="FFFFCC"/>
          </w:tcPr>
          <w:p w:rsidRPr="00A54FFB" w:rsidR="008126A5" w:rsidP="008126A5" w:rsidRDefault="008126A5" w14:paraId="12F43DC8"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3EF2CC5E"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30E3A67F" w14:textId="77777777">
        <w:trPr>
          <w:trHeight w:val="546"/>
        </w:trPr>
        <w:tc>
          <w:tcPr>
            <w:tcW w:w="900" w:type="dxa"/>
            <w:shd w:val="clear" w:color="auto" w:fill="FFFFCC"/>
          </w:tcPr>
          <w:p w:rsidRPr="00A54FFB" w:rsidR="008126A5" w:rsidP="008126A5" w:rsidRDefault="008126A5" w14:paraId="5207995C" w14:textId="77777777">
            <w:pPr>
              <w:widowControl w:val="0"/>
              <w:autoSpaceDE w:val="0"/>
              <w:autoSpaceDN w:val="0"/>
              <w:spacing w:line="274" w:lineRule="exact"/>
              <w:ind w:left="166"/>
              <w:jc w:val="left"/>
              <w:rPr>
                <w:color w:val="00B050"/>
                <w:sz w:val="24"/>
              </w:rPr>
            </w:pPr>
            <w:r w:rsidRPr="00A54FFB">
              <w:rPr>
                <w:color w:val="00B050"/>
                <w:sz w:val="24"/>
              </w:rPr>
              <w:t>20229</w:t>
            </w:r>
          </w:p>
        </w:tc>
        <w:tc>
          <w:tcPr>
            <w:tcW w:w="5272" w:type="dxa"/>
            <w:shd w:val="clear" w:color="auto" w:fill="FFFFCC"/>
          </w:tcPr>
          <w:p w:rsidRPr="00A54FFB" w:rsidR="008126A5" w:rsidP="008126A5" w:rsidRDefault="008126A5" w14:paraId="08934D8B"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a otros deudores con exposición a riesgo cambiario Ponderación al 25%</w:t>
            </w:r>
          </w:p>
        </w:tc>
        <w:tc>
          <w:tcPr>
            <w:tcW w:w="824" w:type="dxa"/>
            <w:shd w:val="clear" w:color="auto" w:fill="FFFFCC"/>
          </w:tcPr>
          <w:p w:rsidRPr="00A54FFB" w:rsidR="008126A5" w:rsidP="008126A5" w:rsidRDefault="008126A5" w14:paraId="16128F49"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610FA96D"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3D767D04" w14:textId="77777777">
        <w:trPr>
          <w:trHeight w:val="540"/>
        </w:trPr>
        <w:tc>
          <w:tcPr>
            <w:tcW w:w="900" w:type="dxa"/>
            <w:shd w:val="clear" w:color="auto" w:fill="FFFFCC"/>
          </w:tcPr>
          <w:p w:rsidRPr="00A54FFB" w:rsidR="008126A5" w:rsidP="008126A5" w:rsidRDefault="008126A5" w14:paraId="28771F32" w14:textId="77777777">
            <w:pPr>
              <w:widowControl w:val="0"/>
              <w:autoSpaceDE w:val="0"/>
              <w:autoSpaceDN w:val="0"/>
              <w:spacing w:line="274" w:lineRule="exact"/>
              <w:ind w:left="166"/>
              <w:jc w:val="left"/>
              <w:rPr>
                <w:color w:val="00B050"/>
                <w:sz w:val="24"/>
              </w:rPr>
            </w:pPr>
            <w:r w:rsidRPr="00A54FFB">
              <w:rPr>
                <w:color w:val="00B050"/>
                <w:sz w:val="24"/>
              </w:rPr>
              <w:t>20230</w:t>
            </w:r>
          </w:p>
        </w:tc>
        <w:tc>
          <w:tcPr>
            <w:tcW w:w="5272" w:type="dxa"/>
            <w:shd w:val="clear" w:color="auto" w:fill="FFFFCC"/>
          </w:tcPr>
          <w:p w:rsidRPr="00A54FFB" w:rsidR="008126A5" w:rsidP="008126A5" w:rsidRDefault="008126A5" w14:paraId="7CF47875"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hipotecarios residencial art. 15 con exposición a riesgo cambiario Ponderación al 30%</w:t>
            </w:r>
          </w:p>
        </w:tc>
        <w:tc>
          <w:tcPr>
            <w:tcW w:w="824" w:type="dxa"/>
            <w:shd w:val="clear" w:color="auto" w:fill="FFFFCC"/>
          </w:tcPr>
          <w:p w:rsidRPr="00A54FFB" w:rsidR="008126A5" w:rsidP="008126A5" w:rsidRDefault="008126A5" w14:paraId="49BE22A7"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1E444E24"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04CFE749" w14:textId="77777777">
        <w:trPr>
          <w:trHeight w:val="542"/>
        </w:trPr>
        <w:tc>
          <w:tcPr>
            <w:tcW w:w="900" w:type="dxa"/>
            <w:shd w:val="clear" w:color="auto" w:fill="FFFFCC"/>
          </w:tcPr>
          <w:p w:rsidRPr="00A54FFB" w:rsidR="008126A5" w:rsidP="008126A5" w:rsidRDefault="008126A5" w14:paraId="05A6D64D" w14:textId="77777777">
            <w:pPr>
              <w:widowControl w:val="0"/>
              <w:autoSpaceDE w:val="0"/>
              <w:autoSpaceDN w:val="0"/>
              <w:spacing w:line="274" w:lineRule="exact"/>
              <w:ind w:left="166"/>
              <w:jc w:val="left"/>
              <w:rPr>
                <w:color w:val="00B050"/>
                <w:sz w:val="24"/>
              </w:rPr>
            </w:pPr>
            <w:r w:rsidRPr="00A54FFB">
              <w:rPr>
                <w:color w:val="00B050"/>
                <w:sz w:val="24"/>
              </w:rPr>
              <w:t>20231</w:t>
            </w:r>
          </w:p>
        </w:tc>
        <w:tc>
          <w:tcPr>
            <w:tcW w:w="5272" w:type="dxa"/>
            <w:shd w:val="clear" w:color="auto" w:fill="FFFFCC"/>
          </w:tcPr>
          <w:p w:rsidRPr="00A54FFB" w:rsidR="008126A5" w:rsidP="008126A5" w:rsidRDefault="008126A5" w14:paraId="6C780543"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hipotecarios residencial art. 15 con exposición a riesgo cambiario Ponderación al 40%</w:t>
            </w:r>
          </w:p>
        </w:tc>
        <w:tc>
          <w:tcPr>
            <w:tcW w:w="824" w:type="dxa"/>
            <w:shd w:val="clear" w:color="auto" w:fill="FFFFCC"/>
          </w:tcPr>
          <w:p w:rsidRPr="00A54FFB" w:rsidR="008126A5" w:rsidP="008126A5" w:rsidRDefault="008126A5" w14:paraId="536ECB82"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5C8210EB"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2C42476C" w14:textId="77777777">
        <w:trPr>
          <w:trHeight w:val="544"/>
        </w:trPr>
        <w:tc>
          <w:tcPr>
            <w:tcW w:w="900" w:type="dxa"/>
            <w:shd w:val="clear" w:color="auto" w:fill="FFFFCC"/>
          </w:tcPr>
          <w:p w:rsidRPr="00A54FFB" w:rsidR="008126A5" w:rsidP="008126A5" w:rsidRDefault="008126A5" w14:paraId="36E87BD1" w14:textId="77777777">
            <w:pPr>
              <w:widowControl w:val="0"/>
              <w:autoSpaceDE w:val="0"/>
              <w:autoSpaceDN w:val="0"/>
              <w:spacing w:line="274" w:lineRule="exact"/>
              <w:ind w:left="166"/>
              <w:jc w:val="left"/>
              <w:rPr>
                <w:color w:val="00B050"/>
                <w:sz w:val="24"/>
              </w:rPr>
            </w:pPr>
            <w:r w:rsidRPr="00A54FFB">
              <w:rPr>
                <w:color w:val="00B050"/>
                <w:sz w:val="24"/>
              </w:rPr>
              <w:t>20232</w:t>
            </w:r>
          </w:p>
        </w:tc>
        <w:tc>
          <w:tcPr>
            <w:tcW w:w="5272" w:type="dxa"/>
            <w:shd w:val="clear" w:color="auto" w:fill="FFFFCC"/>
          </w:tcPr>
          <w:p w:rsidRPr="00A54FFB" w:rsidR="008126A5" w:rsidP="008126A5" w:rsidRDefault="008126A5" w14:paraId="0FE2BF6B"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hipotecarios residencial art. 15 con exposición a riesgo cambiario Ponderación al 50%</w:t>
            </w:r>
          </w:p>
        </w:tc>
        <w:tc>
          <w:tcPr>
            <w:tcW w:w="824" w:type="dxa"/>
            <w:shd w:val="clear" w:color="auto" w:fill="FFFFCC"/>
          </w:tcPr>
          <w:p w:rsidRPr="00A54FFB" w:rsidR="008126A5" w:rsidP="008126A5" w:rsidRDefault="008126A5" w14:paraId="08D63215"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1C4C0AAD"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61FC157B" w14:textId="77777777">
        <w:trPr>
          <w:trHeight w:val="552"/>
        </w:trPr>
        <w:tc>
          <w:tcPr>
            <w:tcW w:w="900" w:type="dxa"/>
            <w:shd w:val="clear" w:color="auto" w:fill="FFFFCC"/>
          </w:tcPr>
          <w:p w:rsidRPr="00A54FFB" w:rsidR="008126A5" w:rsidP="008126A5" w:rsidRDefault="008126A5" w14:paraId="05BAB309" w14:textId="77777777">
            <w:pPr>
              <w:widowControl w:val="0"/>
              <w:autoSpaceDE w:val="0"/>
              <w:autoSpaceDN w:val="0"/>
              <w:spacing w:line="274" w:lineRule="exact"/>
              <w:ind w:left="166"/>
              <w:jc w:val="left"/>
              <w:rPr>
                <w:color w:val="00B050"/>
                <w:sz w:val="24"/>
              </w:rPr>
            </w:pPr>
            <w:r w:rsidRPr="00A54FFB">
              <w:rPr>
                <w:color w:val="00B050"/>
                <w:sz w:val="24"/>
              </w:rPr>
              <w:t>20233</w:t>
            </w:r>
          </w:p>
        </w:tc>
        <w:tc>
          <w:tcPr>
            <w:tcW w:w="5272" w:type="dxa"/>
            <w:shd w:val="clear" w:color="auto" w:fill="FFFFCC"/>
          </w:tcPr>
          <w:p w:rsidRPr="00A54FFB" w:rsidR="008126A5" w:rsidP="008126A5" w:rsidRDefault="008126A5" w14:paraId="6673079B" w14:textId="77777777">
            <w:pPr>
              <w:widowControl w:val="0"/>
              <w:autoSpaceDE w:val="0"/>
              <w:autoSpaceDN w:val="0"/>
              <w:spacing w:line="237" w:lineRule="auto"/>
              <w:ind w:left="102" w:right="204"/>
              <w:jc w:val="left"/>
              <w:rPr>
                <w:color w:val="00B050"/>
                <w:sz w:val="24"/>
              </w:rPr>
            </w:pPr>
            <w:r w:rsidRPr="00A54FFB">
              <w:rPr>
                <w:color w:val="00B050"/>
                <w:sz w:val="24"/>
              </w:rPr>
              <w:t xml:space="preserve">Créditos en Moneda Extranjera a otros deudores con exposición a riesgo cambiario </w:t>
            </w:r>
            <w:r w:rsidRPr="00A54FFB">
              <w:rPr>
                <w:color w:val="00B050"/>
                <w:sz w:val="24"/>
              </w:rPr>
              <w:lastRenderedPageBreak/>
              <w:t>Ponderación al 50%</w:t>
            </w:r>
          </w:p>
        </w:tc>
        <w:tc>
          <w:tcPr>
            <w:tcW w:w="824" w:type="dxa"/>
            <w:shd w:val="clear" w:color="auto" w:fill="FFFFCC"/>
          </w:tcPr>
          <w:p w:rsidRPr="00A54FFB" w:rsidR="008126A5" w:rsidP="008126A5" w:rsidRDefault="008126A5" w14:paraId="65F7AD02" w14:textId="77777777">
            <w:pPr>
              <w:widowControl w:val="0"/>
              <w:autoSpaceDE w:val="0"/>
              <w:autoSpaceDN w:val="0"/>
              <w:spacing w:line="274" w:lineRule="exact"/>
              <w:ind w:left="9"/>
              <w:jc w:val="center"/>
              <w:rPr>
                <w:color w:val="00B050"/>
                <w:sz w:val="24"/>
              </w:rPr>
            </w:pPr>
            <w:r w:rsidRPr="00A54FFB">
              <w:rPr>
                <w:color w:val="00B050"/>
                <w:sz w:val="24"/>
              </w:rPr>
              <w:lastRenderedPageBreak/>
              <w:t>1</w:t>
            </w:r>
          </w:p>
        </w:tc>
        <w:tc>
          <w:tcPr>
            <w:tcW w:w="1509" w:type="dxa"/>
            <w:shd w:val="clear" w:color="auto" w:fill="C0C0C0"/>
          </w:tcPr>
          <w:p w:rsidRPr="00A54FFB" w:rsidR="008126A5" w:rsidP="008126A5" w:rsidRDefault="008126A5" w14:paraId="69B50E8D"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08B0EC4D" w14:textId="77777777">
        <w:trPr>
          <w:trHeight w:val="546"/>
        </w:trPr>
        <w:tc>
          <w:tcPr>
            <w:tcW w:w="900" w:type="dxa"/>
            <w:shd w:val="clear" w:color="auto" w:fill="FFFFCC"/>
          </w:tcPr>
          <w:p w:rsidRPr="00A54FFB" w:rsidR="008126A5" w:rsidP="008126A5" w:rsidRDefault="008126A5" w14:paraId="1ED0FCDB" w14:textId="77777777">
            <w:pPr>
              <w:widowControl w:val="0"/>
              <w:autoSpaceDE w:val="0"/>
              <w:autoSpaceDN w:val="0"/>
              <w:spacing w:line="274" w:lineRule="exact"/>
              <w:ind w:left="166"/>
              <w:jc w:val="left"/>
              <w:rPr>
                <w:color w:val="00B050"/>
                <w:sz w:val="24"/>
              </w:rPr>
            </w:pPr>
            <w:r w:rsidRPr="00A54FFB">
              <w:rPr>
                <w:color w:val="00B050"/>
                <w:sz w:val="24"/>
              </w:rPr>
              <w:t>20234</w:t>
            </w:r>
          </w:p>
        </w:tc>
        <w:tc>
          <w:tcPr>
            <w:tcW w:w="5272" w:type="dxa"/>
            <w:shd w:val="clear" w:color="auto" w:fill="FFFFCC"/>
          </w:tcPr>
          <w:p w:rsidRPr="00A54FFB" w:rsidR="008126A5" w:rsidP="008126A5" w:rsidRDefault="008126A5" w14:paraId="528129FC"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hipotecarios residencial art. 15 con exposición a riesgo cambiario Ponderación al 60%</w:t>
            </w:r>
          </w:p>
        </w:tc>
        <w:tc>
          <w:tcPr>
            <w:tcW w:w="824" w:type="dxa"/>
            <w:shd w:val="clear" w:color="auto" w:fill="FFFFCC"/>
          </w:tcPr>
          <w:p w:rsidRPr="00A54FFB" w:rsidR="008126A5" w:rsidP="008126A5" w:rsidRDefault="008126A5" w14:paraId="40348CE0"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3B0D4F88"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414CF862" w14:textId="77777777">
        <w:trPr>
          <w:trHeight w:val="550"/>
        </w:trPr>
        <w:tc>
          <w:tcPr>
            <w:tcW w:w="900" w:type="dxa"/>
            <w:shd w:val="clear" w:color="auto" w:fill="FFFFCC"/>
          </w:tcPr>
          <w:p w:rsidRPr="00A54FFB" w:rsidR="008126A5" w:rsidP="008126A5" w:rsidRDefault="008126A5" w14:paraId="0665FBED" w14:textId="77777777">
            <w:pPr>
              <w:widowControl w:val="0"/>
              <w:autoSpaceDE w:val="0"/>
              <w:autoSpaceDN w:val="0"/>
              <w:spacing w:line="274" w:lineRule="exact"/>
              <w:ind w:left="166"/>
              <w:jc w:val="left"/>
              <w:rPr>
                <w:color w:val="00B050"/>
                <w:sz w:val="24"/>
              </w:rPr>
            </w:pPr>
            <w:r w:rsidRPr="00A54FFB">
              <w:rPr>
                <w:color w:val="00B050"/>
                <w:sz w:val="24"/>
              </w:rPr>
              <w:t>20235</w:t>
            </w:r>
          </w:p>
          <w:p w:rsidRPr="00A54FFB" w:rsidR="008126A5" w:rsidP="008126A5" w:rsidRDefault="008126A5" w14:paraId="117E5E2F" w14:textId="77777777">
            <w:pPr>
              <w:widowControl w:val="0"/>
              <w:autoSpaceDE w:val="0"/>
              <w:autoSpaceDN w:val="0"/>
              <w:spacing w:line="274" w:lineRule="exact"/>
              <w:ind w:left="102"/>
              <w:jc w:val="left"/>
              <w:rPr>
                <w:color w:val="00B050"/>
                <w:sz w:val="24"/>
              </w:rPr>
            </w:pPr>
          </w:p>
        </w:tc>
        <w:tc>
          <w:tcPr>
            <w:tcW w:w="5272" w:type="dxa"/>
            <w:shd w:val="clear" w:color="auto" w:fill="FFFFCC"/>
          </w:tcPr>
          <w:p w:rsidRPr="00A54FFB" w:rsidR="008126A5" w:rsidP="008126A5" w:rsidRDefault="008126A5" w14:paraId="37EFF58F"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a otros deudores con exposición a riesgo cambiario Ponderación al 75%</w:t>
            </w:r>
          </w:p>
        </w:tc>
        <w:tc>
          <w:tcPr>
            <w:tcW w:w="824" w:type="dxa"/>
            <w:shd w:val="clear" w:color="auto" w:fill="FFFFCC"/>
          </w:tcPr>
          <w:p w:rsidRPr="00A54FFB" w:rsidR="008126A5" w:rsidP="008126A5" w:rsidRDefault="008126A5" w14:paraId="0BAC498B"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6B8DFDC2"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2DC61494" w14:textId="77777777">
        <w:trPr>
          <w:trHeight w:val="544"/>
        </w:trPr>
        <w:tc>
          <w:tcPr>
            <w:tcW w:w="900" w:type="dxa"/>
            <w:shd w:val="clear" w:color="auto" w:fill="FFFFCC"/>
          </w:tcPr>
          <w:p w:rsidRPr="00A54FFB" w:rsidR="008126A5" w:rsidP="008126A5" w:rsidRDefault="008126A5" w14:paraId="40E199A6" w14:textId="77777777">
            <w:pPr>
              <w:widowControl w:val="0"/>
              <w:autoSpaceDE w:val="0"/>
              <w:autoSpaceDN w:val="0"/>
              <w:spacing w:line="274" w:lineRule="exact"/>
              <w:ind w:left="166"/>
              <w:jc w:val="left"/>
              <w:rPr>
                <w:color w:val="00B050"/>
                <w:sz w:val="24"/>
              </w:rPr>
            </w:pPr>
            <w:r w:rsidRPr="00A54FFB">
              <w:rPr>
                <w:color w:val="00B050"/>
                <w:sz w:val="24"/>
              </w:rPr>
              <w:t>20236</w:t>
            </w:r>
          </w:p>
        </w:tc>
        <w:tc>
          <w:tcPr>
            <w:tcW w:w="5272" w:type="dxa"/>
            <w:shd w:val="clear" w:color="auto" w:fill="FFFFCC"/>
          </w:tcPr>
          <w:p w:rsidRPr="00A54FFB" w:rsidR="008126A5" w:rsidP="008126A5" w:rsidRDefault="008126A5" w14:paraId="29D04B2D"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hipotecarios residencial art. 15 con exposición a riesgo cambiario Ponderación al 80%</w:t>
            </w:r>
          </w:p>
        </w:tc>
        <w:tc>
          <w:tcPr>
            <w:tcW w:w="824" w:type="dxa"/>
            <w:shd w:val="clear" w:color="auto" w:fill="FFFFCC"/>
          </w:tcPr>
          <w:p w:rsidRPr="00A54FFB" w:rsidR="008126A5" w:rsidP="008126A5" w:rsidRDefault="008126A5" w14:paraId="36E0B6F8"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65D815B8"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70752F68" w14:textId="77777777">
        <w:trPr>
          <w:trHeight w:val="537"/>
        </w:trPr>
        <w:tc>
          <w:tcPr>
            <w:tcW w:w="900" w:type="dxa"/>
            <w:shd w:val="clear" w:color="auto" w:fill="FFFFCC"/>
          </w:tcPr>
          <w:p w:rsidRPr="00A54FFB" w:rsidR="008126A5" w:rsidP="008126A5" w:rsidRDefault="008126A5" w14:paraId="2310385A" w14:textId="77777777">
            <w:pPr>
              <w:widowControl w:val="0"/>
              <w:autoSpaceDE w:val="0"/>
              <w:autoSpaceDN w:val="0"/>
              <w:spacing w:line="274" w:lineRule="exact"/>
              <w:ind w:left="166"/>
              <w:jc w:val="left"/>
              <w:rPr>
                <w:color w:val="00B050"/>
                <w:sz w:val="24"/>
              </w:rPr>
            </w:pPr>
            <w:r w:rsidRPr="00A54FFB">
              <w:rPr>
                <w:color w:val="00B050"/>
                <w:sz w:val="24"/>
              </w:rPr>
              <w:t>20237</w:t>
            </w:r>
          </w:p>
        </w:tc>
        <w:tc>
          <w:tcPr>
            <w:tcW w:w="5272" w:type="dxa"/>
            <w:shd w:val="clear" w:color="auto" w:fill="FFFFCC"/>
          </w:tcPr>
          <w:p w:rsidRPr="00A54FFB" w:rsidR="008126A5" w:rsidP="008126A5" w:rsidRDefault="008126A5" w14:paraId="404E8C38"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a otros deudores con exposición a riesgo cambiario Ponderación al 90%</w:t>
            </w:r>
          </w:p>
        </w:tc>
        <w:tc>
          <w:tcPr>
            <w:tcW w:w="824" w:type="dxa"/>
            <w:shd w:val="clear" w:color="auto" w:fill="FFFFCC"/>
          </w:tcPr>
          <w:p w:rsidRPr="00A54FFB" w:rsidR="008126A5" w:rsidP="008126A5" w:rsidRDefault="008126A5" w14:paraId="20660AAD"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05B44985" w14:textId="77777777">
            <w:pPr>
              <w:widowControl w:val="0"/>
              <w:autoSpaceDE w:val="0"/>
              <w:autoSpaceDN w:val="0"/>
              <w:spacing w:line="274" w:lineRule="exact"/>
              <w:ind w:right="700"/>
              <w:jc w:val="right"/>
              <w:rPr>
                <w:color w:val="00B050"/>
                <w:sz w:val="24"/>
              </w:rPr>
            </w:pPr>
            <w:r w:rsidRPr="00A54FFB">
              <w:rPr>
                <w:color w:val="00B050"/>
                <w:sz w:val="24"/>
              </w:rPr>
              <w:t>2</w:t>
            </w:r>
          </w:p>
        </w:tc>
      </w:tr>
      <w:tr w:rsidRPr="00A54FFB" w:rsidR="008126A5" w:rsidTr="00B41150" w14:paraId="74845161" w14:textId="77777777">
        <w:trPr>
          <w:trHeight w:val="530"/>
        </w:trPr>
        <w:tc>
          <w:tcPr>
            <w:tcW w:w="900" w:type="dxa"/>
            <w:shd w:val="clear" w:color="auto" w:fill="FFFFCC"/>
          </w:tcPr>
          <w:p w:rsidRPr="00A54FFB" w:rsidR="008126A5" w:rsidP="008126A5" w:rsidRDefault="008126A5" w14:paraId="5AA89C8B" w14:textId="77777777">
            <w:pPr>
              <w:widowControl w:val="0"/>
              <w:autoSpaceDE w:val="0"/>
              <w:autoSpaceDN w:val="0"/>
              <w:spacing w:line="274" w:lineRule="exact"/>
              <w:ind w:left="166"/>
              <w:jc w:val="left"/>
              <w:rPr>
                <w:color w:val="00B050"/>
                <w:sz w:val="24"/>
              </w:rPr>
            </w:pPr>
            <w:bookmarkStart w:name="_Hlk156397276" w:id="0"/>
            <w:r w:rsidRPr="00A54FFB">
              <w:rPr>
                <w:color w:val="00B050"/>
                <w:sz w:val="24"/>
              </w:rPr>
              <w:t>20238</w:t>
            </w:r>
          </w:p>
        </w:tc>
        <w:tc>
          <w:tcPr>
            <w:tcW w:w="5272" w:type="dxa"/>
            <w:shd w:val="clear" w:color="auto" w:fill="FFFFCC"/>
          </w:tcPr>
          <w:p w:rsidRPr="00A54FFB" w:rsidR="008126A5" w:rsidP="008126A5" w:rsidRDefault="008126A5" w14:paraId="118A72C4" w14:textId="77777777">
            <w:pPr>
              <w:widowControl w:val="0"/>
              <w:autoSpaceDE w:val="0"/>
              <w:autoSpaceDN w:val="0"/>
              <w:spacing w:line="237" w:lineRule="auto"/>
              <w:ind w:left="102" w:right="204"/>
              <w:jc w:val="left"/>
              <w:rPr>
                <w:color w:val="00B050"/>
                <w:sz w:val="24"/>
              </w:rPr>
            </w:pPr>
            <w:r w:rsidRPr="00A54FFB">
              <w:rPr>
                <w:color w:val="00B050"/>
                <w:sz w:val="24"/>
              </w:rPr>
              <w:t>Créditos en Moneda Extranjera a otros deudores con exposición a riesgo cambiario Ponderación al 100%</w:t>
            </w:r>
          </w:p>
        </w:tc>
        <w:tc>
          <w:tcPr>
            <w:tcW w:w="824" w:type="dxa"/>
            <w:shd w:val="clear" w:color="auto" w:fill="FFFFCC"/>
          </w:tcPr>
          <w:p w:rsidRPr="00A54FFB" w:rsidR="008126A5" w:rsidP="008126A5" w:rsidRDefault="008126A5" w14:paraId="07617CC2" w14:textId="77777777">
            <w:pPr>
              <w:widowControl w:val="0"/>
              <w:autoSpaceDE w:val="0"/>
              <w:autoSpaceDN w:val="0"/>
              <w:spacing w:line="274" w:lineRule="exact"/>
              <w:ind w:left="9"/>
              <w:jc w:val="center"/>
              <w:rPr>
                <w:color w:val="00B050"/>
                <w:sz w:val="24"/>
              </w:rPr>
            </w:pPr>
            <w:r w:rsidRPr="00A54FFB">
              <w:rPr>
                <w:color w:val="00B050"/>
                <w:sz w:val="24"/>
              </w:rPr>
              <w:t>1</w:t>
            </w:r>
          </w:p>
        </w:tc>
        <w:tc>
          <w:tcPr>
            <w:tcW w:w="1509" w:type="dxa"/>
            <w:shd w:val="clear" w:color="auto" w:fill="C0C0C0"/>
          </w:tcPr>
          <w:p w:rsidRPr="00A54FFB" w:rsidR="008126A5" w:rsidP="008126A5" w:rsidRDefault="008126A5" w14:paraId="41FBD0C1" w14:textId="77777777">
            <w:pPr>
              <w:widowControl w:val="0"/>
              <w:autoSpaceDE w:val="0"/>
              <w:autoSpaceDN w:val="0"/>
              <w:spacing w:line="274" w:lineRule="exact"/>
              <w:ind w:right="700"/>
              <w:jc w:val="right"/>
              <w:rPr>
                <w:color w:val="00B050"/>
                <w:sz w:val="24"/>
              </w:rPr>
            </w:pPr>
            <w:r w:rsidRPr="00A54FFB">
              <w:rPr>
                <w:color w:val="00B050"/>
                <w:sz w:val="24"/>
              </w:rPr>
              <w:t>2</w:t>
            </w:r>
          </w:p>
        </w:tc>
      </w:tr>
      <w:bookmarkEnd w:id="0"/>
    </w:tbl>
    <w:p w:rsidRPr="00A54FFB" w:rsidR="008126A5" w:rsidP="008126A5" w:rsidRDefault="008126A5" w14:paraId="1332EB34" w14:textId="77777777">
      <w:pPr>
        <w:ind w:left="426"/>
        <w:contextualSpacing/>
        <w:rPr>
          <w:b/>
          <w:sz w:val="24"/>
          <w:lang w:eastAsia="es-CR"/>
        </w:rPr>
      </w:pPr>
    </w:p>
    <w:p w:rsidRPr="00A54FFB" w:rsidR="008126A5" w:rsidP="008126A5" w:rsidRDefault="008126A5" w14:paraId="2375F233" w14:textId="77777777">
      <w:pPr>
        <w:numPr>
          <w:ilvl w:val="0"/>
          <w:numId w:val="3"/>
        </w:numPr>
        <w:spacing w:line="240" w:lineRule="auto"/>
        <w:ind w:left="426"/>
        <w:contextualSpacing/>
        <w:rPr>
          <w:sz w:val="24"/>
        </w:rPr>
      </w:pPr>
      <w:r w:rsidRPr="00A54FFB">
        <w:rPr>
          <w:sz w:val="24"/>
        </w:rPr>
        <w:t>Las operaciones crediticias de deudores sin exposición a riesgo cambiario se continúan reportando en los datos adicionales vigentes.</w:t>
      </w:r>
    </w:p>
    <w:p w:rsidRPr="00A54FFB" w:rsidR="008126A5" w:rsidP="008126A5" w:rsidRDefault="008126A5" w14:paraId="7ED94CDD" w14:textId="77777777">
      <w:pPr>
        <w:spacing w:line="240" w:lineRule="auto"/>
        <w:ind w:left="426"/>
        <w:contextualSpacing/>
        <w:rPr>
          <w:sz w:val="24"/>
        </w:rPr>
      </w:pPr>
    </w:p>
    <w:p w:rsidRPr="00A54FFB" w:rsidR="008126A5" w:rsidP="008126A5" w:rsidRDefault="008126A5" w14:paraId="7166BF48" w14:textId="77777777">
      <w:pPr>
        <w:numPr>
          <w:ilvl w:val="0"/>
          <w:numId w:val="3"/>
        </w:numPr>
        <w:spacing w:line="240" w:lineRule="auto"/>
        <w:ind w:left="426"/>
        <w:contextualSpacing/>
        <w:rPr>
          <w:sz w:val="24"/>
        </w:rPr>
      </w:pPr>
      <w:r w:rsidRPr="00A54FFB">
        <w:rPr>
          <w:sz w:val="24"/>
        </w:rPr>
        <w:t xml:space="preserve">Los datos adicionales detallados en la tabla anterior deben ser remitidos </w:t>
      </w:r>
      <w:r w:rsidRPr="00A54FFB">
        <w:rPr>
          <w:iCs/>
          <w:sz w:val="24"/>
        </w:rPr>
        <w:t xml:space="preserve">en la clase de datos </w:t>
      </w:r>
      <w:r w:rsidRPr="00A54FFB">
        <w:rPr>
          <w:i/>
          <w:sz w:val="24"/>
        </w:rPr>
        <w:t xml:space="preserve">“Financiero”, </w:t>
      </w:r>
      <w:r w:rsidRPr="00A54FFB">
        <w:rPr>
          <w:sz w:val="24"/>
        </w:rPr>
        <w:t>a partir del envío de la información mensual correspondiente al corte a enero 2024.</w:t>
      </w:r>
    </w:p>
    <w:p w:rsidRPr="00A54FFB" w:rsidR="008126A5" w:rsidP="008126A5" w:rsidRDefault="008126A5" w14:paraId="0DC516E2" w14:textId="77777777">
      <w:pPr>
        <w:ind w:left="708"/>
        <w:rPr>
          <w:sz w:val="24"/>
        </w:rPr>
      </w:pPr>
    </w:p>
    <w:p w:rsidRPr="00A54FFB" w:rsidR="008126A5" w:rsidP="008126A5" w:rsidRDefault="008126A5" w14:paraId="5D0B9AF7" w14:textId="77777777">
      <w:pPr>
        <w:numPr>
          <w:ilvl w:val="0"/>
          <w:numId w:val="3"/>
        </w:numPr>
        <w:spacing w:line="240" w:lineRule="auto"/>
        <w:ind w:left="426"/>
        <w:contextualSpacing/>
        <w:rPr>
          <w:sz w:val="24"/>
        </w:rPr>
      </w:pPr>
      <w:r w:rsidRPr="00A54FFB">
        <w:rPr>
          <w:sz w:val="24"/>
        </w:rPr>
        <w:t>Se otorga una prórroga de cinco días hábiles para la remisión del XML Financiero con corte a enero 2024, el cual podrá remitirse hasta el 14 de febrero de 2024.</w:t>
      </w:r>
    </w:p>
    <w:p w:rsidRPr="00A54FFB" w:rsidR="008126A5" w:rsidP="008126A5" w:rsidRDefault="008126A5" w14:paraId="2144DEC8" w14:textId="77777777">
      <w:pPr>
        <w:keepNext/>
        <w:keepLines/>
        <w:ind w:left="426"/>
        <w:contextualSpacing/>
        <w:outlineLvl w:val="2"/>
        <w:rPr>
          <w:rFonts w:eastAsia="Malgun Gothic"/>
          <w:color w:val="1C4062"/>
          <w:sz w:val="24"/>
        </w:rPr>
      </w:pPr>
    </w:p>
    <w:p w:rsidRPr="00A54FFB" w:rsidR="008126A5" w:rsidP="008126A5" w:rsidRDefault="008126A5" w14:paraId="6A236B75" w14:textId="77777777">
      <w:pPr>
        <w:jc w:val="left"/>
        <w:rPr>
          <w:bCs/>
          <w:sz w:val="24"/>
          <w:lang w:eastAsia="es-CR"/>
        </w:rPr>
      </w:pPr>
      <w:r w:rsidRPr="00A54FFB">
        <w:rPr>
          <w:bCs/>
          <w:sz w:val="24"/>
          <w:lang w:eastAsia="es-CR"/>
        </w:rPr>
        <w:t xml:space="preserve">Para consultas a los correos: </w:t>
      </w:r>
      <w:hyperlink w:history="1" r:id="rId14">
        <w:r w:rsidRPr="00A54FFB">
          <w:rPr>
            <w:bCs/>
            <w:sz w:val="24"/>
            <w:lang w:eastAsia="es-CR"/>
          </w:rPr>
          <w:t>ConsultasFinanciero@sugef.fi.cr</w:t>
        </w:r>
      </w:hyperlink>
      <w:r w:rsidRPr="00A54FFB">
        <w:rPr>
          <w:bCs/>
          <w:sz w:val="24"/>
          <w:lang w:eastAsia="es-CR"/>
        </w:rPr>
        <w:t xml:space="preserve">. </w:t>
      </w:r>
    </w:p>
    <w:p w:rsidRPr="00A54FFB" w:rsidR="008126A5" w:rsidP="008126A5" w:rsidRDefault="008126A5" w14:paraId="6BDE484F" w14:textId="77777777">
      <w:pPr>
        <w:spacing w:line="240" w:lineRule="auto"/>
        <w:rPr>
          <w:sz w:val="24"/>
        </w:rPr>
      </w:pPr>
    </w:p>
    <w:p w:rsidRPr="00A54FFB" w:rsidR="008126A5" w:rsidP="008126A5" w:rsidRDefault="008126A5" w14:paraId="4988F29D" w14:textId="77777777">
      <w:pPr>
        <w:spacing w:line="240" w:lineRule="auto"/>
        <w:rPr>
          <w:sz w:val="24"/>
        </w:rPr>
      </w:pPr>
      <w:r w:rsidRPr="00A54FFB">
        <w:rPr>
          <w:sz w:val="24"/>
        </w:rPr>
        <w:t>Atentamente,</w:t>
      </w:r>
    </w:p>
    <w:p w:rsidRPr="00A54FFB" w:rsidR="008126A5" w:rsidP="008126A5" w:rsidRDefault="008126A5" w14:paraId="25D04AE0" w14:textId="6C759D05">
      <w:pPr>
        <w:spacing w:line="240" w:lineRule="auto"/>
        <w:rPr>
          <w:sz w:val="24"/>
        </w:rPr>
      </w:pPr>
      <w:r w:rsidRPr="00A54FFB">
        <w:rPr>
          <w:noProof/>
          <w:sz w:val="24"/>
        </w:rPr>
        <w:drawing>
          <wp:anchor distT="0" distB="0" distL="114300" distR="114300" simplePos="0" relativeHeight="251659264" behindDoc="1" locked="0" layoutInCell="1" allowOverlap="1" wp14:editId="733FAA4F" wp14:anchorId="35670E35">
            <wp:simplePos x="0" y="0"/>
            <wp:positionH relativeFrom="column">
              <wp:posOffset>-165735</wp:posOffset>
            </wp:positionH>
            <wp:positionV relativeFrom="paragraph">
              <wp:posOffset>93345</wp:posOffset>
            </wp:positionV>
            <wp:extent cx="2517775" cy="3816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777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54FFB" w:rsidR="008126A5" w:rsidP="008126A5" w:rsidRDefault="008126A5" w14:paraId="42D5450C" w14:textId="77777777">
      <w:pPr>
        <w:spacing w:line="240" w:lineRule="auto"/>
        <w:jc w:val="left"/>
        <w:rPr>
          <w:sz w:val="24"/>
        </w:rPr>
      </w:pPr>
    </w:p>
    <w:p w:rsidRPr="00A54FFB" w:rsidR="008126A5" w:rsidP="008126A5" w:rsidRDefault="008126A5" w14:paraId="0AC6B6C1" w14:textId="77777777">
      <w:pPr>
        <w:spacing w:line="240" w:lineRule="auto"/>
        <w:jc w:val="left"/>
        <w:rPr>
          <w:sz w:val="24"/>
        </w:rPr>
      </w:pPr>
    </w:p>
    <w:p w:rsidRPr="00A54FFB" w:rsidR="008126A5" w:rsidP="008126A5" w:rsidRDefault="008126A5" w14:paraId="045DB1FB" w14:textId="77777777">
      <w:pPr>
        <w:spacing w:line="240" w:lineRule="auto"/>
        <w:jc w:val="left"/>
        <w:rPr>
          <w:sz w:val="24"/>
        </w:rPr>
      </w:pPr>
      <w:r w:rsidRPr="00A54FFB">
        <w:rPr>
          <w:sz w:val="24"/>
        </w:rPr>
        <w:t>José Armando Fallas Martínez</w:t>
      </w:r>
    </w:p>
    <w:p w:rsidRPr="00A54FFB" w:rsidR="008126A5" w:rsidP="008126A5" w:rsidRDefault="008126A5" w14:paraId="19818F93" w14:textId="77777777">
      <w:pPr>
        <w:spacing w:line="240" w:lineRule="auto"/>
        <w:jc w:val="left"/>
        <w:rPr>
          <w:b/>
          <w:noProof/>
          <w:sz w:val="24"/>
          <w:lang w:val="es-CR" w:eastAsia="es-CR"/>
        </w:rPr>
      </w:pPr>
      <w:r w:rsidRPr="00A54FFB">
        <w:rPr>
          <w:b/>
          <w:sz w:val="24"/>
        </w:rPr>
        <w:t xml:space="preserve">Intendente General </w:t>
      </w:r>
      <w:r w:rsidRPr="00A54FFB">
        <w:rPr>
          <w:b/>
          <w:noProof/>
          <w:sz w:val="24"/>
          <w:lang w:val="es-CR" w:eastAsia="es-CR"/>
        </w:rPr>
        <w:t xml:space="preserve"> </w:t>
      </w:r>
    </w:p>
    <w:p w:rsidRPr="00A54FFB" w:rsidR="008126A5" w:rsidP="008126A5" w:rsidRDefault="008126A5" w14:paraId="1A6DC662" w14:textId="77777777">
      <w:pPr>
        <w:spacing w:line="240" w:lineRule="auto"/>
        <w:jc w:val="left"/>
        <w:rPr>
          <w:b/>
          <w:bCs/>
          <w:sz w:val="24"/>
          <w:lang w:val="es-CR"/>
        </w:rPr>
      </w:pPr>
    </w:p>
    <w:p w:rsidRPr="00A54FFB" w:rsidR="008126A5" w:rsidP="008126A5" w:rsidRDefault="008126A5" w14:paraId="00605820" w14:textId="77777777">
      <w:pPr>
        <w:spacing w:line="240" w:lineRule="auto"/>
        <w:jc w:val="left"/>
        <w:rPr>
          <w:b/>
          <w:bCs/>
          <w:sz w:val="24"/>
        </w:rPr>
      </w:pPr>
    </w:p>
    <w:p w:rsidRPr="00A54FFB" w:rsidR="008126A5" w:rsidP="008126A5" w:rsidRDefault="008126A5" w14:paraId="0B2171C9" w14:textId="77777777">
      <w:pPr>
        <w:spacing w:line="240" w:lineRule="auto"/>
        <w:rPr>
          <w:b/>
          <w:sz w:val="24"/>
        </w:rPr>
      </w:pPr>
      <w:r w:rsidRPr="00A54FFB">
        <w:rPr>
          <w:b/>
          <w:sz w:val="24"/>
        </w:rPr>
        <w:t>JSC/ACU/gvl*</w:t>
      </w:r>
    </w:p>
    <w:p w:rsidRPr="00A54FFB" w:rsidR="008126A5" w:rsidP="008126A5" w:rsidRDefault="008126A5" w14:paraId="1D16DB4E" w14:textId="77777777">
      <w:pPr>
        <w:tabs>
          <w:tab w:val="left" w:pos="7187"/>
        </w:tabs>
        <w:rPr>
          <w:sz w:val="24"/>
        </w:rPr>
      </w:pPr>
    </w:p>
    <w:p w:rsidRPr="008126A5" w:rsidR="008126A5" w:rsidP="008126A5" w:rsidRDefault="008126A5" w14:paraId="10E7F26E" w14:textId="77777777">
      <w:pPr>
        <w:spacing w:line="240" w:lineRule="auto"/>
        <w:rPr>
          <w:sz w:val="24"/>
        </w:rPr>
      </w:pPr>
    </w:p>
    <w:p w:rsidRPr="008126A5" w:rsidR="008126A5" w:rsidP="008126A5" w:rsidRDefault="008126A5" w14:paraId="2D4C2BE8" w14:textId="77777777">
      <w:pPr>
        <w:spacing w:line="240" w:lineRule="auto"/>
        <w:rPr>
          <w:sz w:val="24"/>
        </w:rPr>
      </w:pPr>
    </w:p>
    <w:p w:rsidR="00E42AAC" w:rsidP="008126A5" w:rsidRDefault="00E42AAC" w14:paraId="0B20DAFD" w14:textId="77777777">
      <w:pPr>
        <w:pStyle w:val="Texto"/>
        <w:spacing w:before="0" w:after="0" w:line="240" w:lineRule="auto"/>
      </w:pPr>
    </w:p>
    <w:sectPr w:rsidR="00E42AAC">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72F6" w14:textId="77777777" w:rsidR="008126A5" w:rsidRDefault="008126A5" w:rsidP="00181ABF">
      <w:pPr>
        <w:spacing w:line="240" w:lineRule="auto"/>
      </w:pPr>
      <w:r>
        <w:separator/>
      </w:r>
    </w:p>
  </w:endnote>
  <w:endnote w:type="continuationSeparator" w:id="0">
    <w:p w14:paraId="78B02175" w14:textId="77777777" w:rsidR="008126A5" w:rsidRDefault="008126A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48D85B7A" w14:textId="77777777">
      <w:tc>
        <w:tcPr>
          <w:tcW w:w="7356" w:type="dxa"/>
        </w:tcPr>
        <w:p w:rsidRPr="00637782" w:rsidR="008D6B05" w:rsidP="008D6B05" w:rsidRDefault="008D6B05" w14:paraId="6958268A"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7A17A97F" wp14:anchorId="028D197E">
                    <wp:simplePos x="0" y="0"/>
                    <wp:positionH relativeFrom="page">
                      <wp:posOffset>0</wp:posOffset>
                    </wp:positionH>
                    <wp:positionV relativeFrom="page">
                      <wp:posOffset>9594215</wp:posOffset>
                    </wp:positionV>
                    <wp:extent cx="7772400" cy="273050"/>
                    <wp:effectExtent l="0" t="0" r="0" b="12700"/>
                    <wp:wrapNone/>
                    <wp:docPr id="4" name="MSIPCMd58e4a0496fd858e1b0e6d0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B05" w:rsidR="008D6B05" w:rsidP="008D6B05" w:rsidRDefault="008D6B05" w14:paraId="78CE6C37" w14:textId="77777777">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28D197E">
                    <v:stroke joinstyle="miter"/>
                    <v:path gradientshapeok="t" o:connecttype="rect"/>
                  </v:shapetype>
                  <v:shape id="MSIPCMd58e4a0496fd858e1b0e6d07"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D6B05" w:rsidR="008D6B05" w:rsidP="008D6B05" w:rsidRDefault="008D6B05" w14:paraId="78CE6C37" w14:textId="77777777">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825A38" w:rsidP="00181ABF" w:rsidRDefault="00825A38" w14:paraId="75CB6B40" w14:textId="77777777">
          <w:pPr>
            <w:pStyle w:val="Piedepgina"/>
            <w:rPr>
              <w:b/>
              <w:color w:val="7F7F7F" w:themeColor="text1" w:themeTint="80"/>
              <w:sz w:val="16"/>
              <w:szCs w:val="16"/>
            </w:rPr>
          </w:pPr>
        </w:p>
      </w:tc>
      <w:tc>
        <w:tcPr>
          <w:tcW w:w="1472" w:type="dxa"/>
        </w:tcPr>
        <w:p w:rsidRPr="009349F3" w:rsidR="00825A38" w:rsidP="00181ABF" w:rsidRDefault="00825A38" w14:paraId="17DE5E6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2F3A2AC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56DF" w14:textId="77777777" w:rsidR="008126A5" w:rsidRDefault="008126A5" w:rsidP="00181ABF">
      <w:pPr>
        <w:spacing w:line="240" w:lineRule="auto"/>
      </w:pPr>
      <w:r>
        <w:separator/>
      </w:r>
    </w:p>
  </w:footnote>
  <w:footnote w:type="continuationSeparator" w:id="0">
    <w:p w14:paraId="6EDAA421" w14:textId="77777777" w:rsidR="008126A5" w:rsidRDefault="008126A5"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BA2BA3" w14:paraId="15A0DAE3" w14:textId="77777777">
    <w:pPr>
      <w:pStyle w:val="Encabezado"/>
    </w:pPr>
    <w:r>
      <w:rPr>
        <w:noProof/>
      </w:rPr>
      <w:drawing>
        <wp:anchor distT="0" distB="0" distL="114300" distR="114300" simplePos="0" relativeHeight="251662336" behindDoc="1" locked="0" layoutInCell="1" allowOverlap="1" wp14:editId="20CD6449" wp14:anchorId="6830522D">
          <wp:simplePos x="0" y="0"/>
          <wp:positionH relativeFrom="page">
            <wp:align>right</wp:align>
          </wp:positionH>
          <wp:positionV relativeFrom="paragraph">
            <wp:posOffset>-448835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825A38" w:rsidRDefault="00181ABF" w14:paraId="56F9E106"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6435A69"/>
    <w:multiLevelType w:val="hybridMultilevel"/>
    <w:tmpl w:val="DEFC0FD2"/>
    <w:lvl w:ilvl="0" w:tplc="140A0013">
      <w:start w:val="1"/>
      <w:numFmt w:val="upperRoman"/>
      <w:lvlText w:val="%1."/>
      <w:lvlJc w:val="righ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109810676">
    <w:abstractNumId w:val="0"/>
  </w:num>
  <w:num w:numId="2" w16cid:durableId="1883442161">
    <w:abstractNumId w:val="2"/>
  </w:num>
  <w:num w:numId="3" w16cid:durableId="1694648008">
    <w:abstractNumId w:val="1"/>
  </w:num>
  <w:num w:numId="4" w16cid:durableId="523717512">
    <w:abstractNumId w:val="4"/>
  </w:num>
  <w:num w:numId="5" w16cid:durableId="1597329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A5"/>
    <w:rsid w:val="000202E3"/>
    <w:rsid w:val="00181ABF"/>
    <w:rsid w:val="00226DDC"/>
    <w:rsid w:val="002B77BF"/>
    <w:rsid w:val="003172BE"/>
    <w:rsid w:val="0046105A"/>
    <w:rsid w:val="008126A5"/>
    <w:rsid w:val="00825A38"/>
    <w:rsid w:val="008C7F0D"/>
    <w:rsid w:val="008D6B05"/>
    <w:rsid w:val="00937EF0"/>
    <w:rsid w:val="00A54FFB"/>
    <w:rsid w:val="00BA2BA3"/>
    <w:rsid w:val="00D2422E"/>
    <w:rsid w:val="00D67CC3"/>
    <w:rsid w:val="00D90222"/>
    <w:rsid w:val="00DF2ACF"/>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3DDAF"/>
  <w15:chartTrackingRefBased/>
  <w15:docId w15:val="{F2001FA6-00E7-463D-BBBA-A2A3FB37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gef.fi.cr/informacion_relevante/manuales/manual_de_informacion_sicveca.asp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www.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sFinanciero@sugef.fi.c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546449E3F425084F34D9FB075D351"/>
        <w:category>
          <w:name w:val="General"/>
          <w:gallery w:val="placeholder"/>
        </w:category>
        <w:types>
          <w:type w:val="bbPlcHdr"/>
        </w:types>
        <w:behaviors>
          <w:behavior w:val="content"/>
        </w:behaviors>
        <w:guid w:val="{23DEDF1F-EE27-4181-8F0C-4F1534D9DF97}"/>
      </w:docPartPr>
      <w:docPartBody>
        <w:p w:rsidR="00634B62" w:rsidRDefault="00F076D9" w:rsidP="00F076D9">
          <w:pPr>
            <w:pStyle w:val="44F546449E3F425084F34D9FB075D351"/>
          </w:pPr>
          <w:r w:rsidRPr="001E0779">
            <w:rPr>
              <w:rStyle w:val="Textodelmarcadordeposicin"/>
            </w:rPr>
            <w:t>Haga clic aquí para escribir texto.</w:t>
          </w:r>
        </w:p>
      </w:docPartBody>
    </w:docPart>
    <w:docPart>
      <w:docPartPr>
        <w:name w:val="E93F6A5F3B444B65850F8F1A56DA2AD0"/>
        <w:category>
          <w:name w:val="General"/>
          <w:gallery w:val="placeholder"/>
        </w:category>
        <w:types>
          <w:type w:val="bbPlcHdr"/>
        </w:types>
        <w:behaviors>
          <w:behavior w:val="content"/>
        </w:behaviors>
        <w:guid w:val="{15AF5B95-CA6C-4FD1-9629-A3CD90993771}"/>
      </w:docPartPr>
      <w:docPartBody>
        <w:p w:rsidR="00634B62" w:rsidRDefault="00F076D9" w:rsidP="00F076D9">
          <w:pPr>
            <w:pStyle w:val="E93F6A5F3B444B65850F8F1A56DA2AD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D9"/>
    <w:rsid w:val="00634B62"/>
    <w:rsid w:val="00F076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76D9"/>
  </w:style>
  <w:style w:type="paragraph" w:customStyle="1" w:styleId="44F546449E3F425084F34D9FB075D351">
    <w:name w:val="44F546449E3F425084F34D9FB075D351"/>
    <w:rsid w:val="00F076D9"/>
  </w:style>
  <w:style w:type="paragraph" w:customStyle="1" w:styleId="E93F6A5F3B444B65850F8F1A56DA2AD0">
    <w:name w:val="E93F6A5F3B444B65850F8F1A56DA2AD0"/>
    <w:rsid w:val="00F07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b4Wp2089mjwS4plmYVKxLS9Hxu/zYxWFpA9SVOglb2g=</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9qfJ3YC8p8QgEguHBAEdBpXyEA+g4jZSrSorcApF5m8=</DigestValue>
    </Reference>
  </SignedInfo>
  <SignatureValue>RrrLPV9UuyYkBfsNJXV13tstfnSGmbR6Jd48EykIuhBtrX/Jj/ltJDi33VjGKeErog9pc+GW0/4X
o1wnoYXRplh1HSFr7V5S9z6Ad6PTZumokPq77+oqTmvn/FG7A/t5T3gbBm4gxKxPuAnBLjT5A8Cu
CKXNp9lppV9tgeF8ZG5EEdQbCQynpg9g0iX7bCy0cxZm99W663GNUlE2HtmR49z49Ip+HC/wLpfj
k0khGS0UvRPXx6grgbb1Mtp7dem5HCKj+OUml1qMGPrQDcHkRbW0hlsHvxg1PKwzw9YANbQJ/K0D
eFfzWNtOHDxr0ALFTnScvFUnHpzSMNe6c3vKeg==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i0oAuWUkICcZ2iK9xL0cnflpVdxjPyHt1rlHtzHlTvs=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SRicl3jL6Rxs2zAqQuHFrRiQ8aibvgHeLNL3VemNfe8=</DigestValue>
      </Reference>
      <Reference URI="/word/endnotes.xml?ContentType=application/vnd.openxmlformats-officedocument.wordprocessingml.endnotes+xml">
        <DigestMethod Algorithm="http://www.w3.org/2001/04/xmlenc#sha256"/>
        <DigestValue>BzdkEvTRWnr3zQEP20r3XCp3MatrT+L2Q30GaVW8UuA=</DigestValue>
      </Reference>
      <Reference URI="/word/fontTable.xml?ContentType=application/vnd.openxmlformats-officedocument.wordprocessingml.fontTable+xml">
        <DigestMethod Algorithm="http://www.w3.org/2001/04/xmlenc#sha256"/>
        <DigestValue>r/H2VyQE3p01yE1Wg6CMQ7ZsiyiER6ejEoA/igD2E9s=</DigestValue>
      </Reference>
      <Reference URI="/word/footer1.xml?ContentType=application/vnd.openxmlformats-officedocument.wordprocessingml.footer+xml">
        <DigestMethod Algorithm="http://www.w3.org/2001/04/xmlenc#sha256"/>
        <DigestValue>xLl05Qbe7WNaeiPUzAr/arf4POGuK3oa1WyNP1w1xa0=</DigestValue>
      </Reference>
      <Reference URI="/word/footnotes.xml?ContentType=application/vnd.openxmlformats-officedocument.wordprocessingml.footnotes+xml">
        <DigestMethod Algorithm="http://www.w3.org/2001/04/xmlenc#sha256"/>
        <DigestValue>yKDDa6dIt21pt3GOsHWds3s5mXzFNtlyccntsq+46eA=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AhbfjBGx6A6LuurhBBs5mqnz4IXl1pT0Bcl90ZXUFPs=</DigestValue>
      </Reference>
      <Reference URI="/word/glossary/fontTable.xml?ContentType=application/vnd.openxmlformats-officedocument.wordprocessingml.fontTable+xml">
        <DigestMethod Algorithm="http://www.w3.org/2001/04/xmlenc#sha256"/>
        <DigestValue>r/H2VyQE3p01yE1Wg6CMQ7ZsiyiER6ejEoA/igD2E9s=</DigestValue>
      </Reference>
      <Reference URI="/word/glossary/settings.xml?ContentType=application/vnd.openxmlformats-officedocument.wordprocessingml.settings+xml">
        <DigestMethod Algorithm="http://www.w3.org/2001/04/xmlenc#sha256"/>
        <DigestValue>Kh2RFlOLvR6AfOFINHFYM7XuJP7HHaKMyNnnmKbdHHI=</DigestValue>
      </Reference>
      <Reference URI="/word/glossary/styles.xml?ContentType=application/vnd.openxmlformats-officedocument.wordprocessingml.styles+xml">
        <DigestMethod Algorithm="http://www.w3.org/2001/04/xmlenc#sha256"/>
        <DigestValue>/8f0v/puTdFqVjRguZWipioML6I9X8Cq6ejMztEHrLU=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mPWih1Ajvs/lDHRf9IArYz3QChrjhSVq3qwVGua2f9o=</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xXlnVQkR4cSVNvLxhhB2tTfWuuiJ73FztCtle/XDZUA=</DigestValue>
      </Reference>
      <Reference URI="/word/settings.xml?ContentType=application/vnd.openxmlformats-officedocument.wordprocessingml.settings+xml">
        <DigestMethod Algorithm="http://www.w3.org/2001/04/xmlenc#sha256"/>
        <DigestValue>oto3yy4Wx+eNHticGG8oI7ochy0TAY1Ruk3Mt7kKUuA=</DigestValue>
      </Reference>
      <Reference URI="/word/styles.xml?ContentType=application/vnd.openxmlformats-officedocument.wordprocessingml.styles+xml">
        <DigestMethod Algorithm="http://www.w3.org/2001/04/xmlenc#sha256"/>
        <DigestValue>rmtrsrnKHdIqiRThcSsYzrhhc5S832xCm0nY/3MsO20=</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2024-02-07T16:39:13Z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2024-02-07T16:39:13Z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0cT1JjSkeFeK4GhIj5jGA6B6Mht1BOw2CuA8D81aTRYCBBjZd7EYDzIwMjQwMjA3MTYzOT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wNzE2MzkyMVowLwYJKoZIhvcNAQkEMSIEIJGt81tpyyCAGqwUfxF8Nxmny9CBHJ3DIXjJVVE6Ly3vMDcGCyqGSIb3DQEJEAIvMSgwJjAkMCIEIDcrk3iY5iZu+N7/iFpVKDYeTZ9u7elabVQcL5d9tumpMA0GCSqGSIb3DQEBAQUABIIBADziqm+L2Xs5Ay5INh1O4mAmDlb0qfxZMYi69Q4q6941pdpFAgxV+fuFFw4kHVMg/2dBZdZDmPuKl1RzGQJdIl4HydkFB0QGV7qH9itmIufQ45Ybguuwz0GnEhiNu/Lbg0pn7VMz4vQQWemPYUBTGYHxPmS3MJvKp9R54Ncd/lFpv6oflDKuU3RZpylZMsyWguSGZqceFZeyg0AGvUOko0TFY/L+xTtGQ7niRRiBXQjqriVbck0zfXuDWS2mWY89e/1gWbqJ8ugQoIds1n4dSdEB4lnZBWRcIR8lh0/J9A/3FykKh4bJwtz4/RvqoO6FqIFlhDikr0xCv7t+wTFZ21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yFNM/bvVALrGQfmqlVoK1zvxGjI=</xd:ByKey>
                  </xd:ResponderID>
                  <xd:ProducedAt>2024-02-07T16:39:11Z</xd:ProducedAt>
                </xd:OCSPIdentifier>
                <xd:DigestAlgAndValue>
                  <DigestMethod Algorithm="http://www.w3.org/2001/04/xmlenc#sha256"/>
                  <DigestValue>bF6JFfS4fsWFi8fEqGQibhNDIMKz8WZ6ocQiQBcCEys=</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lQoBAKCCBo4wggaKBgkrBgEFBQcwAQEEggZ7MIIGdzCBxaIWBBTIU0z9u9UAusZB+aqVWgrXO/EaMhgPMjAyNDAyMDcxNjM5MTFaMIGZMIGWMEwwCQYFKw4DAhoFAAQUzgxHzN03kqP+e9oD7BphnZQwSGIEFF8FGEEQ3hUvOunAFqPnoWpS0TrsAhMUAA0MbetEgNCORSkXAAEADQxtgAAYDzIwMjQwMjA3MTU1NjEzWqARGA8yMDI0MDIwOTA0MTYxM1qhIDAeMBwGCSsGAQQBgjcVBAQPFw0yNDAyMDgxNjA2MTNaMA0GCSqGSIb3DQEBCwUAA4IBAQDDV9BPC5/yz9oNykHEh0sfP2cKvXIH6+E4NYEQGJo2Mp3JU/tqZx/Ww3XhKDzHYsr5qnTC7vBNCdsCGNFBzDwB3ftCDDNiY+DytRvFnMBNlh+1bD8YCOdX0jirlvDIOzeDkjRP2SgfwV4AEjVzkpjrLzrONbHUvgWarJAbEN3/gCux7UYM2sXrl7umYlG7m42LRdrmj046aJCbFmNs1UXuCrVZW9J4G8y59YpnvZFEB6D2q81sagvUaJ4mhfLenCpxdPNX+giOcV6kqOO9FW+Wf7fbpgK1JXNum27XrUGGYhtMu6N1CfqBsftSy24q97IAzfdotTT1znMvn4w8sENOoIIElzCCBJMwggSPMIIDd6ADAgECAhMUABMlbBB2db2AYjy1AAIAEyVsMA0GCSqGSIb3DQEBCwUAMIGZMRkwFwYDVQQFExBDUEotNC0wMDAtMDA0MDE3MQswCQYDVQQGEwJDUjEkMCIGA1UEChMbQkFOQ08gQ0VOVFJBTCBERSBDT1NUQSBSSUNBMSIwIAYDVQQLExlESVZJU0lPTiBTSVNURU1BUyBERSBQQUdPMSUwIwYDVQQDExxDQSBTSU5QRSAtIFBFUlNPTkEgRklTSUNBIHYyMB4XDTI0MDIwNTAyNTI1MFoXDTI0MDIxOTAyNTI1MFowHjEcMBoGA1UEAxMTU0ktQVBPQ1MtMTAxLmZkaS5jcjCCASIwDQYJKoZIhvcNAQEBBQADggEPADCCAQoCggEBAOJbSGp545VY7GDTU8b3bP8bS1hL/rVWplVNdg+z2kUkfSWZDquvNi4NfKCEHzC8X72Wl+Ptr/lG1iNgiwMcleymUxB0pgisJwRCkUiJI11JT3KpPq9GEYIUqppFkhIIkgDfhHcRY/OMKSVMOIFlLyr5XV5K/BrDjHzdbjystgm+t0saGY1u+nAPjvUv+CSixcE3rpatX9iUIPpbHO8/TvCKnRrEf1K7Z+Z1nGO1TqZ1voKlousZPtd8CM015zrhkjKlufJOwdwC1jEi9eeV0OMFcixNJH6HXU+oHyc1GfJGV0fmVa6Vl1tWESFnjSVaxR8WNKgLJ9sW1dbc8HTqelkCAwEAAaOCAUgwggFEMD0GCSsGAQQBgjcVBwQwMC4GJisGAQQBgjcVCIXE6luC0eM1lZEbgvmXGIaly2uBf4P2/HeBuPEzAgFkAgEHMBMGA1UdJQQMMAoGCCsGAQUFBwMJMA4GA1UdDwEB/wQEAwIHgDAbBgkrBgEEAYI3FQoEDjAMMAoGCCsGAQUFBwMJMA8GCSsGAQUFBzABBQQCBQAwHwYDVR0jBBgwFoAUXwUYQRDeFS866cAWo+ehalLROuwwHQYDVR0OBBYEFMhTTP271QC6xkH5qpVaCtc78RoyMB4GA1UdEQQXMBWCE1NJLUFQT0NTLTEwMS5mZGkuY3IwUAYJKwYBBAGCNxkCBEMwQaA/BgorBgEEAYI3GQIBoDEEL1MtMS01LTIxLTMyMzk1NTA4NzgtNzUzNzk5NzM5LTE3NTY2MDE1MDMtMTA3MTMzMA0GCSqGSIb3DQEBCwUAA4IBAQAHpaey+ixKlsCK8I7lNt5QUuaTTGsGLEcmUA7oOho0p9SLeEzc/as7taih2r/iD55URtSxUrFmN/Vcb60uf1N/W+JS7AcnEN7VsPJ1uhD9CeksVOu6WCsesEHqYFdIgj5ldQNtxDkDvMqbn5AoTQnrPiT7R/Wuw9c2IHXjWveslJeklfuPdDzdxX7D/JW3nDC7JRbkRCbrdc2vJWodAE3ct8CbGd2SAa43+3fniG2qJoa9krWsbh+2QLq59c44EOfBHTzHPO5nucmj2G4lJkpRHRVI2HiZcHQFoqEwRArDSbUl4ySBA0t8wq8khxNT3xgUlrzo3DISXkSAhY35Uwv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6hfV9DL0dfdqP4/w1FBurvk0546bD9T31mkdkt6Ev5cCBBjZd7MYDzIwMjQwMjA3MTYzOT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wNzE2MzkyMVowLwYJKoZIhvcNAQkEMSIEIDUUy6Ja2WncNI9vTv7Kx4yIWLpWz+T3YXp3JSCWbtGtMDcGCyqGSIb3DQEJEAIvMSgwJjAkMCIEIDcrk3iY5iZu+N7/iFpVKDYeTZ9u7elabVQcL5d9tumpMA0GCSqGSIb3DQEBAQUABIIBAKudbsJyKur5eQwsxrmGpy2j3FsXTnDc1XBaEBpF/1NfqmH1RKtmUf2yWqgL9AiLB5pxLaUkM0UXAOCDJn7CFaSKFcbtsuvMCyZHW5YasRRC9NawmpoaT17WZvcOPYbWjozXwp2xaSTgX8pP3PlQusD99ouFuV/PXeru5YmAbMVCtajyRGBcF4spS0QVuFmNsLnbK58CGfEbRgdDR7wOtwU3/MuWFDb00xYjHg6K4d+vOkJAOnDesNq/EtYpVJvE2LaH6l+8Y0DjeIkSzLTdSZXrXzqgyFOYbcJRrW7Z1mMpEJxnOjnkuWC18I+3dIiYsJ5YWNvHdjeqUEFlnXzrmJ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
        <AccountId xsi:nil="true"/>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ND</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Art 18 Ter Acuerdo SUGEF  3-06
Informar a SALIENTE NORMAS, SALIENTE SICVECA CREDITICIO</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2022-11-02T01:23:00+00:00</FechaDocumento>
    <RemitenteOriginal xmlns="b875e23b-67d9-4b2e-bdec-edacbf90b326">Departamento de Normas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Art 18 Ter Acuerdo SUGEF  3-06</Subject1>
  </documentManagement>
</p:properties>
</file>

<file path=customXml/itemProps1.xml><?xml version="1.0" encoding="utf-8"?>
<ds:datastoreItem xmlns:ds="http://schemas.openxmlformats.org/officeDocument/2006/customXml" ds:itemID="{70D2F7E3-08F1-48FE-9BC1-0DBC76B55078}"/>
</file>

<file path=customXml/itemProps2.xml><?xml version="1.0" encoding="utf-8"?>
<ds:datastoreItem xmlns:ds="http://schemas.openxmlformats.org/officeDocument/2006/customXml" ds:itemID="{B6C9054B-3F7D-478C-B3F9-B64A9D9FD90E}"/>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4A07AB9F-0982-4FF2-BF96-6F98215FC15C}"/>
</file>

<file path=customXml/itemProps5.xml><?xml version="1.0" encoding="utf-8"?>
<ds:datastoreItem xmlns:ds="http://schemas.openxmlformats.org/officeDocument/2006/customXml" ds:itemID="{4D14EF69-CCC1-489F-AFFB-6A6EFE3191ED}"/>
</file>

<file path=customXml/itemProps6.xml><?xml version="1.0" encoding="utf-8"?>
<ds:datastoreItem xmlns:ds="http://schemas.openxmlformats.org/officeDocument/2006/customXml" ds:itemID="{897877BF-7EAA-46B7-8339-ECE9289922ED}"/>
</file>

<file path=docProps/app.xml><?xml version="1.0" encoding="utf-8"?>
<Properties xmlns="http://schemas.openxmlformats.org/officeDocument/2006/extended-properties" xmlns:vt="http://schemas.openxmlformats.org/officeDocument/2006/docPropsVTypes">
  <Template>Normal</Template>
  <TotalTime>6</TotalTime>
  <Pages>3</Pages>
  <Words>789</Words>
  <Characters>4342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ULATE ALBERTO</dc:creator>
  <cp:keywords/>
  <dc:description/>
  <cp:lastModifiedBy>FALLAS MUNOZ KAREN ROCIO</cp:lastModifiedBy>
  <cp:revision>3</cp:revision>
  <dcterms:created xsi:type="dcterms:W3CDTF">2024-02-02T01:16:00Z</dcterms:created>
  <dcterms:modified xsi:type="dcterms:W3CDTF">2024-02-06T17:47:00Z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147900</vt:r8>
  </property>
  <property fmtid="{D5CDD505-2E9C-101B-9397-08002B2CF9AE}" pid="12" name="MSIP_Label_b8b4be34-365a-4a68-b9fb-75c1b6874315_Enabled">
    <vt:lpwstr>true</vt:lpwstr>
  </property>
  <property fmtid="{D5CDD505-2E9C-101B-9397-08002B2CF9AE}" pid="13" name="MSIP_Label_b8b4be34-365a-4a68-b9fb-75c1b6874315_SetDate">
    <vt:lpwstr>2024-02-06T17:47:24Z</vt:lpwstr>
  </property>
  <property fmtid="{D5CDD505-2E9C-101B-9397-08002B2CF9AE}" pid="14" name="MSIP_Label_b8b4be34-365a-4a68-b9fb-75c1b6874315_Method">
    <vt:lpwstr>Standard</vt:lpwstr>
  </property>
  <property fmtid="{D5CDD505-2E9C-101B-9397-08002B2CF9AE}" pid="15" name="MSIP_Label_b8b4be34-365a-4a68-b9fb-75c1b6874315_Name">
    <vt:lpwstr>b8b4be34-365a-4a68-b9fb-75c1b6874315</vt:lpwstr>
  </property>
  <property fmtid="{D5CDD505-2E9C-101B-9397-08002B2CF9AE}" pid="16" name="MSIP_Label_b8b4be34-365a-4a68-b9fb-75c1b6874315_SiteId">
    <vt:lpwstr>618d0a45-25a6-4618-9f80-8f70a435ee52</vt:lpwstr>
  </property>
  <property fmtid="{D5CDD505-2E9C-101B-9397-08002B2CF9AE}" pid="17" name="MSIP_Label_b8b4be34-365a-4a68-b9fb-75c1b6874315_ActionId">
    <vt:lpwstr>2b9e82d3-1975-411b-8996-506716500a61</vt:lpwstr>
  </property>
  <property fmtid="{D5CDD505-2E9C-101B-9397-08002B2CF9AE}" pid="18" name="MSIP_Label_b8b4be34-365a-4a68-b9fb-75c1b6874315_ContentBits">
    <vt:lpwstr>2</vt:lpwstr>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f1fd9d7f-da86-405a-9476-87cbb240632e,4;36e1af0c-2eec-499f-b304-a394df1aa266,7;</vt:lpwstr>
  </property>
</Properties>
</file>