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6CD7" w:rsidR="00BA2BA3" w:rsidP="00181ABF" w:rsidRDefault="00BA2BA3" w14:paraId="634899B0" w14:textId="77777777">
      <w:pPr>
        <w:pStyle w:val="Texto"/>
        <w:spacing w:before="0" w:after="0" w:line="240" w:lineRule="auto"/>
        <w:rPr>
          <w:sz w:val="24"/>
        </w:rPr>
      </w:pPr>
    </w:p>
    <w:p w:rsidRPr="006A6CD7" w:rsidR="00BA2BA3" w:rsidP="00181ABF" w:rsidRDefault="00BA2BA3" w14:paraId="733CDE0F" w14:textId="77777777">
      <w:pPr>
        <w:pStyle w:val="Texto"/>
        <w:spacing w:before="0" w:after="0" w:line="240" w:lineRule="auto"/>
        <w:rPr>
          <w:sz w:val="24"/>
        </w:rPr>
      </w:pPr>
    </w:p>
    <w:p w:rsidRPr="006A6CD7" w:rsidR="00645793" w:rsidP="00645793" w:rsidRDefault="00C376C8" w14:paraId="1E807E06" w14:textId="15A773C3">
      <w:pPr>
        <w:pStyle w:val="Texto"/>
        <w:spacing w:before="0" w:after="0" w:line="240" w:lineRule="auto"/>
        <w:jc w:val="center"/>
        <w:rPr>
          <w:b/>
          <w:bCs/>
          <w:sz w:val="24"/>
        </w:rPr>
      </w:pPr>
      <w:r w:rsidRPr="006A6CD7">
        <w:rPr>
          <w:b/>
          <w:bCs/>
          <w:sz w:val="24"/>
        </w:rPr>
        <w:t>CIRCULAR EXTERNA</w:t>
      </w:r>
    </w:p>
    <w:p w:rsidRPr="006A6CD7" w:rsidR="00181ABF" w:rsidP="00645793" w:rsidRDefault="00C376C8" w14:paraId="011FDF96" w14:textId="0CE62B2C">
      <w:pPr>
        <w:pStyle w:val="Texto"/>
        <w:spacing w:before="0" w:after="0" w:line="240" w:lineRule="auto"/>
        <w:jc w:val="center"/>
        <w:rPr>
          <w:sz w:val="24"/>
        </w:rPr>
      </w:pPr>
      <w:r w:rsidRPr="006A6CD7">
        <w:rPr>
          <w:sz w:val="24"/>
        </w:rPr>
        <w:t>0</w:t>
      </w:r>
      <w:r w:rsidR="00822FFF">
        <w:rPr>
          <w:sz w:val="24"/>
        </w:rPr>
        <w:t>2</w:t>
      </w:r>
      <w:r w:rsidRPr="006A6CD7" w:rsidR="00645793">
        <w:rPr>
          <w:sz w:val="24"/>
        </w:rPr>
        <w:t xml:space="preserve"> de </w:t>
      </w:r>
      <w:r w:rsidRPr="006A6CD7">
        <w:rPr>
          <w:sz w:val="24"/>
        </w:rPr>
        <w:t xml:space="preserve">febrero </w:t>
      </w:r>
      <w:r w:rsidRPr="006A6CD7" w:rsidR="00645793">
        <w:rPr>
          <w:sz w:val="24"/>
        </w:rPr>
        <w:t>del 2024</w:t>
      </w:r>
    </w:p>
    <w:sdt>
      <w:sdtPr>
        <w:rPr>
          <w:sz w:val="24"/>
        </w:rPr>
        <w:alias w:val="Consecutivo"/>
        <w:tag w:val="Consecutivo"/>
        <w:id w:val="2052717023"/>
        <w:placeholder>
          <w:docPart w:val="595865F9381A4B888CF74F58EA0BA445"/>
        </w:placeholder>
        <w:text/>
      </w:sdtPr>
      <w:sdtEndPr/>
      <w:sdtContent>
        <w:p w:rsidRPr="006A6CD7" w:rsidR="00181ABF" w:rsidP="00645793" w:rsidRDefault="00181ABF" w14:paraId="3ED133F7" w14:textId="77777777">
          <w:pPr>
            <w:tabs>
              <w:tab w:val="left" w:pos="2843"/>
            </w:tabs>
            <w:spacing w:line="240" w:lineRule="auto"/>
            <w:jc w:val="center"/>
            <w:rPr>
              <w:sz w:val="24"/>
            </w:rPr>
          </w:pPr>
          <w:r>
            <w:t>SGF-0335-2024</w:t>
          </w:r>
        </w:p>
      </w:sdtContent>
    </w:sdt>
    <w:p w:rsidRPr="006A6CD7" w:rsidR="00181ABF" w:rsidP="00645793" w:rsidRDefault="00822FFF" w14:paraId="7AC36697" w14:textId="710FEA2B">
      <w:pPr>
        <w:tabs>
          <w:tab w:val="left" w:pos="2843"/>
        </w:tabs>
        <w:spacing w:line="240" w:lineRule="auto"/>
        <w:jc w:val="center"/>
        <w:rPr>
          <w:sz w:val="24"/>
        </w:rPr>
      </w:pPr>
      <w:sdt>
        <w:sdtPr>
          <w:rPr>
            <w:sz w:val="24"/>
          </w:rPr>
          <w:alias w:val="Confidencialidad"/>
          <w:tag w:val="Confidencialidad"/>
          <w:id w:val="1447896894"/>
          <w:placeholder>
            <w:docPart w:val="7170C8B5FFF54807B72DD43B6D08B79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SGF-PUBLICO</w:t>
          </w:r>
        </w:sdtContent>
      </w:sdt>
    </w:p>
    <w:p w:rsidRPr="006A6CD7" w:rsidR="00645793" w:rsidP="00181ABF" w:rsidRDefault="00645793" w14:paraId="6D65E586" w14:textId="77777777">
      <w:pPr>
        <w:tabs>
          <w:tab w:val="left" w:pos="2843"/>
        </w:tabs>
        <w:spacing w:line="240" w:lineRule="auto"/>
        <w:rPr>
          <w:sz w:val="24"/>
        </w:rPr>
      </w:pPr>
    </w:p>
    <w:p w:rsidRPr="006A6CD7" w:rsidR="00645793" w:rsidP="00645793" w:rsidRDefault="00645793" w14:paraId="1FB8AF75" w14:textId="77777777">
      <w:pPr>
        <w:widowControl w:val="0"/>
        <w:spacing w:line="240" w:lineRule="auto"/>
        <w:ind w:left="34" w:right="86"/>
        <w:contextualSpacing/>
        <w:outlineLvl w:val="0"/>
        <w:rPr>
          <w:b/>
          <w:sz w:val="24"/>
          <w:lang w:val="es-CR"/>
        </w:rPr>
      </w:pPr>
      <w:r w:rsidRPr="006A6CD7">
        <w:rPr>
          <w:b/>
          <w:sz w:val="24"/>
          <w:lang w:val="es-CR"/>
        </w:rPr>
        <w:t xml:space="preserve">Dirigida a: </w:t>
      </w:r>
    </w:p>
    <w:p w:rsidRPr="006A6CD7" w:rsidR="00645793" w:rsidP="00645793" w:rsidRDefault="00645793" w14:paraId="0B2FD6B3" w14:textId="77777777">
      <w:pPr>
        <w:widowControl w:val="0"/>
        <w:spacing w:line="240" w:lineRule="auto"/>
        <w:ind w:left="34" w:right="86"/>
        <w:contextualSpacing/>
        <w:outlineLvl w:val="0"/>
        <w:rPr>
          <w:b/>
          <w:sz w:val="24"/>
          <w:lang w:val="es-CR"/>
        </w:rPr>
      </w:pPr>
    </w:p>
    <w:p w:rsidRPr="006A6CD7" w:rsidR="00645793" w:rsidP="00645793" w:rsidRDefault="00645793" w14:paraId="454C5789" w14:textId="77777777">
      <w:pPr>
        <w:widowControl w:val="0"/>
        <w:numPr>
          <w:ilvl w:val="0"/>
          <w:numId w:val="4"/>
        </w:numPr>
        <w:spacing w:after="200" w:line="240" w:lineRule="auto"/>
        <w:ind w:left="567" w:right="86" w:hanging="567"/>
        <w:contextualSpacing/>
        <w:rPr>
          <w:bCs/>
          <w:sz w:val="24"/>
          <w:lang w:val="es-CR" w:eastAsia="es-ES"/>
        </w:rPr>
      </w:pPr>
      <w:r w:rsidRPr="006A6CD7">
        <w:rPr>
          <w:bCs/>
          <w:sz w:val="24"/>
          <w:lang w:val="es-CR" w:eastAsia="es-ES"/>
        </w:rPr>
        <w:t>Bancos Comerciales del Estado</w:t>
      </w:r>
    </w:p>
    <w:p w:rsidRPr="006A6CD7" w:rsidR="00645793" w:rsidP="00645793" w:rsidRDefault="00645793" w14:paraId="1CC6F9B0" w14:textId="77777777">
      <w:pPr>
        <w:widowControl w:val="0"/>
        <w:numPr>
          <w:ilvl w:val="0"/>
          <w:numId w:val="4"/>
        </w:numPr>
        <w:spacing w:after="200" w:line="240" w:lineRule="auto"/>
        <w:ind w:left="567" w:right="86" w:hanging="567"/>
        <w:contextualSpacing/>
        <w:rPr>
          <w:bCs/>
          <w:sz w:val="24"/>
          <w:lang w:val="es-CR" w:eastAsia="es-ES"/>
        </w:rPr>
      </w:pPr>
      <w:bookmarkStart w:name="_Hlk136874351" w:id="0"/>
      <w:r w:rsidRPr="006A6CD7">
        <w:rPr>
          <w:bCs/>
          <w:sz w:val="24"/>
          <w:lang w:val="es-CR" w:eastAsia="es-ES"/>
        </w:rPr>
        <w:t>Bancos Creados por Leyes Especiales</w:t>
      </w:r>
    </w:p>
    <w:p w:rsidRPr="006A6CD7" w:rsidR="00645793" w:rsidP="00645793" w:rsidRDefault="00645793" w14:paraId="1865A364" w14:textId="77777777">
      <w:pPr>
        <w:widowControl w:val="0"/>
        <w:numPr>
          <w:ilvl w:val="0"/>
          <w:numId w:val="4"/>
        </w:numPr>
        <w:spacing w:after="200" w:line="240" w:lineRule="auto"/>
        <w:ind w:left="567" w:right="86" w:hanging="567"/>
        <w:contextualSpacing/>
        <w:rPr>
          <w:bCs/>
          <w:sz w:val="24"/>
          <w:lang w:val="es-CR" w:eastAsia="es-ES"/>
        </w:rPr>
      </w:pPr>
      <w:r w:rsidRPr="006A6CD7">
        <w:rPr>
          <w:bCs/>
          <w:sz w:val="24"/>
          <w:lang w:val="es-CR" w:eastAsia="es-ES"/>
        </w:rPr>
        <w:t>Bancos Privados</w:t>
      </w:r>
    </w:p>
    <w:p w:rsidRPr="006A6CD7" w:rsidR="00645793" w:rsidP="00645793" w:rsidRDefault="00645793" w14:paraId="0E39EDA0" w14:textId="77777777">
      <w:pPr>
        <w:widowControl w:val="0"/>
        <w:numPr>
          <w:ilvl w:val="0"/>
          <w:numId w:val="4"/>
        </w:numPr>
        <w:spacing w:after="200" w:line="240" w:lineRule="auto"/>
        <w:ind w:left="567" w:right="86" w:hanging="567"/>
        <w:contextualSpacing/>
        <w:rPr>
          <w:bCs/>
          <w:sz w:val="24"/>
          <w:lang w:val="es-CR" w:eastAsia="es-ES"/>
        </w:rPr>
      </w:pPr>
      <w:r w:rsidRPr="006A6CD7">
        <w:rPr>
          <w:bCs/>
          <w:sz w:val="24"/>
          <w:lang w:val="es-CR" w:eastAsia="es-ES"/>
        </w:rPr>
        <w:t>Empresas Financieras no Bancarias</w:t>
      </w:r>
    </w:p>
    <w:p w:rsidRPr="006A6CD7" w:rsidR="00645793" w:rsidP="00645793" w:rsidRDefault="00645793" w14:paraId="5F5DD2BD" w14:textId="77777777">
      <w:pPr>
        <w:widowControl w:val="0"/>
        <w:numPr>
          <w:ilvl w:val="0"/>
          <w:numId w:val="4"/>
        </w:numPr>
        <w:spacing w:after="200" w:line="240" w:lineRule="auto"/>
        <w:ind w:left="567" w:right="86" w:hanging="567"/>
        <w:contextualSpacing/>
        <w:rPr>
          <w:bCs/>
          <w:sz w:val="24"/>
          <w:lang w:val="es-CR" w:eastAsia="es-ES"/>
        </w:rPr>
      </w:pPr>
      <w:r w:rsidRPr="006A6CD7">
        <w:rPr>
          <w:bCs/>
          <w:sz w:val="24"/>
          <w:lang w:val="es-CR" w:eastAsia="es-ES"/>
        </w:rPr>
        <w:t>Otras Entidades Financieras</w:t>
      </w:r>
    </w:p>
    <w:p w:rsidRPr="006A6CD7" w:rsidR="00645793" w:rsidP="00645793" w:rsidRDefault="00645793" w14:paraId="2D6A7EAB" w14:textId="77777777">
      <w:pPr>
        <w:widowControl w:val="0"/>
        <w:numPr>
          <w:ilvl w:val="0"/>
          <w:numId w:val="4"/>
        </w:numPr>
        <w:spacing w:after="200" w:line="240" w:lineRule="auto"/>
        <w:ind w:left="567" w:right="86" w:hanging="567"/>
        <w:contextualSpacing/>
        <w:rPr>
          <w:bCs/>
          <w:sz w:val="24"/>
          <w:lang w:val="es-CR" w:eastAsia="es-ES"/>
        </w:rPr>
      </w:pPr>
      <w:r w:rsidRPr="006A6CD7">
        <w:rPr>
          <w:bCs/>
          <w:sz w:val="24"/>
          <w:lang w:val="es-CR" w:eastAsia="es-ES"/>
        </w:rPr>
        <w:t>Organizaciones Cooperativas de Ahorro y Crédito</w:t>
      </w:r>
    </w:p>
    <w:p w:rsidRPr="006A6CD7" w:rsidR="00645793" w:rsidP="00645793" w:rsidRDefault="00645793" w14:paraId="698A3013" w14:textId="77777777">
      <w:pPr>
        <w:widowControl w:val="0"/>
        <w:numPr>
          <w:ilvl w:val="0"/>
          <w:numId w:val="4"/>
        </w:numPr>
        <w:spacing w:after="200" w:line="240" w:lineRule="auto"/>
        <w:ind w:left="567" w:right="86" w:hanging="567"/>
        <w:contextualSpacing/>
        <w:rPr>
          <w:bCs/>
          <w:sz w:val="24"/>
          <w:lang w:val="es-CR" w:eastAsia="es-ES"/>
        </w:rPr>
      </w:pPr>
      <w:r w:rsidRPr="006A6CD7">
        <w:rPr>
          <w:bCs/>
          <w:sz w:val="24"/>
          <w:lang w:val="es-CR" w:eastAsia="es-ES"/>
        </w:rPr>
        <w:t>Entidades Autorizadas del Sistema Financiera Nacional para la Vivienda</w:t>
      </w:r>
    </w:p>
    <w:p w:rsidRPr="006A6CD7" w:rsidR="00645793" w:rsidP="00645793" w:rsidRDefault="00645793" w14:paraId="75632D74" w14:textId="77777777">
      <w:pPr>
        <w:widowControl w:val="0"/>
        <w:numPr>
          <w:ilvl w:val="0"/>
          <w:numId w:val="4"/>
        </w:numPr>
        <w:spacing w:after="200" w:line="240" w:lineRule="auto"/>
        <w:ind w:left="567" w:right="86" w:hanging="567"/>
        <w:contextualSpacing/>
        <w:rPr>
          <w:bCs/>
          <w:sz w:val="24"/>
          <w:lang w:val="es-CR" w:eastAsia="es-ES"/>
        </w:rPr>
      </w:pPr>
      <w:r w:rsidRPr="006A6CD7">
        <w:rPr>
          <w:bCs/>
          <w:sz w:val="24"/>
          <w:lang w:val="es-CR" w:eastAsia="es-ES"/>
        </w:rPr>
        <w:t>Asociación Bancaria Costarricense</w:t>
      </w:r>
    </w:p>
    <w:p w:rsidRPr="006A6CD7" w:rsidR="00645793" w:rsidP="00645793" w:rsidRDefault="00645793" w14:paraId="78D3B233" w14:textId="77777777">
      <w:pPr>
        <w:widowControl w:val="0"/>
        <w:numPr>
          <w:ilvl w:val="0"/>
          <w:numId w:val="4"/>
        </w:numPr>
        <w:spacing w:after="200" w:line="240" w:lineRule="auto"/>
        <w:ind w:left="567" w:right="86" w:hanging="567"/>
        <w:contextualSpacing/>
        <w:rPr>
          <w:bCs/>
          <w:sz w:val="24"/>
          <w:lang w:val="es-CR" w:eastAsia="es-ES"/>
        </w:rPr>
      </w:pPr>
      <w:r w:rsidRPr="006A6CD7">
        <w:rPr>
          <w:bCs/>
          <w:sz w:val="24"/>
          <w:lang w:val="es-CR" w:eastAsia="es-ES"/>
        </w:rPr>
        <w:t>Cámara de Bancos e Instituciones Financieras de Costa Rica</w:t>
      </w:r>
    </w:p>
    <w:bookmarkEnd w:id="0"/>
    <w:p w:rsidRPr="006A6CD7" w:rsidR="00181ABF" w:rsidP="00181ABF" w:rsidRDefault="00181ABF" w14:paraId="3543AEAF" w14:textId="6011591C">
      <w:pPr>
        <w:tabs>
          <w:tab w:val="left" w:pos="2843"/>
        </w:tabs>
        <w:spacing w:line="240" w:lineRule="auto"/>
        <w:rPr>
          <w:sz w:val="24"/>
        </w:rPr>
      </w:pPr>
      <w:r w:rsidRPr="006A6CD7">
        <w:rPr>
          <w:sz w:val="24"/>
        </w:rPr>
        <w:tab/>
      </w:r>
    </w:p>
    <w:p w:rsidRPr="006A6CD7" w:rsidR="00645793" w:rsidP="00645793" w:rsidRDefault="00645793" w14:paraId="05A3F138" w14:textId="36AEE0EB">
      <w:pPr>
        <w:pStyle w:val="Texto"/>
        <w:spacing w:before="0" w:after="0" w:line="240" w:lineRule="auto"/>
        <w:rPr>
          <w:sz w:val="24"/>
        </w:rPr>
      </w:pPr>
      <w:r w:rsidRPr="006A6CD7">
        <w:rPr>
          <w:b/>
          <w:bCs/>
          <w:sz w:val="24"/>
        </w:rPr>
        <w:t>Asunto</w:t>
      </w:r>
      <w:r w:rsidRPr="006A6CD7">
        <w:rPr>
          <w:sz w:val="24"/>
        </w:rPr>
        <w:t xml:space="preserve">: Aclaración sobre la aplicación del porcentaje adicional de ponderación por plazo, establecido en el Artículo 18bis del </w:t>
      </w:r>
      <w:r w:rsidRPr="006A6CD7">
        <w:rPr>
          <w:i/>
          <w:iCs/>
          <w:sz w:val="24"/>
        </w:rPr>
        <w:t>Reglamento sobre Suficiencia Patrimonial</w:t>
      </w:r>
      <w:r w:rsidRPr="006A6CD7" w:rsidR="008060D3">
        <w:rPr>
          <w:sz w:val="24"/>
        </w:rPr>
        <w:t>, Acuerdo SUGEF 3-06</w:t>
      </w:r>
      <w:r w:rsidRPr="006A6CD7">
        <w:rPr>
          <w:sz w:val="24"/>
        </w:rPr>
        <w:t>.</w:t>
      </w:r>
    </w:p>
    <w:p w:rsidRPr="006A6CD7" w:rsidR="00645793" w:rsidP="00645793" w:rsidRDefault="00645793" w14:paraId="7D69B53A" w14:textId="77777777">
      <w:pPr>
        <w:pStyle w:val="Texto"/>
        <w:spacing w:before="0" w:after="0" w:line="240" w:lineRule="auto"/>
        <w:rPr>
          <w:sz w:val="24"/>
        </w:rPr>
      </w:pPr>
    </w:p>
    <w:p w:rsidRPr="006A6CD7" w:rsidR="00645793" w:rsidP="00645793" w:rsidRDefault="00645793" w14:paraId="356095E3" w14:textId="77777777">
      <w:pPr>
        <w:pStyle w:val="Texto"/>
        <w:spacing w:before="0" w:after="0" w:line="240" w:lineRule="auto"/>
        <w:rPr>
          <w:sz w:val="24"/>
        </w:rPr>
      </w:pPr>
      <w:r w:rsidRPr="006A6CD7">
        <w:rPr>
          <w:sz w:val="24"/>
        </w:rPr>
        <w:t xml:space="preserve">La Superintendencia General de Entidades Financieras, </w:t>
      </w:r>
    </w:p>
    <w:p w:rsidRPr="006A6CD7" w:rsidR="00645793" w:rsidP="00645793" w:rsidRDefault="00645793" w14:paraId="5562FFFA" w14:textId="77777777">
      <w:pPr>
        <w:pStyle w:val="Texto"/>
        <w:spacing w:before="0" w:after="0" w:line="240" w:lineRule="auto"/>
        <w:rPr>
          <w:sz w:val="24"/>
        </w:rPr>
      </w:pPr>
    </w:p>
    <w:p w:rsidRPr="006A6CD7" w:rsidR="00645793" w:rsidP="00645793" w:rsidRDefault="00645793" w14:paraId="520303D8" w14:textId="77777777">
      <w:pPr>
        <w:pStyle w:val="Texto"/>
        <w:spacing w:before="0" w:after="0" w:line="240" w:lineRule="auto"/>
        <w:rPr>
          <w:b/>
          <w:bCs/>
          <w:sz w:val="24"/>
        </w:rPr>
      </w:pPr>
      <w:r w:rsidRPr="006A6CD7">
        <w:rPr>
          <w:b/>
          <w:bCs/>
          <w:sz w:val="24"/>
        </w:rPr>
        <w:t>Considerando:</w:t>
      </w:r>
    </w:p>
    <w:p w:rsidRPr="006A6CD7" w:rsidR="00645793" w:rsidP="00645793" w:rsidRDefault="00645793" w14:paraId="58B75021" w14:textId="77777777">
      <w:pPr>
        <w:pStyle w:val="Texto"/>
        <w:spacing w:before="0" w:after="0" w:line="240" w:lineRule="auto"/>
        <w:rPr>
          <w:sz w:val="24"/>
        </w:rPr>
      </w:pPr>
    </w:p>
    <w:p w:rsidRPr="006A6CD7" w:rsidR="00645793" w:rsidP="00645793" w:rsidRDefault="00645793" w14:paraId="0B89F9F4" w14:textId="77777777">
      <w:pPr>
        <w:pStyle w:val="Texto"/>
        <w:numPr>
          <w:ilvl w:val="0"/>
          <w:numId w:val="3"/>
        </w:numPr>
        <w:spacing w:line="240" w:lineRule="auto"/>
        <w:ind w:left="714" w:hanging="357"/>
        <w:rPr>
          <w:sz w:val="24"/>
        </w:rPr>
      </w:pPr>
      <w:r w:rsidRPr="006A6CD7">
        <w:rPr>
          <w:sz w:val="24"/>
        </w:rPr>
        <w:t xml:space="preserve">Que varias entidades supervisadas han consultado sobre la aplicación del artículo 18bis del “Reglamento sobre Suficiencia Patrimonial”, específicamente en cuanto a si el tipo cartera: </w:t>
      </w:r>
      <w:r w:rsidRPr="006A6CD7">
        <w:rPr>
          <w:b/>
          <w:bCs/>
          <w:sz w:val="24"/>
        </w:rPr>
        <w:t>Consumo</w:t>
      </w:r>
      <w:r w:rsidRPr="006A6CD7">
        <w:rPr>
          <w:sz w:val="24"/>
        </w:rPr>
        <w:t xml:space="preserve">, puede ser objeto de ponderación bajo los mismos criterios que el tipo cartera: </w:t>
      </w:r>
      <w:r w:rsidRPr="006A6CD7">
        <w:rPr>
          <w:b/>
          <w:bCs/>
          <w:sz w:val="24"/>
        </w:rPr>
        <w:t>Vivienda Residencial</w:t>
      </w:r>
      <w:r w:rsidRPr="006A6CD7">
        <w:rPr>
          <w:sz w:val="24"/>
        </w:rPr>
        <w:t>, cuando la primera esté garantizada con bienes inmuebles habitados por el deudor.</w:t>
      </w:r>
    </w:p>
    <w:p w:rsidRPr="006A6CD7" w:rsidR="00645793" w:rsidP="00645793" w:rsidRDefault="00645793" w14:paraId="4746B1B3" w14:textId="6FCAA7FC">
      <w:pPr>
        <w:pStyle w:val="Texto"/>
        <w:numPr>
          <w:ilvl w:val="0"/>
          <w:numId w:val="3"/>
        </w:numPr>
        <w:spacing w:line="240" w:lineRule="auto"/>
        <w:ind w:left="714" w:hanging="357"/>
        <w:rPr>
          <w:sz w:val="24"/>
        </w:rPr>
      </w:pPr>
      <w:r w:rsidRPr="006A6CD7">
        <w:rPr>
          <w:sz w:val="24"/>
        </w:rPr>
        <w:t xml:space="preserve">Tal como se indica en el párrafo final del Artículo 18bis, el tipo de cartera: </w:t>
      </w:r>
      <w:r w:rsidRPr="006A6CD7">
        <w:rPr>
          <w:b/>
          <w:bCs/>
          <w:sz w:val="24"/>
        </w:rPr>
        <w:t>Vivienda</w:t>
      </w:r>
      <w:r w:rsidRPr="006A6CD7">
        <w:rPr>
          <w:sz w:val="24"/>
        </w:rPr>
        <w:t xml:space="preserve">, </w:t>
      </w:r>
      <w:r w:rsidRPr="006A6CD7" w:rsidR="00EB046E">
        <w:rPr>
          <w:sz w:val="24"/>
        </w:rPr>
        <w:t>está</w:t>
      </w:r>
      <w:r w:rsidRPr="006A6CD7">
        <w:rPr>
          <w:sz w:val="24"/>
        </w:rPr>
        <w:t xml:space="preserve"> conformada por los créditos hipotecarios residenciales para persona física a que se refiere el Artículo 15 del Acuerdo SUGEF 3-06. </w:t>
      </w:r>
    </w:p>
    <w:p w:rsidRPr="006A6CD7" w:rsidR="00645793" w:rsidP="00645793" w:rsidRDefault="00645793" w14:paraId="7E1BF25F" w14:textId="77777777">
      <w:pPr>
        <w:pStyle w:val="Texto"/>
        <w:numPr>
          <w:ilvl w:val="0"/>
          <w:numId w:val="3"/>
        </w:numPr>
        <w:spacing w:line="240" w:lineRule="auto"/>
        <w:ind w:left="714" w:hanging="357"/>
        <w:rPr>
          <w:sz w:val="24"/>
        </w:rPr>
      </w:pPr>
      <w:r w:rsidRPr="006A6CD7">
        <w:rPr>
          <w:sz w:val="24"/>
        </w:rPr>
        <w:t xml:space="preserve">El Artículo 15 del Acuerdo SUGEF 3-06 no se refiere de forma genérica a cualquier tipo de crédito con garantía hipotecaria, sino que es específico en indicar que se trata de crédito hipotecario </w:t>
      </w:r>
      <w:r w:rsidRPr="006A6CD7">
        <w:rPr>
          <w:b/>
          <w:bCs/>
          <w:sz w:val="24"/>
        </w:rPr>
        <w:t>residencial</w:t>
      </w:r>
      <w:r w:rsidRPr="006A6CD7">
        <w:rPr>
          <w:sz w:val="24"/>
        </w:rPr>
        <w:t xml:space="preserve">. Por lo anterior, dicho Artículo 15 esta referido únicamente a los créditos cuyo plan de inversión es el financiamiento de bienes inmuebles que se destinan o se destinarán exclusivamente para </w:t>
      </w:r>
      <w:r w:rsidRPr="006A6CD7">
        <w:rPr>
          <w:b/>
          <w:bCs/>
          <w:sz w:val="24"/>
        </w:rPr>
        <w:t>vivienda</w:t>
      </w:r>
      <w:r w:rsidRPr="006A6CD7">
        <w:rPr>
          <w:sz w:val="24"/>
        </w:rPr>
        <w:t xml:space="preserve"> del deudor persona física, es decir, para </w:t>
      </w:r>
      <w:r w:rsidRPr="006A6CD7">
        <w:rPr>
          <w:b/>
          <w:bCs/>
          <w:sz w:val="24"/>
        </w:rPr>
        <w:t>residencia</w:t>
      </w:r>
      <w:r w:rsidRPr="006A6CD7">
        <w:rPr>
          <w:sz w:val="24"/>
        </w:rPr>
        <w:t xml:space="preserve"> del deudor persona física.</w:t>
      </w:r>
    </w:p>
    <w:p w:rsidR="00645793" w:rsidP="00645793" w:rsidRDefault="00645793" w14:paraId="112E1842" w14:textId="4A93712E">
      <w:pPr>
        <w:pStyle w:val="Texto"/>
        <w:spacing w:line="240" w:lineRule="auto"/>
        <w:rPr>
          <w:sz w:val="24"/>
        </w:rPr>
      </w:pPr>
    </w:p>
    <w:p w:rsidRPr="006A6CD7" w:rsidR="006A6CD7" w:rsidP="00645793" w:rsidRDefault="006A6CD7" w14:paraId="1569DEE2" w14:textId="77777777">
      <w:pPr>
        <w:pStyle w:val="Texto"/>
        <w:spacing w:line="240" w:lineRule="auto"/>
        <w:rPr>
          <w:sz w:val="24"/>
        </w:rPr>
      </w:pPr>
    </w:p>
    <w:p w:rsidRPr="006A6CD7" w:rsidR="00645793" w:rsidP="00645793" w:rsidRDefault="00645793" w14:paraId="1004281F" w14:textId="77777777">
      <w:pPr>
        <w:pStyle w:val="Texto"/>
        <w:spacing w:line="240" w:lineRule="auto"/>
        <w:rPr>
          <w:b/>
          <w:bCs/>
          <w:sz w:val="24"/>
        </w:rPr>
      </w:pPr>
      <w:r w:rsidRPr="006A6CD7">
        <w:rPr>
          <w:b/>
          <w:bCs/>
          <w:sz w:val="24"/>
        </w:rPr>
        <w:lastRenderedPageBreak/>
        <w:t>Dispone,</w:t>
      </w:r>
    </w:p>
    <w:p w:rsidRPr="006A6CD7" w:rsidR="00645793" w:rsidP="00645793" w:rsidRDefault="00645793" w14:paraId="0370A062" w14:textId="0EB7E1FD">
      <w:pPr>
        <w:pStyle w:val="Texto"/>
        <w:spacing w:line="240" w:lineRule="auto"/>
        <w:rPr>
          <w:sz w:val="24"/>
        </w:rPr>
      </w:pPr>
      <w:r w:rsidRPr="006A6CD7">
        <w:rPr>
          <w:sz w:val="24"/>
        </w:rPr>
        <w:t xml:space="preserve">Los artículos 15 (Créditos Hipotecarios Residenciales) y 18bis (Cartera: Vivienda) del Acuerdo SUGEF 3-06, engloban una misma cartera crediticia que, para efectos del cálculo de la suficiencia patrimonial, debe cumplir con los siguientes </w:t>
      </w:r>
      <w:r w:rsidRPr="006A6CD7" w:rsidR="00C376C8">
        <w:rPr>
          <w:sz w:val="24"/>
        </w:rPr>
        <w:t>a</w:t>
      </w:r>
      <w:r w:rsidRPr="006A6CD7">
        <w:rPr>
          <w:sz w:val="24"/>
        </w:rPr>
        <w:t>tributos:</w:t>
      </w:r>
    </w:p>
    <w:p w:rsidRPr="006A6CD7" w:rsidR="00645793" w:rsidP="00645793" w:rsidRDefault="00645793" w14:paraId="12C587E0" w14:textId="47AB20F5">
      <w:pPr>
        <w:pStyle w:val="Texto"/>
        <w:numPr>
          <w:ilvl w:val="1"/>
          <w:numId w:val="3"/>
        </w:numPr>
        <w:spacing w:line="240" w:lineRule="auto"/>
        <w:rPr>
          <w:sz w:val="24"/>
        </w:rPr>
      </w:pPr>
      <w:r w:rsidRPr="006A6CD7">
        <w:rPr>
          <w:sz w:val="24"/>
        </w:rPr>
        <w:t>El plan de inversión o destino del crédito es el financiamiento de bienes inmuebles que se destinan o se destinarán exclusivamente para vivienda del deudor persona física.</w:t>
      </w:r>
      <w:r w:rsidRPr="006A6CD7" w:rsidR="00023DCE">
        <w:rPr>
          <w:sz w:val="24"/>
        </w:rPr>
        <w:t xml:space="preserve"> </w:t>
      </w:r>
    </w:p>
    <w:p w:rsidRPr="006A6CD7" w:rsidR="00645793" w:rsidP="00645793" w:rsidRDefault="00023DCE" w14:paraId="3EFA5FA9" w14:textId="25CE0E97">
      <w:pPr>
        <w:pStyle w:val="Texto"/>
        <w:spacing w:line="240" w:lineRule="auto"/>
        <w:ind w:left="1416"/>
        <w:rPr>
          <w:sz w:val="24"/>
        </w:rPr>
      </w:pPr>
      <w:r w:rsidRPr="006A6CD7">
        <w:rPr>
          <w:sz w:val="24"/>
        </w:rPr>
        <w:t>L</w:t>
      </w:r>
      <w:r w:rsidRPr="006A6CD7" w:rsidR="00645793">
        <w:rPr>
          <w:sz w:val="24"/>
        </w:rPr>
        <w:t xml:space="preserve">a condición de bien inmueble que se destina o se destinará exclusivamente para vivienda del deudor persona física, </w:t>
      </w:r>
      <w:r w:rsidRPr="006A6CD7">
        <w:rPr>
          <w:sz w:val="24"/>
        </w:rPr>
        <w:t>corresponde a</w:t>
      </w:r>
      <w:r w:rsidRPr="006A6CD7" w:rsidR="00645793">
        <w:rPr>
          <w:sz w:val="24"/>
        </w:rPr>
        <w:t xml:space="preserve"> </w:t>
      </w:r>
      <w:r w:rsidRPr="006A6CD7">
        <w:rPr>
          <w:sz w:val="24"/>
        </w:rPr>
        <w:t xml:space="preserve">los </w:t>
      </w:r>
      <w:r w:rsidRPr="006A6CD7" w:rsidR="00645793">
        <w:rPr>
          <w:sz w:val="24"/>
        </w:rPr>
        <w:t xml:space="preserve">siguientes códigos de la Tabla: Tipo_Mitigador_Riesgo de las </w:t>
      </w:r>
      <w:r w:rsidRPr="006A6CD7" w:rsidR="00645793">
        <w:rPr>
          <w:i/>
          <w:iCs/>
          <w:sz w:val="24"/>
        </w:rPr>
        <w:t>“Tablas de Documentación”</w:t>
      </w:r>
      <w:r w:rsidRPr="006A6CD7" w:rsidR="00645793">
        <w:rPr>
          <w:sz w:val="24"/>
        </w:rPr>
        <w:t xml:space="preserve"> del SICVECA:</w:t>
      </w:r>
    </w:p>
    <w:tbl>
      <w:tblPr>
        <w:tblStyle w:val="Tablaconcuadrcula"/>
        <w:tblW w:w="9072" w:type="dxa"/>
        <w:tblLook w:val="04A0" w:firstRow="1" w:lastRow="0" w:firstColumn="1" w:lastColumn="0" w:noHBand="0" w:noVBand="1"/>
      </w:tblPr>
      <w:tblGrid>
        <w:gridCol w:w="2949"/>
        <w:gridCol w:w="1096"/>
        <w:gridCol w:w="5027"/>
      </w:tblGrid>
      <w:tr w:rsidRPr="006A6CD7" w:rsidR="00645793" w:rsidTr="006A6CD7" w14:paraId="0FA1B889" w14:textId="77777777">
        <w:trPr>
          <w:trHeight w:val="552"/>
        </w:trPr>
        <w:tc>
          <w:tcPr>
            <w:tcW w:w="2765" w:type="dxa"/>
          </w:tcPr>
          <w:p w:rsidRPr="006A6CD7" w:rsidR="00645793" w:rsidP="0010456D" w:rsidRDefault="00645793" w14:paraId="2634B495" w14:textId="77777777">
            <w:pPr>
              <w:spacing w:line="240" w:lineRule="auto"/>
              <w:jc w:val="center"/>
              <w:rPr>
                <w:rFonts w:cs="Calibri"/>
                <w:b/>
                <w:bCs/>
                <w:sz w:val="24"/>
                <w:lang w:val="es-CR" w:eastAsia="es-CR"/>
              </w:rPr>
            </w:pPr>
            <w:r w:rsidRPr="006A6CD7">
              <w:rPr>
                <w:rFonts w:cs="Calibri"/>
                <w:b/>
                <w:bCs/>
                <w:sz w:val="24"/>
                <w:lang w:val="es-CR" w:eastAsia="es-CR"/>
              </w:rPr>
              <w:t>TABLA</w:t>
            </w:r>
          </w:p>
        </w:tc>
        <w:tc>
          <w:tcPr>
            <w:tcW w:w="1076" w:type="dxa"/>
            <w:noWrap/>
          </w:tcPr>
          <w:p w:rsidRPr="006A6CD7" w:rsidR="00645793" w:rsidP="0010456D" w:rsidRDefault="00645793" w14:paraId="4F0077F8" w14:textId="4E0C57DC">
            <w:pPr>
              <w:spacing w:line="240" w:lineRule="auto"/>
              <w:jc w:val="center"/>
              <w:rPr>
                <w:rFonts w:cs="Calibri"/>
                <w:b/>
                <w:bCs/>
                <w:sz w:val="24"/>
                <w:lang w:val="es-CR" w:eastAsia="es-CR"/>
              </w:rPr>
            </w:pPr>
            <w:r w:rsidRPr="006A6CD7">
              <w:rPr>
                <w:rFonts w:cs="Calibri"/>
                <w:b/>
                <w:bCs/>
                <w:sz w:val="24"/>
                <w:lang w:val="es-CR" w:eastAsia="es-CR"/>
              </w:rPr>
              <w:t>C</w:t>
            </w:r>
            <w:r w:rsidR="006A6CD7">
              <w:rPr>
                <w:rFonts w:cs="Calibri"/>
                <w:b/>
                <w:bCs/>
                <w:sz w:val="24"/>
                <w:lang w:val="es-CR" w:eastAsia="es-CR"/>
              </w:rPr>
              <w:t>Ó</w:t>
            </w:r>
            <w:r w:rsidRPr="006A6CD7">
              <w:rPr>
                <w:rFonts w:cs="Calibri"/>
                <w:b/>
                <w:bCs/>
                <w:sz w:val="24"/>
                <w:lang w:val="es-CR" w:eastAsia="es-CR"/>
              </w:rPr>
              <w:t>DIGO</w:t>
            </w:r>
          </w:p>
        </w:tc>
        <w:tc>
          <w:tcPr>
            <w:tcW w:w="5231" w:type="dxa"/>
          </w:tcPr>
          <w:p w:rsidRPr="006A6CD7" w:rsidR="00645793" w:rsidP="0010456D" w:rsidRDefault="00645793" w14:paraId="600735A4" w14:textId="264F81F3">
            <w:pPr>
              <w:spacing w:line="240" w:lineRule="auto"/>
              <w:jc w:val="center"/>
              <w:rPr>
                <w:rFonts w:cs="Calibri"/>
                <w:b/>
                <w:bCs/>
                <w:sz w:val="24"/>
                <w:lang w:val="es-CR" w:eastAsia="es-CR"/>
              </w:rPr>
            </w:pPr>
            <w:r w:rsidRPr="006A6CD7">
              <w:rPr>
                <w:rFonts w:cs="Calibri"/>
                <w:b/>
                <w:bCs/>
                <w:sz w:val="24"/>
                <w:lang w:val="es-CR" w:eastAsia="es-CR"/>
              </w:rPr>
              <w:t>DESCRIPCI</w:t>
            </w:r>
            <w:r w:rsidR="006A6CD7">
              <w:rPr>
                <w:rFonts w:cs="Calibri"/>
                <w:b/>
                <w:bCs/>
                <w:sz w:val="24"/>
                <w:lang w:val="es-CR" w:eastAsia="es-CR"/>
              </w:rPr>
              <w:t>Ó</w:t>
            </w:r>
            <w:r w:rsidRPr="006A6CD7">
              <w:rPr>
                <w:rFonts w:cs="Calibri"/>
                <w:b/>
                <w:bCs/>
                <w:sz w:val="24"/>
                <w:lang w:val="es-CR" w:eastAsia="es-CR"/>
              </w:rPr>
              <w:t>N</w:t>
            </w:r>
          </w:p>
        </w:tc>
      </w:tr>
      <w:tr w:rsidRPr="006A6CD7" w:rsidR="00645793" w:rsidTr="006A6CD7" w14:paraId="7A3253DD" w14:textId="77777777">
        <w:trPr>
          <w:trHeight w:val="552"/>
        </w:trPr>
        <w:tc>
          <w:tcPr>
            <w:tcW w:w="2765" w:type="dxa"/>
          </w:tcPr>
          <w:p w:rsidRPr="006A6CD7" w:rsidR="00645793" w:rsidP="0010456D" w:rsidRDefault="00645793" w14:paraId="4A311F15" w14:textId="77777777">
            <w:pPr>
              <w:spacing w:line="240" w:lineRule="auto"/>
              <w:jc w:val="center"/>
              <w:rPr>
                <w:rFonts w:cs="Calibri"/>
                <w:sz w:val="24"/>
                <w:lang w:val="es-CR"/>
              </w:rPr>
            </w:pPr>
            <w:r w:rsidRPr="006A6CD7">
              <w:rPr>
                <w:rFonts w:cs="Calibri"/>
                <w:sz w:val="24"/>
              </w:rPr>
              <w:t>TIPO_MITIGADOR_RIESGO</w:t>
            </w:r>
          </w:p>
        </w:tc>
        <w:tc>
          <w:tcPr>
            <w:tcW w:w="1076" w:type="dxa"/>
            <w:noWrap/>
            <w:hideMark/>
          </w:tcPr>
          <w:p w:rsidRPr="006A6CD7" w:rsidR="00645793" w:rsidP="0010456D" w:rsidRDefault="00645793" w14:paraId="59825520" w14:textId="77777777">
            <w:pPr>
              <w:spacing w:line="240" w:lineRule="auto"/>
              <w:jc w:val="center"/>
              <w:rPr>
                <w:rFonts w:cs="Calibri"/>
                <w:sz w:val="24"/>
                <w:lang w:val="es-CR" w:eastAsia="es-CR"/>
              </w:rPr>
            </w:pPr>
            <w:r w:rsidRPr="006A6CD7">
              <w:rPr>
                <w:rFonts w:cs="Calibri"/>
                <w:sz w:val="24"/>
                <w:lang w:val="es-CR" w:eastAsia="es-CR"/>
              </w:rPr>
              <w:t>3</w:t>
            </w:r>
          </w:p>
        </w:tc>
        <w:tc>
          <w:tcPr>
            <w:tcW w:w="5231" w:type="dxa"/>
            <w:hideMark/>
          </w:tcPr>
          <w:p w:rsidRPr="006A6CD7" w:rsidR="00645793" w:rsidP="0010456D" w:rsidRDefault="00645793" w14:paraId="7808870F" w14:textId="700BE438">
            <w:pPr>
              <w:spacing w:line="240" w:lineRule="auto"/>
              <w:jc w:val="left"/>
              <w:rPr>
                <w:rFonts w:cs="Calibri"/>
                <w:sz w:val="24"/>
                <w:lang w:val="es-CR" w:eastAsia="es-CR"/>
              </w:rPr>
            </w:pPr>
            <w:r w:rsidRPr="006A6CD7">
              <w:rPr>
                <w:rFonts w:cs="Calibri"/>
                <w:sz w:val="24"/>
                <w:lang w:val="es-CR" w:eastAsia="es-CR"/>
              </w:rPr>
              <w:t>Hipotecas sobre residencias habitadas por el deudor</w:t>
            </w:r>
          </w:p>
        </w:tc>
      </w:tr>
      <w:tr w:rsidRPr="006A6CD7" w:rsidR="00645793" w:rsidTr="006A6CD7" w14:paraId="13F5D698" w14:textId="77777777">
        <w:trPr>
          <w:trHeight w:val="552"/>
        </w:trPr>
        <w:tc>
          <w:tcPr>
            <w:tcW w:w="2765" w:type="dxa"/>
          </w:tcPr>
          <w:p w:rsidRPr="006A6CD7" w:rsidR="00645793" w:rsidP="0010456D" w:rsidRDefault="00645793" w14:paraId="77C84A94" w14:textId="77777777">
            <w:pPr>
              <w:spacing w:line="240" w:lineRule="auto"/>
              <w:jc w:val="center"/>
              <w:rPr>
                <w:rFonts w:cs="Calibri"/>
                <w:sz w:val="24"/>
                <w:lang w:val="es-CR"/>
              </w:rPr>
            </w:pPr>
            <w:r w:rsidRPr="006A6CD7">
              <w:rPr>
                <w:rFonts w:cs="Calibri"/>
                <w:sz w:val="24"/>
              </w:rPr>
              <w:t>TIPO_MITIGADOR_RIESGO</w:t>
            </w:r>
          </w:p>
        </w:tc>
        <w:tc>
          <w:tcPr>
            <w:tcW w:w="1076" w:type="dxa"/>
            <w:noWrap/>
            <w:hideMark/>
          </w:tcPr>
          <w:p w:rsidRPr="006A6CD7" w:rsidR="00645793" w:rsidP="0010456D" w:rsidRDefault="00645793" w14:paraId="59E2155D" w14:textId="77777777">
            <w:pPr>
              <w:spacing w:line="240" w:lineRule="auto"/>
              <w:jc w:val="center"/>
              <w:rPr>
                <w:rFonts w:cs="Calibri"/>
                <w:sz w:val="24"/>
                <w:lang w:val="es-CR" w:eastAsia="es-CR"/>
              </w:rPr>
            </w:pPr>
            <w:r w:rsidRPr="006A6CD7">
              <w:rPr>
                <w:rFonts w:cs="Calibri"/>
                <w:sz w:val="24"/>
                <w:lang w:val="es-CR" w:eastAsia="es-CR"/>
              </w:rPr>
              <w:t>6</w:t>
            </w:r>
          </w:p>
        </w:tc>
        <w:tc>
          <w:tcPr>
            <w:tcW w:w="5231" w:type="dxa"/>
            <w:hideMark/>
          </w:tcPr>
          <w:p w:rsidRPr="006A6CD7" w:rsidR="00645793" w:rsidP="0010456D" w:rsidRDefault="00645793" w14:paraId="515A6587" w14:textId="133F201F">
            <w:pPr>
              <w:spacing w:line="240" w:lineRule="auto"/>
              <w:jc w:val="left"/>
              <w:rPr>
                <w:rFonts w:cs="Calibri"/>
                <w:sz w:val="24"/>
                <w:lang w:val="es-CR" w:eastAsia="es-CR"/>
              </w:rPr>
            </w:pPr>
            <w:r w:rsidRPr="006A6CD7">
              <w:rPr>
                <w:rFonts w:cs="Calibri"/>
                <w:sz w:val="24"/>
                <w:lang w:val="es-CR" w:eastAsia="es-CR"/>
              </w:rPr>
              <w:t>Cédulas hipotecarias sobre residencias habitadas por el deudor</w:t>
            </w:r>
          </w:p>
        </w:tc>
      </w:tr>
      <w:tr w:rsidRPr="006A6CD7" w:rsidR="00645793" w:rsidTr="006A6CD7" w14:paraId="71F4657D" w14:textId="77777777">
        <w:trPr>
          <w:trHeight w:val="552"/>
        </w:trPr>
        <w:tc>
          <w:tcPr>
            <w:tcW w:w="2765" w:type="dxa"/>
          </w:tcPr>
          <w:p w:rsidRPr="006A6CD7" w:rsidR="00645793" w:rsidP="0010456D" w:rsidRDefault="00645793" w14:paraId="593643EF" w14:textId="77777777">
            <w:pPr>
              <w:spacing w:line="240" w:lineRule="auto"/>
              <w:jc w:val="center"/>
              <w:rPr>
                <w:rFonts w:cs="Calibri"/>
                <w:sz w:val="24"/>
                <w:lang w:val="es-CR"/>
              </w:rPr>
            </w:pPr>
            <w:r w:rsidRPr="006A6CD7">
              <w:rPr>
                <w:rFonts w:cs="Calibri"/>
                <w:sz w:val="24"/>
              </w:rPr>
              <w:t>TIPO_MITIGADOR_RIESGO</w:t>
            </w:r>
          </w:p>
        </w:tc>
        <w:tc>
          <w:tcPr>
            <w:tcW w:w="1076" w:type="dxa"/>
            <w:noWrap/>
            <w:hideMark/>
          </w:tcPr>
          <w:p w:rsidRPr="006A6CD7" w:rsidR="00645793" w:rsidP="0010456D" w:rsidRDefault="00645793" w14:paraId="11D902F1" w14:textId="77777777">
            <w:pPr>
              <w:spacing w:line="240" w:lineRule="auto"/>
              <w:jc w:val="center"/>
              <w:rPr>
                <w:rFonts w:cs="Calibri"/>
                <w:sz w:val="24"/>
                <w:lang w:val="es-CR" w:eastAsia="es-CR"/>
              </w:rPr>
            </w:pPr>
            <w:r w:rsidRPr="006A6CD7">
              <w:rPr>
                <w:rFonts w:cs="Calibri"/>
                <w:sz w:val="24"/>
                <w:lang w:val="es-CR" w:eastAsia="es-CR"/>
              </w:rPr>
              <w:t>25</w:t>
            </w:r>
          </w:p>
        </w:tc>
        <w:tc>
          <w:tcPr>
            <w:tcW w:w="5231" w:type="dxa"/>
            <w:hideMark/>
          </w:tcPr>
          <w:p w:rsidRPr="006A6CD7" w:rsidR="00645793" w:rsidP="0010456D" w:rsidRDefault="00645793" w14:paraId="4D52863B" w14:textId="77C00EC3">
            <w:pPr>
              <w:spacing w:line="240" w:lineRule="auto"/>
              <w:jc w:val="left"/>
              <w:rPr>
                <w:rFonts w:cs="Calibri"/>
                <w:sz w:val="24"/>
                <w:lang w:val="es-CR" w:eastAsia="es-CR"/>
              </w:rPr>
            </w:pPr>
            <w:r w:rsidRPr="006A6CD7">
              <w:rPr>
                <w:rFonts w:cs="Calibri"/>
                <w:sz w:val="24"/>
                <w:lang w:val="es-CR" w:eastAsia="es-CR"/>
              </w:rPr>
              <w:t xml:space="preserve">Bien fideicometido que corresponde a residencia habitada por el deudor </w:t>
            </w:r>
          </w:p>
        </w:tc>
      </w:tr>
    </w:tbl>
    <w:p w:rsidRPr="006A6CD7" w:rsidR="00645793" w:rsidP="00645793" w:rsidRDefault="003D000D" w14:paraId="47E6675E" w14:textId="27F73179">
      <w:pPr>
        <w:pStyle w:val="Texto"/>
        <w:spacing w:line="240" w:lineRule="auto"/>
        <w:ind w:left="1440"/>
        <w:rPr>
          <w:sz w:val="24"/>
        </w:rPr>
      </w:pPr>
      <w:r w:rsidRPr="006A6CD7">
        <w:rPr>
          <w:sz w:val="24"/>
        </w:rPr>
        <w:t xml:space="preserve">Los códigos 3, 6 y 25 indicados también aplican </w:t>
      </w:r>
      <w:r w:rsidRPr="006A6CD7" w:rsidR="005E4B16">
        <w:rPr>
          <w:sz w:val="24"/>
        </w:rPr>
        <w:t xml:space="preserve">en el caso de </w:t>
      </w:r>
      <w:r w:rsidRPr="006A6CD7">
        <w:rPr>
          <w:sz w:val="24"/>
        </w:rPr>
        <w:t>terreno</w:t>
      </w:r>
      <w:r w:rsidRPr="006A6CD7" w:rsidR="005E4B16">
        <w:rPr>
          <w:sz w:val="24"/>
        </w:rPr>
        <w:t>s</w:t>
      </w:r>
      <w:r w:rsidRPr="006A6CD7">
        <w:rPr>
          <w:sz w:val="24"/>
        </w:rPr>
        <w:t xml:space="preserve"> </w:t>
      </w:r>
      <w:r w:rsidRPr="006A6CD7" w:rsidR="005E4B16">
        <w:rPr>
          <w:sz w:val="24"/>
        </w:rPr>
        <w:t xml:space="preserve">cuando </w:t>
      </w:r>
      <w:r w:rsidRPr="006A6CD7">
        <w:rPr>
          <w:sz w:val="24"/>
        </w:rPr>
        <w:t xml:space="preserve">se encuentra en desarrollo la construcción de bienes inmuebles que se destinarán exclusivamente para vivienda del deudor persona física. En caso contrario, los terrenos </w:t>
      </w:r>
      <w:r w:rsidRPr="006A6CD7" w:rsidR="005E4B16">
        <w:rPr>
          <w:sz w:val="24"/>
        </w:rPr>
        <w:t>deben reportarse con los códigos 1, 4</w:t>
      </w:r>
      <w:r w:rsidRPr="006A6CD7" w:rsidR="004726BB">
        <w:rPr>
          <w:sz w:val="24"/>
        </w:rPr>
        <w:t xml:space="preserve"> o 26, en combinación con el código 1 de la Tabla: Tipo_Bien de las </w:t>
      </w:r>
      <w:r w:rsidRPr="006A6CD7" w:rsidR="004726BB">
        <w:rPr>
          <w:i/>
          <w:iCs/>
          <w:sz w:val="24"/>
        </w:rPr>
        <w:t>“Tablas de Documentación”</w:t>
      </w:r>
      <w:r w:rsidRPr="006A6CD7" w:rsidR="004726BB">
        <w:rPr>
          <w:sz w:val="24"/>
        </w:rPr>
        <w:t xml:space="preserve"> del SICVECA.</w:t>
      </w:r>
    </w:p>
    <w:p w:rsidRPr="006A6CD7" w:rsidR="00645793" w:rsidP="00645793" w:rsidRDefault="004D1644" w14:paraId="6D185DD5" w14:textId="2AE49198">
      <w:pPr>
        <w:pStyle w:val="Texto"/>
        <w:numPr>
          <w:ilvl w:val="1"/>
          <w:numId w:val="3"/>
        </w:numPr>
        <w:spacing w:line="240" w:lineRule="auto"/>
        <w:rPr>
          <w:sz w:val="24"/>
        </w:rPr>
      </w:pPr>
      <w:r w:rsidRPr="006A6CD7">
        <w:rPr>
          <w:sz w:val="24"/>
        </w:rPr>
        <w:t>El p</w:t>
      </w:r>
      <w:r w:rsidRPr="006A6CD7" w:rsidR="00645793">
        <w:rPr>
          <w:sz w:val="24"/>
        </w:rPr>
        <w:t xml:space="preserve">onderador </w:t>
      </w:r>
      <w:r w:rsidRPr="006A6CD7" w:rsidR="00023DCE">
        <w:rPr>
          <w:sz w:val="24"/>
        </w:rPr>
        <w:t xml:space="preserve">base </w:t>
      </w:r>
      <w:r w:rsidRPr="006A6CD7">
        <w:rPr>
          <w:sz w:val="24"/>
        </w:rPr>
        <w:t>corresponde a</w:t>
      </w:r>
      <w:r w:rsidRPr="006A6CD7" w:rsidR="00645793">
        <w:rPr>
          <w:sz w:val="24"/>
        </w:rPr>
        <w:t>l establecido en el Artículo 15 del Acuerdo SUGEF 3-06, como se indica a continuación:</w:t>
      </w:r>
    </w:p>
    <w:tbl>
      <w:tblPr>
        <w:tblStyle w:val="Tablaconcuadrcula"/>
        <w:tblW w:w="0" w:type="auto"/>
        <w:tblLook w:val="04A0" w:firstRow="1" w:lastRow="0" w:firstColumn="1" w:lastColumn="0" w:noHBand="0" w:noVBand="1"/>
      </w:tblPr>
      <w:tblGrid>
        <w:gridCol w:w="1547"/>
        <w:gridCol w:w="1209"/>
        <w:gridCol w:w="1209"/>
        <w:gridCol w:w="1209"/>
        <w:gridCol w:w="1209"/>
        <w:gridCol w:w="1222"/>
        <w:gridCol w:w="1223"/>
      </w:tblGrid>
      <w:tr w:rsidRPr="006A6CD7" w:rsidR="00645793" w:rsidTr="0010456D" w14:paraId="79E091DA" w14:textId="77777777">
        <w:tc>
          <w:tcPr>
            <w:tcW w:w="1261" w:type="dxa"/>
          </w:tcPr>
          <w:p w:rsidRPr="006A6CD7" w:rsidR="00645793" w:rsidP="0010456D" w:rsidRDefault="00645793" w14:paraId="5AD4A8AB" w14:textId="77777777">
            <w:pPr>
              <w:pStyle w:val="Texto"/>
              <w:spacing w:line="240" w:lineRule="auto"/>
              <w:rPr>
                <w:b/>
                <w:bCs/>
                <w:sz w:val="24"/>
              </w:rPr>
            </w:pPr>
            <w:r w:rsidRPr="006A6CD7">
              <w:rPr>
                <w:b/>
                <w:bCs/>
                <w:sz w:val="24"/>
              </w:rPr>
              <w:t>Descripción</w:t>
            </w:r>
          </w:p>
        </w:tc>
        <w:tc>
          <w:tcPr>
            <w:tcW w:w="1261" w:type="dxa"/>
          </w:tcPr>
          <w:p w:rsidRPr="006A6CD7" w:rsidR="00645793" w:rsidP="0010456D" w:rsidRDefault="00645793" w14:paraId="2B577E5D" w14:textId="77777777">
            <w:pPr>
              <w:pStyle w:val="Texto"/>
              <w:spacing w:line="240" w:lineRule="auto"/>
              <w:rPr>
                <w:sz w:val="24"/>
              </w:rPr>
            </w:pPr>
            <w:r w:rsidRPr="006A6CD7">
              <w:rPr>
                <w:sz w:val="24"/>
              </w:rPr>
              <w:t xml:space="preserve">LTV </w:t>
            </w:r>
            <w:r w:rsidRPr="006A6CD7">
              <w:rPr>
                <w:rFonts w:ascii="Cambria Math" w:hAnsi="Cambria Math"/>
                <w:sz w:val="24"/>
              </w:rPr>
              <w:t>&lt;</w:t>
            </w:r>
            <w:r w:rsidRPr="006A6CD7">
              <w:rPr>
                <w:sz w:val="24"/>
              </w:rPr>
              <w:t xml:space="preserve"> 40%</w:t>
            </w:r>
          </w:p>
        </w:tc>
        <w:tc>
          <w:tcPr>
            <w:tcW w:w="1261" w:type="dxa"/>
          </w:tcPr>
          <w:p w:rsidRPr="006A6CD7" w:rsidR="00645793" w:rsidP="0010456D" w:rsidRDefault="00645793" w14:paraId="5697923F" w14:textId="77777777">
            <w:pPr>
              <w:pStyle w:val="Texto"/>
              <w:spacing w:line="240" w:lineRule="auto"/>
              <w:rPr>
                <w:sz w:val="24"/>
              </w:rPr>
            </w:pPr>
            <w:r w:rsidRPr="006A6CD7">
              <w:rPr>
                <w:sz w:val="24"/>
              </w:rPr>
              <w:t xml:space="preserve">40% </w:t>
            </w:r>
            <w:r w:rsidRPr="006A6CD7">
              <w:rPr>
                <w:rFonts w:ascii="Cambria Math" w:hAnsi="Cambria Math"/>
                <w:sz w:val="24"/>
              </w:rPr>
              <w:t>&lt; LTV &lt; 60%</w:t>
            </w:r>
          </w:p>
        </w:tc>
        <w:tc>
          <w:tcPr>
            <w:tcW w:w="1261" w:type="dxa"/>
          </w:tcPr>
          <w:p w:rsidRPr="006A6CD7" w:rsidR="00645793" w:rsidP="0010456D" w:rsidRDefault="00645793" w14:paraId="0FD25A46" w14:textId="77777777">
            <w:pPr>
              <w:pStyle w:val="Texto"/>
              <w:spacing w:line="240" w:lineRule="auto"/>
              <w:rPr>
                <w:sz w:val="24"/>
              </w:rPr>
            </w:pPr>
            <w:r w:rsidRPr="006A6CD7">
              <w:rPr>
                <w:sz w:val="24"/>
              </w:rPr>
              <w:t xml:space="preserve">60% </w:t>
            </w:r>
            <w:r w:rsidRPr="006A6CD7">
              <w:rPr>
                <w:rFonts w:ascii="Cambria Math" w:hAnsi="Cambria Math"/>
                <w:sz w:val="24"/>
              </w:rPr>
              <w:t>&lt; LTV &lt; 80%</w:t>
            </w:r>
          </w:p>
        </w:tc>
        <w:tc>
          <w:tcPr>
            <w:tcW w:w="1261" w:type="dxa"/>
          </w:tcPr>
          <w:p w:rsidRPr="006A6CD7" w:rsidR="00645793" w:rsidP="0010456D" w:rsidRDefault="00645793" w14:paraId="13DDEBAD" w14:textId="77777777">
            <w:pPr>
              <w:pStyle w:val="Texto"/>
              <w:spacing w:line="240" w:lineRule="auto"/>
              <w:rPr>
                <w:sz w:val="24"/>
              </w:rPr>
            </w:pPr>
            <w:r w:rsidRPr="006A6CD7">
              <w:rPr>
                <w:sz w:val="24"/>
              </w:rPr>
              <w:t xml:space="preserve">80% </w:t>
            </w:r>
            <w:r w:rsidRPr="006A6CD7">
              <w:rPr>
                <w:rFonts w:ascii="Cambria Math" w:hAnsi="Cambria Math"/>
                <w:sz w:val="24"/>
              </w:rPr>
              <w:t>&lt; LTV &lt; 90%</w:t>
            </w:r>
          </w:p>
        </w:tc>
        <w:tc>
          <w:tcPr>
            <w:tcW w:w="1261" w:type="dxa"/>
          </w:tcPr>
          <w:p w:rsidRPr="006A6CD7" w:rsidR="00645793" w:rsidP="0010456D" w:rsidRDefault="00645793" w14:paraId="43A700D2" w14:textId="77777777">
            <w:pPr>
              <w:pStyle w:val="Texto"/>
              <w:spacing w:line="240" w:lineRule="auto"/>
              <w:rPr>
                <w:sz w:val="24"/>
              </w:rPr>
            </w:pPr>
            <w:r w:rsidRPr="006A6CD7">
              <w:rPr>
                <w:sz w:val="24"/>
              </w:rPr>
              <w:t xml:space="preserve">90% </w:t>
            </w:r>
            <w:r w:rsidRPr="006A6CD7">
              <w:rPr>
                <w:rFonts w:ascii="Cambria Math" w:hAnsi="Cambria Math"/>
                <w:sz w:val="24"/>
              </w:rPr>
              <w:t>&lt; LTV &lt; 100%</w:t>
            </w:r>
          </w:p>
        </w:tc>
        <w:tc>
          <w:tcPr>
            <w:tcW w:w="1262" w:type="dxa"/>
          </w:tcPr>
          <w:p w:rsidRPr="006A6CD7" w:rsidR="00645793" w:rsidP="0010456D" w:rsidRDefault="00645793" w14:paraId="78D7623C" w14:textId="77777777">
            <w:pPr>
              <w:pStyle w:val="Texto"/>
              <w:spacing w:line="240" w:lineRule="auto"/>
              <w:rPr>
                <w:sz w:val="24"/>
              </w:rPr>
            </w:pPr>
            <w:r w:rsidRPr="006A6CD7">
              <w:rPr>
                <w:rFonts w:ascii="Cambria Math" w:hAnsi="Cambria Math"/>
                <w:sz w:val="24"/>
              </w:rPr>
              <w:t xml:space="preserve">LTV </w:t>
            </w:r>
            <w:r w:rsidRPr="006A6CD7">
              <w:rPr>
                <w:rFonts w:ascii="Cambria Math" w:hAnsi="Cambria Math"/>
                <w:sz w:val="24"/>
              </w:rPr>
              <w:sym w:font="Symbol" w:char="F03E"/>
            </w:r>
            <w:r w:rsidRPr="006A6CD7">
              <w:rPr>
                <w:rFonts w:ascii="Cambria Math" w:hAnsi="Cambria Math"/>
                <w:sz w:val="24"/>
              </w:rPr>
              <w:t xml:space="preserve"> 100%</w:t>
            </w:r>
          </w:p>
        </w:tc>
      </w:tr>
      <w:tr w:rsidRPr="006A6CD7" w:rsidR="00645793" w:rsidTr="0010456D" w14:paraId="64ED2E14" w14:textId="77777777">
        <w:tc>
          <w:tcPr>
            <w:tcW w:w="1261" w:type="dxa"/>
          </w:tcPr>
          <w:p w:rsidRPr="006A6CD7" w:rsidR="00645793" w:rsidP="0010456D" w:rsidRDefault="00645793" w14:paraId="3748545A" w14:textId="77777777">
            <w:pPr>
              <w:pStyle w:val="Texto"/>
              <w:spacing w:line="240" w:lineRule="auto"/>
              <w:rPr>
                <w:b/>
                <w:bCs/>
                <w:sz w:val="24"/>
              </w:rPr>
            </w:pPr>
            <w:r w:rsidRPr="006A6CD7">
              <w:rPr>
                <w:b/>
                <w:bCs/>
                <w:sz w:val="24"/>
              </w:rPr>
              <w:t>Ponderador</w:t>
            </w:r>
          </w:p>
        </w:tc>
        <w:tc>
          <w:tcPr>
            <w:tcW w:w="1261" w:type="dxa"/>
          </w:tcPr>
          <w:p w:rsidRPr="006A6CD7" w:rsidR="00645793" w:rsidP="0010456D" w:rsidRDefault="00645793" w14:paraId="6CD8D9C8" w14:textId="77777777">
            <w:pPr>
              <w:pStyle w:val="Texto"/>
              <w:spacing w:line="240" w:lineRule="auto"/>
              <w:rPr>
                <w:sz w:val="24"/>
              </w:rPr>
            </w:pPr>
            <w:r w:rsidRPr="006A6CD7">
              <w:rPr>
                <w:sz w:val="24"/>
              </w:rPr>
              <w:t>25%</w:t>
            </w:r>
          </w:p>
        </w:tc>
        <w:tc>
          <w:tcPr>
            <w:tcW w:w="1261" w:type="dxa"/>
          </w:tcPr>
          <w:p w:rsidRPr="006A6CD7" w:rsidR="00645793" w:rsidP="0010456D" w:rsidRDefault="00645793" w14:paraId="5627CCBC" w14:textId="77777777">
            <w:pPr>
              <w:pStyle w:val="Texto"/>
              <w:spacing w:line="240" w:lineRule="auto"/>
              <w:rPr>
                <w:sz w:val="24"/>
              </w:rPr>
            </w:pPr>
            <w:r w:rsidRPr="006A6CD7">
              <w:rPr>
                <w:sz w:val="24"/>
              </w:rPr>
              <w:t>30%</w:t>
            </w:r>
          </w:p>
        </w:tc>
        <w:tc>
          <w:tcPr>
            <w:tcW w:w="1261" w:type="dxa"/>
          </w:tcPr>
          <w:p w:rsidRPr="006A6CD7" w:rsidR="00645793" w:rsidP="0010456D" w:rsidRDefault="00645793" w14:paraId="4FE62488" w14:textId="77777777">
            <w:pPr>
              <w:pStyle w:val="Texto"/>
              <w:spacing w:line="240" w:lineRule="auto"/>
              <w:rPr>
                <w:sz w:val="24"/>
              </w:rPr>
            </w:pPr>
            <w:r w:rsidRPr="006A6CD7">
              <w:rPr>
                <w:sz w:val="24"/>
              </w:rPr>
              <w:t>40%</w:t>
            </w:r>
          </w:p>
        </w:tc>
        <w:tc>
          <w:tcPr>
            <w:tcW w:w="1261" w:type="dxa"/>
          </w:tcPr>
          <w:p w:rsidRPr="006A6CD7" w:rsidR="00645793" w:rsidP="0010456D" w:rsidRDefault="00645793" w14:paraId="4B14663F" w14:textId="77777777">
            <w:pPr>
              <w:pStyle w:val="Texto"/>
              <w:spacing w:line="240" w:lineRule="auto"/>
              <w:rPr>
                <w:sz w:val="24"/>
              </w:rPr>
            </w:pPr>
            <w:r w:rsidRPr="006A6CD7">
              <w:rPr>
                <w:sz w:val="24"/>
              </w:rPr>
              <w:t>50%</w:t>
            </w:r>
          </w:p>
        </w:tc>
        <w:tc>
          <w:tcPr>
            <w:tcW w:w="1261" w:type="dxa"/>
          </w:tcPr>
          <w:p w:rsidRPr="006A6CD7" w:rsidR="00645793" w:rsidP="0010456D" w:rsidRDefault="00645793" w14:paraId="68A36DDA" w14:textId="77777777">
            <w:pPr>
              <w:pStyle w:val="Texto"/>
              <w:spacing w:line="240" w:lineRule="auto"/>
              <w:rPr>
                <w:sz w:val="24"/>
              </w:rPr>
            </w:pPr>
            <w:r w:rsidRPr="006A6CD7">
              <w:rPr>
                <w:sz w:val="24"/>
              </w:rPr>
              <w:t>60%</w:t>
            </w:r>
          </w:p>
        </w:tc>
        <w:tc>
          <w:tcPr>
            <w:tcW w:w="1262" w:type="dxa"/>
          </w:tcPr>
          <w:p w:rsidRPr="006A6CD7" w:rsidR="00645793" w:rsidP="0010456D" w:rsidRDefault="00645793" w14:paraId="60BA44C5" w14:textId="77777777">
            <w:pPr>
              <w:pStyle w:val="Texto"/>
              <w:spacing w:line="240" w:lineRule="auto"/>
              <w:rPr>
                <w:sz w:val="24"/>
              </w:rPr>
            </w:pPr>
            <w:r w:rsidRPr="006A6CD7">
              <w:rPr>
                <w:sz w:val="24"/>
              </w:rPr>
              <w:t>80%</w:t>
            </w:r>
          </w:p>
        </w:tc>
      </w:tr>
    </w:tbl>
    <w:p w:rsidRPr="006A6CD7" w:rsidR="00023DCE" w:rsidP="00023DCE" w:rsidRDefault="00023DCE" w14:paraId="0B608EF0" w14:textId="7DCDFC0C">
      <w:pPr>
        <w:pStyle w:val="Texto"/>
        <w:spacing w:line="240" w:lineRule="auto"/>
        <w:ind w:left="1418"/>
        <w:rPr>
          <w:sz w:val="24"/>
        </w:rPr>
      </w:pPr>
      <w:r w:rsidRPr="006A6CD7">
        <w:rPr>
          <w:sz w:val="24"/>
        </w:rPr>
        <w:t xml:space="preserve">En el caso de créditos denominados en moneda extranjera otorgados a deudores </w:t>
      </w:r>
      <w:r w:rsidRPr="006A6CD7">
        <w:rPr>
          <w:b/>
          <w:bCs/>
          <w:sz w:val="24"/>
        </w:rPr>
        <w:t>con exposición a riesgo cambiario</w:t>
      </w:r>
      <w:r w:rsidRPr="006A6CD7">
        <w:rPr>
          <w:sz w:val="24"/>
        </w:rPr>
        <w:t>, el ponderador base indicado debe multiplicarse por el factor establecido en el Artículo 18ter, según lo dispuesto en los Transitorios XXII y XXIII. Adicionalmente, cuando corresponda según el plazo residual del crédito, debe sumarse al ponderador resultante el ponderador adicional por plazo establecido en el Artículo 18bis, según lo dispuesto en el Transitorio XXVII.</w:t>
      </w:r>
    </w:p>
    <w:p w:rsidRPr="006A6CD7" w:rsidR="00023DCE" w:rsidP="00023DCE" w:rsidRDefault="00023DCE" w14:paraId="634FDD44" w14:textId="76F2474F">
      <w:pPr>
        <w:pStyle w:val="Texto"/>
        <w:spacing w:line="240" w:lineRule="auto"/>
        <w:ind w:left="1418"/>
        <w:rPr>
          <w:sz w:val="24"/>
        </w:rPr>
      </w:pPr>
      <w:r w:rsidRPr="006A6CD7">
        <w:rPr>
          <w:sz w:val="24"/>
        </w:rPr>
        <w:t xml:space="preserve">En el caso de créditos denominados en moneda extranjera otorgados a deudores </w:t>
      </w:r>
      <w:r w:rsidRPr="006A6CD7">
        <w:rPr>
          <w:b/>
          <w:bCs/>
          <w:sz w:val="24"/>
        </w:rPr>
        <w:t>sin exposición a riesgo cambiario</w:t>
      </w:r>
      <w:r w:rsidRPr="006A6CD7">
        <w:rPr>
          <w:sz w:val="24"/>
        </w:rPr>
        <w:t xml:space="preserve"> y créditos denominados en </w:t>
      </w:r>
      <w:r w:rsidRPr="006A6CD7">
        <w:rPr>
          <w:sz w:val="24"/>
        </w:rPr>
        <w:lastRenderedPageBreak/>
        <w:t>moneda nacional, cuando corresponda según el plazo residual del crédito, debe sumarse al ponderador base el ponderador adicional por plazo establecido en el Artículo 18bis, según lo dispuesto en el Transitorio XXVII.</w:t>
      </w:r>
    </w:p>
    <w:p w:rsidRPr="006A6CD7" w:rsidR="00645793" w:rsidP="00645793" w:rsidRDefault="00645793" w14:paraId="77CFD29A" w14:textId="0B092C18">
      <w:pPr>
        <w:pStyle w:val="Texto"/>
        <w:numPr>
          <w:ilvl w:val="1"/>
          <w:numId w:val="3"/>
        </w:numPr>
        <w:spacing w:line="240" w:lineRule="auto"/>
        <w:rPr>
          <w:sz w:val="24"/>
        </w:rPr>
      </w:pPr>
      <w:r w:rsidRPr="006A6CD7">
        <w:rPr>
          <w:sz w:val="24"/>
        </w:rPr>
        <w:t xml:space="preserve">Para el cálculo de la razón LTV únicamente se admiten los bienes inmuebles que se destinan o se destinarán exclusivamente para vivienda del deudor persona física. Otras garantías hipotecarias que no cumplan con este atributo se excluyen para efectos del cálculo del LTV y para la determinación del ponderador </w:t>
      </w:r>
      <w:r w:rsidRPr="006A6CD7" w:rsidR="00AB129D">
        <w:rPr>
          <w:sz w:val="24"/>
        </w:rPr>
        <w:t xml:space="preserve">base </w:t>
      </w:r>
      <w:r w:rsidRPr="006A6CD7">
        <w:rPr>
          <w:sz w:val="24"/>
        </w:rPr>
        <w:t>aplicable.</w:t>
      </w:r>
    </w:p>
    <w:p w:rsidRPr="006A6CD7" w:rsidR="00645793" w:rsidP="00645793" w:rsidRDefault="00645793" w14:paraId="015E5DEB" w14:textId="77777777">
      <w:pPr>
        <w:pStyle w:val="Texto"/>
        <w:numPr>
          <w:ilvl w:val="1"/>
          <w:numId w:val="3"/>
        </w:numPr>
        <w:spacing w:line="240" w:lineRule="auto"/>
        <w:rPr>
          <w:sz w:val="24"/>
        </w:rPr>
      </w:pPr>
      <w:r w:rsidRPr="006A6CD7">
        <w:rPr>
          <w:sz w:val="24"/>
        </w:rPr>
        <w:t>La cartera con los atributos anteriores debe reportarse únicamente mediante los siguientes códigos de la Tabla: Tipo_Cartera de las “Tablas de Documentación” del SICVECA:</w:t>
      </w:r>
    </w:p>
    <w:tbl>
      <w:tblPr>
        <w:tblStyle w:val="Tablaconcuadrcula"/>
        <w:tblW w:w="9072" w:type="dxa"/>
        <w:tblLook w:val="04A0" w:firstRow="1" w:lastRow="0" w:firstColumn="1" w:lastColumn="0" w:noHBand="0" w:noVBand="1"/>
      </w:tblPr>
      <w:tblGrid>
        <w:gridCol w:w="2761"/>
        <w:gridCol w:w="1096"/>
        <w:gridCol w:w="5215"/>
      </w:tblGrid>
      <w:tr w:rsidRPr="006A6CD7" w:rsidR="00645793" w:rsidTr="0010456D" w14:paraId="7BE7EF85" w14:textId="77777777">
        <w:trPr>
          <w:trHeight w:val="552"/>
        </w:trPr>
        <w:tc>
          <w:tcPr>
            <w:tcW w:w="2765" w:type="dxa"/>
          </w:tcPr>
          <w:p w:rsidRPr="006A6CD7" w:rsidR="00645793" w:rsidP="0010456D" w:rsidRDefault="00645793" w14:paraId="1C45A0D1" w14:textId="77777777">
            <w:pPr>
              <w:spacing w:line="240" w:lineRule="auto"/>
              <w:jc w:val="center"/>
              <w:rPr>
                <w:rFonts w:cs="Calibri"/>
                <w:b/>
                <w:bCs/>
                <w:sz w:val="24"/>
                <w:lang w:val="es-CR" w:eastAsia="es-CR"/>
              </w:rPr>
            </w:pPr>
            <w:r w:rsidRPr="006A6CD7">
              <w:rPr>
                <w:rFonts w:cs="Calibri"/>
                <w:b/>
                <w:bCs/>
                <w:sz w:val="24"/>
                <w:lang w:val="es-CR" w:eastAsia="es-CR"/>
              </w:rPr>
              <w:t>TABLA</w:t>
            </w:r>
          </w:p>
        </w:tc>
        <w:tc>
          <w:tcPr>
            <w:tcW w:w="1076" w:type="dxa"/>
            <w:noWrap/>
          </w:tcPr>
          <w:p w:rsidRPr="006A6CD7" w:rsidR="00645793" w:rsidP="0010456D" w:rsidRDefault="00645793" w14:paraId="36373E5B" w14:textId="7E1ACB3D">
            <w:pPr>
              <w:spacing w:line="240" w:lineRule="auto"/>
              <w:jc w:val="center"/>
              <w:rPr>
                <w:rFonts w:cs="Calibri"/>
                <w:b/>
                <w:bCs/>
                <w:sz w:val="24"/>
                <w:lang w:val="es-CR" w:eastAsia="es-CR"/>
              </w:rPr>
            </w:pPr>
            <w:r w:rsidRPr="006A6CD7">
              <w:rPr>
                <w:rFonts w:cs="Calibri"/>
                <w:b/>
                <w:bCs/>
                <w:sz w:val="24"/>
                <w:lang w:val="es-CR" w:eastAsia="es-CR"/>
              </w:rPr>
              <w:t>C</w:t>
            </w:r>
            <w:r w:rsidR="006A6CD7">
              <w:rPr>
                <w:rFonts w:cs="Calibri"/>
                <w:b/>
                <w:bCs/>
                <w:sz w:val="24"/>
                <w:lang w:val="es-CR" w:eastAsia="es-CR"/>
              </w:rPr>
              <w:t>Ó</w:t>
            </w:r>
            <w:r w:rsidRPr="006A6CD7">
              <w:rPr>
                <w:rFonts w:cs="Calibri"/>
                <w:b/>
                <w:bCs/>
                <w:sz w:val="24"/>
                <w:lang w:val="es-CR" w:eastAsia="es-CR"/>
              </w:rPr>
              <w:t>DIGO</w:t>
            </w:r>
          </w:p>
        </w:tc>
        <w:tc>
          <w:tcPr>
            <w:tcW w:w="5231" w:type="dxa"/>
          </w:tcPr>
          <w:p w:rsidRPr="006A6CD7" w:rsidR="00645793" w:rsidP="0010456D" w:rsidRDefault="00645793" w14:paraId="005FF288" w14:textId="2E0EC115">
            <w:pPr>
              <w:spacing w:line="240" w:lineRule="auto"/>
              <w:jc w:val="center"/>
              <w:rPr>
                <w:rFonts w:cs="Calibri"/>
                <w:b/>
                <w:bCs/>
                <w:sz w:val="24"/>
                <w:lang w:val="es-CR" w:eastAsia="es-CR"/>
              </w:rPr>
            </w:pPr>
            <w:r w:rsidRPr="006A6CD7">
              <w:rPr>
                <w:rFonts w:cs="Calibri"/>
                <w:b/>
                <w:bCs/>
                <w:sz w:val="24"/>
                <w:lang w:val="es-CR" w:eastAsia="es-CR"/>
              </w:rPr>
              <w:t>DESCRIPCI</w:t>
            </w:r>
            <w:r w:rsidR="006A6CD7">
              <w:rPr>
                <w:rFonts w:cs="Calibri"/>
                <w:b/>
                <w:bCs/>
                <w:sz w:val="24"/>
                <w:lang w:val="es-CR" w:eastAsia="es-CR"/>
              </w:rPr>
              <w:t>Ó</w:t>
            </w:r>
            <w:r w:rsidRPr="006A6CD7">
              <w:rPr>
                <w:rFonts w:cs="Calibri"/>
                <w:b/>
                <w:bCs/>
                <w:sz w:val="24"/>
                <w:lang w:val="es-CR" w:eastAsia="es-CR"/>
              </w:rPr>
              <w:t>N</w:t>
            </w:r>
          </w:p>
        </w:tc>
      </w:tr>
      <w:tr w:rsidRPr="006A6CD7" w:rsidR="00645793" w:rsidTr="0010456D" w14:paraId="71D1B175" w14:textId="77777777">
        <w:trPr>
          <w:trHeight w:val="552"/>
        </w:trPr>
        <w:tc>
          <w:tcPr>
            <w:tcW w:w="2765" w:type="dxa"/>
          </w:tcPr>
          <w:p w:rsidRPr="006A6CD7" w:rsidR="00645793" w:rsidP="0010456D" w:rsidRDefault="00645793" w14:paraId="0BDCB04A" w14:textId="77777777">
            <w:pPr>
              <w:spacing w:line="240" w:lineRule="auto"/>
              <w:jc w:val="center"/>
              <w:rPr>
                <w:rFonts w:cs="Calibri"/>
                <w:sz w:val="24"/>
                <w:lang w:val="es-CR"/>
              </w:rPr>
            </w:pPr>
            <w:r w:rsidRPr="006A6CD7">
              <w:rPr>
                <w:rFonts w:cs="Calibri"/>
                <w:sz w:val="24"/>
              </w:rPr>
              <w:t>TIPO_CARTERA</w:t>
            </w:r>
          </w:p>
        </w:tc>
        <w:tc>
          <w:tcPr>
            <w:tcW w:w="1076" w:type="dxa"/>
            <w:noWrap/>
            <w:hideMark/>
          </w:tcPr>
          <w:p w:rsidRPr="006A6CD7" w:rsidR="00645793" w:rsidP="0010456D" w:rsidRDefault="00645793" w14:paraId="2C63C932" w14:textId="77777777">
            <w:pPr>
              <w:spacing w:line="240" w:lineRule="auto"/>
              <w:jc w:val="center"/>
              <w:rPr>
                <w:rFonts w:cs="Calibri"/>
                <w:sz w:val="24"/>
                <w:lang w:val="es-CR" w:eastAsia="es-CR"/>
              </w:rPr>
            </w:pPr>
            <w:r w:rsidRPr="006A6CD7">
              <w:rPr>
                <w:sz w:val="24"/>
              </w:rPr>
              <w:t>3</w:t>
            </w:r>
          </w:p>
        </w:tc>
        <w:tc>
          <w:tcPr>
            <w:tcW w:w="5231" w:type="dxa"/>
            <w:hideMark/>
          </w:tcPr>
          <w:p w:rsidRPr="006A6CD7" w:rsidR="00645793" w:rsidP="0010456D" w:rsidRDefault="00645793" w14:paraId="0B2A537E" w14:textId="77777777">
            <w:pPr>
              <w:spacing w:line="240" w:lineRule="auto"/>
              <w:jc w:val="left"/>
              <w:rPr>
                <w:rFonts w:cs="Calibri"/>
                <w:sz w:val="24"/>
                <w:lang w:val="es-CR" w:eastAsia="es-CR"/>
              </w:rPr>
            </w:pPr>
            <w:r w:rsidRPr="006A6CD7">
              <w:rPr>
                <w:sz w:val="24"/>
              </w:rPr>
              <w:t>Vivienda residencial</w:t>
            </w:r>
          </w:p>
        </w:tc>
      </w:tr>
      <w:tr w:rsidRPr="006A6CD7" w:rsidR="00645793" w:rsidTr="0010456D" w14:paraId="39606D98" w14:textId="77777777">
        <w:trPr>
          <w:trHeight w:val="552"/>
        </w:trPr>
        <w:tc>
          <w:tcPr>
            <w:tcW w:w="2765" w:type="dxa"/>
          </w:tcPr>
          <w:p w:rsidRPr="006A6CD7" w:rsidR="00645793" w:rsidP="0010456D" w:rsidRDefault="00645793" w14:paraId="1491C78C" w14:textId="77777777">
            <w:pPr>
              <w:spacing w:line="240" w:lineRule="auto"/>
              <w:jc w:val="center"/>
              <w:rPr>
                <w:rFonts w:cs="Calibri"/>
                <w:sz w:val="24"/>
                <w:lang w:val="es-CR"/>
              </w:rPr>
            </w:pPr>
            <w:r w:rsidRPr="006A6CD7">
              <w:rPr>
                <w:rFonts w:cs="Calibri"/>
                <w:sz w:val="24"/>
              </w:rPr>
              <w:t>TIPO_CARTERA</w:t>
            </w:r>
          </w:p>
        </w:tc>
        <w:tc>
          <w:tcPr>
            <w:tcW w:w="1076" w:type="dxa"/>
            <w:noWrap/>
            <w:hideMark/>
          </w:tcPr>
          <w:p w:rsidRPr="006A6CD7" w:rsidR="00645793" w:rsidP="0010456D" w:rsidRDefault="00645793" w14:paraId="37A10B05" w14:textId="77777777">
            <w:pPr>
              <w:spacing w:line="240" w:lineRule="auto"/>
              <w:jc w:val="center"/>
              <w:rPr>
                <w:rFonts w:cs="Calibri"/>
                <w:sz w:val="24"/>
                <w:lang w:val="es-CR" w:eastAsia="es-CR"/>
              </w:rPr>
            </w:pPr>
            <w:r w:rsidRPr="006A6CD7">
              <w:rPr>
                <w:sz w:val="24"/>
              </w:rPr>
              <w:t>8</w:t>
            </w:r>
          </w:p>
        </w:tc>
        <w:tc>
          <w:tcPr>
            <w:tcW w:w="5231" w:type="dxa"/>
            <w:hideMark/>
          </w:tcPr>
          <w:p w:rsidRPr="006A6CD7" w:rsidR="00645793" w:rsidP="0010456D" w:rsidRDefault="00645793" w14:paraId="38308B65" w14:textId="77777777">
            <w:pPr>
              <w:spacing w:line="240" w:lineRule="auto"/>
              <w:jc w:val="left"/>
              <w:rPr>
                <w:rFonts w:cs="Calibri"/>
                <w:sz w:val="24"/>
                <w:lang w:val="es-CR" w:eastAsia="es-CR"/>
              </w:rPr>
            </w:pPr>
            <w:r w:rsidRPr="006A6CD7">
              <w:rPr>
                <w:sz w:val="24"/>
              </w:rPr>
              <w:t>Artículo 167 Ley 7052</w:t>
            </w:r>
          </w:p>
        </w:tc>
      </w:tr>
    </w:tbl>
    <w:p w:rsidR="002072D3" w:rsidP="00645793" w:rsidRDefault="002072D3" w14:paraId="550990E2" w14:textId="77777777">
      <w:pPr>
        <w:pStyle w:val="Texto"/>
        <w:spacing w:line="240" w:lineRule="auto"/>
        <w:rPr>
          <w:sz w:val="24"/>
        </w:rPr>
      </w:pPr>
    </w:p>
    <w:p w:rsidRPr="006A6CD7" w:rsidR="00645793" w:rsidP="00645793" w:rsidRDefault="00F42A4B" w14:paraId="511802FE" w14:textId="2151AA93">
      <w:pPr>
        <w:pStyle w:val="Texto"/>
        <w:spacing w:line="240" w:lineRule="auto"/>
        <w:rPr>
          <w:sz w:val="24"/>
        </w:rPr>
      </w:pPr>
      <w:r w:rsidRPr="006A6CD7">
        <w:rPr>
          <w:sz w:val="24"/>
        </w:rPr>
        <w:t>Por tanto</w:t>
      </w:r>
      <w:r w:rsidRPr="006A6CD7" w:rsidR="00645793">
        <w:rPr>
          <w:sz w:val="24"/>
        </w:rPr>
        <w:t xml:space="preserve">, únicamente la cartera reportada bajo los códigos 3 u 8 de la Tabla Tipo Cartera y para la cual se haya reportado al menos </w:t>
      </w:r>
      <w:r w:rsidRPr="006A6CD7" w:rsidR="00B015A1">
        <w:rPr>
          <w:sz w:val="24"/>
        </w:rPr>
        <w:t xml:space="preserve">un TIPO_MITIGADOR_RIESGO </w:t>
      </w:r>
      <w:r w:rsidRPr="006A6CD7" w:rsidR="00645793">
        <w:rPr>
          <w:sz w:val="24"/>
        </w:rPr>
        <w:t>identificad</w:t>
      </w:r>
      <w:r w:rsidRPr="006A6CD7" w:rsidR="00B015A1">
        <w:rPr>
          <w:sz w:val="24"/>
        </w:rPr>
        <w:t>o</w:t>
      </w:r>
      <w:r w:rsidRPr="006A6CD7" w:rsidR="00645793">
        <w:rPr>
          <w:sz w:val="24"/>
        </w:rPr>
        <w:t xml:space="preserve"> bajo los códigos 3, 6 o 25 de la Tabla Tipo Mitigador Riesgo, podrá ser ponderada según lo dispuesto en el Artículo 15 del Acuerdo SUGEF 3-06, así como según lo dispuesto en el Artículo 18bis para Cartera Vivienda.</w:t>
      </w:r>
    </w:p>
    <w:p w:rsidRPr="006A6CD7" w:rsidR="00645793" w:rsidP="00645793" w:rsidRDefault="00645793" w14:paraId="6DF06618" w14:textId="77777777">
      <w:pPr>
        <w:pStyle w:val="Texto"/>
        <w:spacing w:line="240" w:lineRule="auto"/>
        <w:rPr>
          <w:sz w:val="24"/>
        </w:rPr>
      </w:pPr>
      <w:r w:rsidRPr="006A6CD7">
        <w:rPr>
          <w:sz w:val="24"/>
        </w:rPr>
        <w:t>Otros tipos de cartera, tales como Consumo, Tarjetas de Crédito y Vehículos, no pueden tratarse como cartera Vivienda, según lo indicado anteriormente, y consecuentemente no le son aplicables los criterios de ponderación para Vivienda Residencial. Lo anterior, independientemente de que estos otros tipos de cartera se reporten con garantías hipotecarias habitadas o no por el deudor persona física.</w:t>
      </w:r>
    </w:p>
    <w:p w:rsidRPr="006A6CD7" w:rsidR="00645793" w:rsidP="00645793" w:rsidRDefault="00645793" w14:paraId="4B31FBCC" w14:textId="77777777">
      <w:pPr>
        <w:spacing w:line="240" w:lineRule="auto"/>
        <w:rPr>
          <w:sz w:val="24"/>
        </w:rPr>
      </w:pPr>
    </w:p>
    <w:p w:rsidR="00645793" w:rsidP="00645793" w:rsidRDefault="00645793" w14:paraId="5795A3DD" w14:textId="744B353E">
      <w:pPr>
        <w:spacing w:line="240" w:lineRule="auto"/>
        <w:rPr>
          <w:sz w:val="24"/>
        </w:rPr>
      </w:pPr>
      <w:r w:rsidRPr="006A6CD7">
        <w:rPr>
          <w:sz w:val="24"/>
        </w:rPr>
        <w:t>Atentamente,</w:t>
      </w:r>
    </w:p>
    <w:p w:rsidRPr="006A6CD7" w:rsidR="00645793" w:rsidP="00645793" w:rsidRDefault="00645793" w14:paraId="22BC3E90" w14:textId="77777777">
      <w:pPr>
        <w:spacing w:line="240" w:lineRule="auto"/>
        <w:rPr>
          <w:sz w:val="24"/>
        </w:rPr>
      </w:pPr>
      <w:r w:rsidRPr="006A6CD7">
        <w:rPr>
          <w:noProof/>
          <w:sz w:val="24"/>
          <w:lang w:val="es-CR" w:eastAsia="es-CR"/>
        </w:rPr>
        <w:drawing>
          <wp:anchor distT="0" distB="0" distL="114300" distR="114300" simplePos="0" relativeHeight="251661312" behindDoc="1" locked="0" layoutInCell="1" allowOverlap="1" wp14:editId="5C881130" wp14:anchorId="7CD0422F">
            <wp:simplePos x="0" y="0"/>
            <wp:positionH relativeFrom="margin">
              <wp:align>left</wp:align>
            </wp:positionH>
            <wp:positionV relativeFrom="paragraph">
              <wp:posOffset>8890</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6A6CD7" w:rsidR="00645793" w:rsidP="00645793" w:rsidRDefault="00645793" w14:paraId="2AB8D5A8" w14:textId="77777777">
      <w:pPr>
        <w:spacing w:line="240" w:lineRule="auto"/>
        <w:jc w:val="left"/>
        <w:rPr>
          <w:sz w:val="24"/>
        </w:rPr>
      </w:pPr>
      <w:bookmarkStart w:name="_Hlk53758837" w:id="1"/>
    </w:p>
    <w:p w:rsidRPr="006A6CD7" w:rsidR="006A6CD7" w:rsidP="00645793" w:rsidRDefault="006A6CD7" w14:paraId="5D470D94" w14:textId="77777777">
      <w:pPr>
        <w:spacing w:line="240" w:lineRule="auto"/>
        <w:jc w:val="left"/>
        <w:rPr>
          <w:sz w:val="24"/>
        </w:rPr>
      </w:pPr>
      <w:r w:rsidRPr="006A6CD7">
        <w:rPr>
          <w:sz w:val="24"/>
        </w:rPr>
        <w:t>José Armando Fallas Martínez</w:t>
      </w:r>
    </w:p>
    <w:p w:rsidRPr="006A6CD7" w:rsidR="00645793" w:rsidP="00645793" w:rsidRDefault="006A6CD7" w14:paraId="0FE9627B" w14:textId="29224503">
      <w:pPr>
        <w:spacing w:line="240" w:lineRule="auto"/>
        <w:jc w:val="left"/>
        <w:rPr>
          <w:sz w:val="24"/>
        </w:rPr>
      </w:pPr>
      <w:r w:rsidRPr="006A6CD7">
        <w:rPr>
          <w:b/>
          <w:bCs/>
          <w:sz w:val="24"/>
        </w:rPr>
        <w:t>I</w:t>
      </w:r>
      <w:r w:rsidRPr="006A6CD7" w:rsidR="00645793">
        <w:rPr>
          <w:b/>
          <w:bCs/>
          <w:sz w:val="24"/>
        </w:rPr>
        <w:t>ntendente General</w:t>
      </w:r>
    </w:p>
    <w:bookmarkEnd w:id="1"/>
    <w:p w:rsidRPr="006A6CD7" w:rsidR="00645793" w:rsidP="00645793" w:rsidRDefault="00645793" w14:paraId="0773B100" w14:textId="77777777">
      <w:pPr>
        <w:pStyle w:val="Negrita"/>
        <w:spacing w:line="240" w:lineRule="auto"/>
        <w:jc w:val="left"/>
        <w:rPr>
          <w:b w:val="0"/>
          <w:sz w:val="24"/>
        </w:rPr>
      </w:pPr>
    </w:p>
    <w:p w:rsidRPr="006A6CD7" w:rsidR="00645793" w:rsidP="00645793" w:rsidRDefault="00645793" w14:paraId="7C59F5D5" w14:textId="3C677803">
      <w:pPr>
        <w:spacing w:line="240" w:lineRule="auto"/>
        <w:rPr>
          <w:b/>
          <w:bCs/>
          <w:sz w:val="24"/>
        </w:rPr>
      </w:pPr>
      <w:r w:rsidRPr="006A6CD7">
        <w:rPr>
          <w:b/>
          <w:bCs/>
          <w:sz w:val="24"/>
        </w:rPr>
        <w:t>JSC/gvl</w:t>
      </w:r>
      <w:r w:rsidRPr="006A6CD7" w:rsidR="00EB046E">
        <w:rPr>
          <w:b/>
          <w:bCs/>
          <w:sz w:val="24"/>
        </w:rPr>
        <w:t>*</w:t>
      </w:r>
    </w:p>
    <w:p w:rsidR="00645793" w:rsidP="00645793" w:rsidRDefault="00645793" w14:paraId="2238EC5C" w14:textId="77777777">
      <w:pPr>
        <w:spacing w:line="240" w:lineRule="auto"/>
      </w:pPr>
    </w:p>
    <w:p w:rsidRPr="00D67CC3" w:rsidR="00D67CC3" w:rsidP="00181ABF" w:rsidRDefault="00D67CC3" w14:paraId="235478D1" w14:textId="77777777">
      <w:pPr>
        <w:pStyle w:val="Negrita"/>
        <w:spacing w:line="240" w:lineRule="auto"/>
        <w:jc w:val="left"/>
        <w:rPr>
          <w:noProof/>
          <w:lang w:eastAsia="es-CR"/>
        </w:rPr>
      </w:pPr>
    </w:p>
    <w:sectPr w:rsidRPr="00D67CC3" w:rsidR="00D67CC3">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B043" w14:textId="77777777" w:rsidR="00645793" w:rsidRDefault="00645793" w:rsidP="00181ABF">
      <w:pPr>
        <w:spacing w:line="240" w:lineRule="auto"/>
      </w:pPr>
      <w:r>
        <w:separator/>
      </w:r>
    </w:p>
  </w:endnote>
  <w:endnote w:type="continuationSeparator" w:id="0">
    <w:p w14:paraId="049EA094" w14:textId="77777777" w:rsidR="00645793" w:rsidRDefault="00645793"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5F8E37B3" w14:textId="77777777">
      <w:tc>
        <w:tcPr>
          <w:tcW w:w="7356" w:type="dxa"/>
        </w:tcPr>
        <w:p w:rsidRPr="00637782" w:rsidR="008D6B05" w:rsidP="008D6B05" w:rsidRDefault="008D6B05" w14:paraId="20976574"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60478335" wp14:anchorId="5F086640">
                    <wp:simplePos x="0" y="0"/>
                    <wp:positionH relativeFrom="page">
                      <wp:posOffset>0</wp:posOffset>
                    </wp:positionH>
                    <wp:positionV relativeFrom="page">
                      <wp:posOffset>9594215</wp:posOffset>
                    </wp:positionV>
                    <wp:extent cx="7772400" cy="273050"/>
                    <wp:effectExtent l="0" t="0" r="0" b="12700"/>
                    <wp:wrapNone/>
                    <wp:docPr id="4" name="MSIPCMd58e4a0496fd858e1b0e6d0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B05" w:rsidR="008D6B05" w:rsidP="008D6B05" w:rsidRDefault="008D6B05" w14:paraId="32817FEA" w14:textId="77777777">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F086640">
                    <v:stroke joinstyle="miter"/>
                    <v:path gradientshapeok="t" o:connecttype="rect"/>
                  </v:shapetype>
                  <v:shape id="MSIPCMd58e4a0496fd858e1b0e6d07"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D6B05" w:rsidR="008D6B05" w:rsidP="008D6B05" w:rsidRDefault="008D6B05" w14:paraId="32817FEA" w14:textId="77777777">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825A38" w:rsidP="00181ABF" w:rsidRDefault="00825A38" w14:paraId="6B1BC4D1" w14:textId="77777777">
          <w:pPr>
            <w:pStyle w:val="Piedepgina"/>
            <w:rPr>
              <w:b/>
              <w:color w:val="7F7F7F" w:themeColor="text1" w:themeTint="80"/>
              <w:sz w:val="16"/>
              <w:szCs w:val="16"/>
            </w:rPr>
          </w:pPr>
        </w:p>
      </w:tc>
      <w:tc>
        <w:tcPr>
          <w:tcW w:w="1472" w:type="dxa"/>
        </w:tcPr>
        <w:p w:rsidRPr="009349F3" w:rsidR="00825A38" w:rsidP="00181ABF" w:rsidRDefault="00825A38" w14:paraId="235A702D"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6DFBC78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33E6" w14:textId="77777777" w:rsidR="00645793" w:rsidRDefault="00645793" w:rsidP="00181ABF">
      <w:pPr>
        <w:spacing w:line="240" w:lineRule="auto"/>
      </w:pPr>
      <w:r>
        <w:separator/>
      </w:r>
    </w:p>
  </w:footnote>
  <w:footnote w:type="continuationSeparator" w:id="0">
    <w:p w14:paraId="75EDB4E5" w14:textId="77777777" w:rsidR="00645793" w:rsidRDefault="00645793"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BA2BA3" w14:paraId="1255FEC6" w14:textId="77777777">
    <w:pPr>
      <w:pStyle w:val="Encabezado"/>
    </w:pPr>
    <w:r>
      <w:rPr>
        <w:noProof/>
      </w:rPr>
      <w:drawing>
        <wp:anchor distT="0" distB="0" distL="114300" distR="114300" simplePos="0" relativeHeight="251662336" behindDoc="1" locked="0" layoutInCell="1" allowOverlap="1" wp14:editId="321B5E96" wp14:anchorId="5B50495D">
          <wp:simplePos x="0" y="0"/>
          <wp:positionH relativeFrom="page">
            <wp:align>right</wp:align>
          </wp:positionH>
          <wp:positionV relativeFrom="paragraph">
            <wp:posOffset>-448835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825A38" w:rsidRDefault="00181ABF" w14:paraId="081BA5C9"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28DD"/>
    <w:multiLevelType w:val="hybridMultilevel"/>
    <w:tmpl w:val="9D983F8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109810676">
    <w:abstractNumId w:val="1"/>
  </w:num>
  <w:num w:numId="2" w16cid:durableId="1883442161">
    <w:abstractNumId w:val="2"/>
  </w:num>
  <w:num w:numId="3" w16cid:durableId="1078669293">
    <w:abstractNumId w:val="0"/>
  </w:num>
  <w:num w:numId="4" w16cid:durableId="1805926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93"/>
    <w:rsid w:val="000202E3"/>
    <w:rsid w:val="00023DCE"/>
    <w:rsid w:val="00143111"/>
    <w:rsid w:val="001548A2"/>
    <w:rsid w:val="00181ABF"/>
    <w:rsid w:val="002072D3"/>
    <w:rsid w:val="00226DDC"/>
    <w:rsid w:val="003172BE"/>
    <w:rsid w:val="003D000D"/>
    <w:rsid w:val="003D67DB"/>
    <w:rsid w:val="0046105A"/>
    <w:rsid w:val="004726BB"/>
    <w:rsid w:val="004D1644"/>
    <w:rsid w:val="005E4B16"/>
    <w:rsid w:val="005F1131"/>
    <w:rsid w:val="00645793"/>
    <w:rsid w:val="006636D7"/>
    <w:rsid w:val="006A6CD7"/>
    <w:rsid w:val="008060D3"/>
    <w:rsid w:val="00822FFF"/>
    <w:rsid w:val="00825A38"/>
    <w:rsid w:val="008C7F0D"/>
    <w:rsid w:val="008D6B05"/>
    <w:rsid w:val="00937EF0"/>
    <w:rsid w:val="00986479"/>
    <w:rsid w:val="009F15A1"/>
    <w:rsid w:val="00AB129D"/>
    <w:rsid w:val="00B015A1"/>
    <w:rsid w:val="00BA2BA3"/>
    <w:rsid w:val="00BD3C02"/>
    <w:rsid w:val="00C376C8"/>
    <w:rsid w:val="00C959CF"/>
    <w:rsid w:val="00D2422E"/>
    <w:rsid w:val="00D67CC3"/>
    <w:rsid w:val="00D90222"/>
    <w:rsid w:val="00DF2ACF"/>
    <w:rsid w:val="00E42AAC"/>
    <w:rsid w:val="00EB046E"/>
    <w:rsid w:val="00EC1303"/>
    <w:rsid w:val="00F42A4B"/>
    <w:rsid w:val="00FE103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E127"/>
  <w15:chartTrackingRefBased/>
  <w15:docId w15:val="{48980124-F558-4B0C-A5ED-41A9AA2D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paragraph" w:styleId="Prrafodelista">
    <w:name w:val="List Paragraph"/>
    <w:basedOn w:val="Normal"/>
    <w:uiPriority w:val="34"/>
    <w:qFormat/>
    <w:rsid w:val="00645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865F9381A4B888CF74F58EA0BA445"/>
        <w:category>
          <w:name w:val="General"/>
          <w:gallery w:val="placeholder"/>
        </w:category>
        <w:types>
          <w:type w:val="bbPlcHdr"/>
        </w:types>
        <w:behaviors>
          <w:behavior w:val="content"/>
        </w:behaviors>
        <w:guid w:val="{56926A66-3B20-4914-94F0-C02B0A129326}"/>
      </w:docPartPr>
      <w:docPartBody>
        <w:p w:rsidR="0065205B" w:rsidRDefault="0065205B">
          <w:pPr>
            <w:pStyle w:val="595865F9381A4B888CF74F58EA0BA445"/>
          </w:pPr>
          <w:r w:rsidRPr="001E0779">
            <w:rPr>
              <w:rStyle w:val="Textodelmarcadordeposicin"/>
            </w:rPr>
            <w:t>Haga clic aquí para escribir texto.</w:t>
          </w:r>
        </w:p>
      </w:docPartBody>
    </w:docPart>
    <w:docPart>
      <w:docPartPr>
        <w:name w:val="7170C8B5FFF54807B72DD43B6D08B799"/>
        <w:category>
          <w:name w:val="General"/>
          <w:gallery w:val="placeholder"/>
        </w:category>
        <w:types>
          <w:type w:val="bbPlcHdr"/>
        </w:types>
        <w:behaviors>
          <w:behavior w:val="content"/>
        </w:behaviors>
        <w:guid w:val="{05E44A21-3C89-44E3-ABD7-4E686BF71E43}"/>
      </w:docPartPr>
      <w:docPartBody>
        <w:p w:rsidR="0065205B" w:rsidRDefault="0065205B">
          <w:pPr>
            <w:pStyle w:val="7170C8B5FFF54807B72DD43B6D08B79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5B"/>
    <w:rsid w:val="0065205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595865F9381A4B888CF74F58EA0BA445">
    <w:name w:val="595865F9381A4B888CF74F58EA0BA445"/>
  </w:style>
  <w:style w:type="paragraph" w:customStyle="1" w:styleId="7170C8B5FFF54807B72DD43B6D08B799">
    <w:name w:val="7170C8B5FFF54807B72DD43B6D08B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uttM2uIw1k0PHrEsk6urnl80AwnU1X4yEFV677Mr5rg=</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XWuyxX+sp/EsG2ODcu3TnvCHvGM1d0tPkBhkn9chyco=</DigestValue>
    </Reference>
  </SignedInfo>
  <SignatureValue>Pf4G483tH3prqR8Whckx931Lmajxh+mtwMqaeQdmYd9/gZjbCzTmXa7A0hyvYqyUakQ5gcW974uf
xcLZuOZp4YrA5NDyP6PZg38aIVE9yzcu6nNmlT+XfLVzWdORNx1fEfTJrdRp2fG+1FByxU8+HmRq
8YZE0/xREMeWw52uPzL064oxVJqcOB9OR1gYkZ5hX2EAWiMw9cHBqowuQgqcIdwx+lVHhEXEZE/V
TKVfgqpazWvWFrd5/zeeTKTQWirZsmEHp6X/N1c2FhHx5nLKGFXFWBqeUislveNXcjWBCJZuWyaQ
U5ak1lLGi9z8PkqIpm1puW5JmtsXlnbtJtpORw==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cziymTZ1nfkBadsKI5R8f3UTUzTaC0GgH6GcfOBN+B4=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a9FWOXcxjMU2L7YOFWKq39Czmn7rfvpkXzm/YrjP55Q=</DigestValue>
      </Reference>
      <Reference URI="/word/endnotes.xml?ContentType=application/vnd.openxmlformats-officedocument.wordprocessingml.endnotes+xml">
        <DigestMethod Algorithm="http://www.w3.org/2001/04/xmlenc#sha256"/>
        <DigestValue>s+lPHBb+SWxLfJN1EwxTPt23t40Y49Xsc800XFPoBuY=</DigestValue>
      </Reference>
      <Reference URI="/word/fontTable.xml?ContentType=application/vnd.openxmlformats-officedocument.wordprocessingml.fontTable+xml">
        <DigestMethod Algorithm="http://www.w3.org/2001/04/xmlenc#sha256"/>
        <DigestValue>u4bJYyp1h9+dgbKqF4AHq+zmzh8CVbV9Y5mvwNKM6vg=</DigestValue>
      </Reference>
      <Reference URI="/word/footer1.xml?ContentType=application/vnd.openxmlformats-officedocument.wordprocessingml.footer+xml">
        <DigestMethod Algorithm="http://www.w3.org/2001/04/xmlenc#sha256"/>
        <DigestValue>CS0oon41zdN0BC1timdn1fI1smAc3qGg9JqxvWgMmWI=</DigestValue>
      </Reference>
      <Reference URI="/word/footnotes.xml?ContentType=application/vnd.openxmlformats-officedocument.wordprocessingml.footnotes+xml">
        <DigestMethod Algorithm="http://www.w3.org/2001/04/xmlenc#sha256"/>
        <DigestValue>C5/3OKB39pGu7Csy+IJBAvzJEMC96kSCimKlKXpE4Zs=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j9AaGWxfoMxhSVEVN7wOmj9Hu9FSeLKxUlTpmFGBTbs=</DigestValue>
      </Reference>
      <Reference URI="/word/glossary/fontTable.xml?ContentType=application/vnd.openxmlformats-officedocument.wordprocessingml.fontTable+xml">
        <DigestMethod Algorithm="http://www.w3.org/2001/04/xmlenc#sha256"/>
        <DigestValue>u4bJYyp1h9+dgbKqF4AHq+zmzh8CVbV9Y5mvwNKM6vg=</DigestValue>
      </Reference>
      <Reference URI="/word/glossary/settings.xml?ContentType=application/vnd.openxmlformats-officedocument.wordprocessingml.settings+xml">
        <DigestMethod Algorithm="http://www.w3.org/2001/04/xmlenc#sha256"/>
        <DigestValue>wXMSjz8tidx4YMEEeYm3pmrwF87oR7eLriYrtaifd18=</DigestValue>
      </Reference>
      <Reference URI="/word/glossary/styles.xml?ContentType=application/vnd.openxmlformats-officedocument.wordprocessingml.styles+xml">
        <DigestMethod Algorithm="http://www.w3.org/2001/04/xmlenc#sha256"/>
        <DigestValue>ZYj6fHpAd95ErZDC7Z0xt/Tf7ZSJKJBCCtURpIfVhhU=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OwOrsfcNuqffl0LL09US1Pqn6oBXWkbvTk88Lw7Mkdo=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KVu1ic2RIJYRmxTk7WO7GL1WFqdKmwzTXxIBxUqnMCk=</DigestValue>
      </Reference>
      <Reference URI="/word/settings.xml?ContentType=application/vnd.openxmlformats-officedocument.wordprocessingml.settings+xml">
        <DigestMethod Algorithm="http://www.w3.org/2001/04/xmlenc#sha256"/>
        <DigestValue>TGEVjlX4MQZn31oD+nfmK0fCJUy/uloKJRXULucg840=</DigestValue>
      </Reference>
      <Reference URI="/word/styles.xml?ContentType=application/vnd.openxmlformats-officedocument.wordprocessingml.styles+xml">
        <DigestMethod Algorithm="http://www.w3.org/2001/04/xmlenc#sha256"/>
        <DigestValue>WcOMG2lque+H2HKjwxEuzRQ22qADHBBjqXiOj06zD4M=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2024-02-02T14:50:57Z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2024-02-02T14:50:57Z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MOspgMydi3Ubya4BGurGP+5j1xIfyR2/SV8mfSsHgMCBBjEo90YDzIwMjQwMjAyMTQ1MT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xBcp+Y9iR0oLWcDO6VYYvtJaOjQ=</xd:ByKey>
                  </xd:ResponderID>
                  <xd:ProducedAt>2024-02-02T14:27:37Z</xd:ProducedAt>
                </xd:OCSPIdentifier>
                <xd:DigestAlgAndValue>
                  <DigestMethod Algorithm="http://www.w3.org/2001/04/xmlenc#sha256"/>
                  <DigestValue>AEZW6uJE0NSGa81DltXPyRNlncK6XpL3akM0iQ8jofQ=</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</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ztoTWsbNIZ+CZcB+M/r3skjuWE1kGLUuKQFgkr45r2YCBBjEo98YDzIwMjQwMjAyMTQ1MT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130</Value>
      <Value>3</Value>
      <Value>2</Value>
      <Value>183</Value>
      <Value>63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GESTION DE DATOS</DisplayName>
        <AccountId>3478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Circular Externa Aclaración sobre aplicación del porcentaje adicional de ponderación por plazo Acuerdo SUGEF 3-06
Informar a SALIENTE NORMAS, SALIENTE GESTION DE DATOS, SALIENTE DIRECTORES DE SUPERVISIÓN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2024-01-29T06:00:00+00:00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Aclaración sobre aplicación del porcentaje adicional de ponderación por plazo, Acuerdo SUGEF 3-06</Subject1>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C6878DB1-B965-44C3-BE06-729D3811B3A5}"/>
</file>

<file path=customXml/itemProps2.xml><?xml version="1.0" encoding="utf-8"?>
<ds:datastoreItem xmlns:ds="http://schemas.openxmlformats.org/officeDocument/2006/customXml" ds:itemID="{126C6BDB-D336-4CC0-BAEF-7C7377902124}"/>
</file>

<file path=customXml/itemProps3.xml><?xml version="1.0" encoding="utf-8"?>
<ds:datastoreItem xmlns:ds="http://schemas.openxmlformats.org/officeDocument/2006/customXml" ds:itemID="{897877BF-7EAA-46B7-8339-ECE9289922ED}"/>
</file>

<file path=customXml/itemProps4.xml><?xml version="1.0" encoding="utf-8"?>
<ds:datastoreItem xmlns:ds="http://schemas.openxmlformats.org/officeDocument/2006/customXml" ds:itemID="{6CDE343D-BFA8-466F-980E-4E3C5EF72998}"/>
</file>

<file path=customXml/itemProps5.xml><?xml version="1.0" encoding="utf-8"?>
<ds:datastoreItem xmlns:ds="http://schemas.openxmlformats.org/officeDocument/2006/customXml" ds:itemID="{DD2D7A63-5909-4AE8-9879-F6D706804997}"/>
</file>

<file path=customXml/itemProps6.xml><?xml version="1.0" encoding="utf-8"?>
<ds:datastoreItem xmlns:ds="http://schemas.openxmlformats.org/officeDocument/2006/customXml" ds:itemID="{9E241574-3D5B-4234-9DD6-DE57D741D1A2}"/>
</file>

<file path=docProps/app.xml><?xml version="1.0" encoding="utf-8"?>
<Properties xmlns="http://schemas.openxmlformats.org/officeDocument/2006/extended-properties" xmlns:vt="http://schemas.openxmlformats.org/officeDocument/2006/docPropsVTypes">
  <Template>plantilla-SGF-DST-DNO-22</Template>
  <TotalTime>73</TotalTime>
  <Pages>3</Pages>
  <Words>882</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24</cp:revision>
  <dcterms:created xsi:type="dcterms:W3CDTF">2024-01-29T21:35:00Z</dcterms:created>
  <dcterms:modified xsi:type="dcterms:W3CDTF">2024-02-02T14:06:00Z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130;#Confidencial|d19c5cf3-f0e9-4d18-86d2-7bee4000e1ea</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146700</vt:r8>
  </property>
  <property fmtid="{D5CDD505-2E9C-101B-9397-08002B2CF9AE}" pid="12" name="MSIP_Label_b8b4be34-365a-4a68-b9fb-75c1b6874315_Enabled">
    <vt:lpwstr>true</vt:lpwstr>
  </property>
  <property fmtid="{D5CDD505-2E9C-101B-9397-08002B2CF9AE}" pid="13" name="MSIP_Label_b8b4be34-365a-4a68-b9fb-75c1b6874315_SetDate">
    <vt:lpwstr>2024-02-02T14:06:01Z</vt:lpwstr>
  </property>
  <property fmtid="{D5CDD505-2E9C-101B-9397-08002B2CF9AE}" pid="14" name="MSIP_Label_b8b4be34-365a-4a68-b9fb-75c1b6874315_Method">
    <vt:lpwstr>Standard</vt:lpwstr>
  </property>
  <property fmtid="{D5CDD505-2E9C-101B-9397-08002B2CF9AE}" pid="15" name="MSIP_Label_b8b4be34-365a-4a68-b9fb-75c1b6874315_Name">
    <vt:lpwstr>b8b4be34-365a-4a68-b9fb-75c1b6874315</vt:lpwstr>
  </property>
  <property fmtid="{D5CDD505-2E9C-101B-9397-08002B2CF9AE}" pid="16" name="MSIP_Label_b8b4be34-365a-4a68-b9fb-75c1b6874315_SiteId">
    <vt:lpwstr>618d0a45-25a6-4618-9f80-8f70a435ee52</vt:lpwstr>
  </property>
  <property fmtid="{D5CDD505-2E9C-101B-9397-08002B2CF9AE}" pid="17" name="MSIP_Label_b8b4be34-365a-4a68-b9fb-75c1b6874315_ActionId">
    <vt:lpwstr>006e2913-c474-441e-a433-39bbfdf60ae4</vt:lpwstr>
  </property>
  <property fmtid="{D5CDD505-2E9C-101B-9397-08002B2CF9AE}" pid="18" name="MSIP_Label_b8b4be34-365a-4a68-b9fb-75c1b6874315_ContentBits">
    <vt:lpwstr>2</vt:lpwstr>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f1fd9d7f-da86-405a-9476-87cbb240632e,5;36e1af0c-2eec-499f-b304-a394df1aa266,8;</vt:lpwstr>
  </property>
</Properties>
</file>