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BA3" w:rsidP="00181ABF" w:rsidRDefault="00BA2BA3" w14:paraId="4C5DDFFF" w14:textId="77777777">
      <w:pPr>
        <w:pStyle w:val="Texto"/>
        <w:spacing w:before="0" w:after="0" w:line="240" w:lineRule="auto"/>
        <w:rPr>
          <w:sz w:val="24"/>
        </w:rPr>
      </w:pPr>
    </w:p>
    <w:p w:rsidRPr="00EB3225" w:rsidR="00BA2BA3" w:rsidP="00181ABF" w:rsidRDefault="00BA2BA3" w14:paraId="486713A0" w14:textId="77777777">
      <w:pPr>
        <w:pStyle w:val="Texto"/>
        <w:spacing w:before="0" w:after="0" w:line="240" w:lineRule="auto"/>
        <w:rPr>
          <w:sz w:val="24"/>
        </w:rPr>
      </w:pPr>
    </w:p>
    <w:p w:rsidRPr="00EB3225" w:rsidR="00ED250D" w:rsidP="00ED250D" w:rsidRDefault="00ED250D" w14:paraId="067E12B1" w14:textId="77777777">
      <w:pPr>
        <w:pStyle w:val="Texto"/>
        <w:spacing w:before="0" w:after="0" w:line="240" w:lineRule="auto"/>
        <w:contextualSpacing/>
        <w:jc w:val="center"/>
        <w:rPr>
          <w:b/>
          <w:bCs/>
          <w:sz w:val="24"/>
        </w:rPr>
      </w:pPr>
      <w:r w:rsidRPr="00EB3225">
        <w:rPr>
          <w:b/>
          <w:bCs/>
          <w:sz w:val="24"/>
        </w:rPr>
        <w:t>Circular Externa</w:t>
      </w:r>
    </w:p>
    <w:p w:rsidRPr="00EB3225" w:rsidR="00ED250D" w:rsidP="00ED250D" w:rsidRDefault="00ED250D" w14:paraId="2D9FCE45" w14:textId="2F9A3CAB">
      <w:pPr>
        <w:pStyle w:val="Texto"/>
        <w:spacing w:before="0" w:after="0" w:line="240" w:lineRule="auto"/>
        <w:contextualSpacing/>
        <w:jc w:val="center"/>
        <w:rPr>
          <w:sz w:val="24"/>
        </w:rPr>
      </w:pPr>
      <w:r w:rsidRPr="00EB3225">
        <w:rPr>
          <w:sz w:val="24"/>
        </w:rPr>
        <w:t>1</w:t>
      </w:r>
      <w:r w:rsidRPr="00EB3225" w:rsidR="00EB3225">
        <w:rPr>
          <w:sz w:val="24"/>
        </w:rPr>
        <w:t>5</w:t>
      </w:r>
      <w:r w:rsidRPr="00EB3225">
        <w:rPr>
          <w:sz w:val="24"/>
        </w:rPr>
        <w:t xml:space="preserve"> de enero del 2024</w:t>
      </w:r>
    </w:p>
    <w:sdt>
      <w:sdtPr>
        <w:rPr>
          <w:sz w:val="24"/>
        </w:rPr>
        <w:alias w:val="Consecutivo"/>
        <w:tag w:val="Consecutivo"/>
        <w:id w:val="-1764373498"/>
        <w:placeholder>
          <w:docPart w:val="A02834F9F9A14F36BC305E5B300BB6C4"/>
        </w:placeholder>
        <w:text/>
      </w:sdtPr>
      <w:sdtEndPr/>
      <w:sdtContent>
        <w:p w:rsidRPr="00EB3225" w:rsidR="00ED250D" w:rsidP="00ED250D" w:rsidRDefault="00ED250D" w14:paraId="66B8E8DB" w14:textId="77777777">
          <w:pPr>
            <w:tabs>
              <w:tab w:val="left" w:pos="2843"/>
            </w:tabs>
            <w:spacing w:line="240" w:lineRule="auto"/>
            <w:contextualSpacing/>
            <w:jc w:val="center"/>
            <w:rPr>
              <w:sz w:val="24"/>
            </w:rPr>
          </w:pPr>
          <w:r>
            <w:t>SGF-0079-2024</w:t>
          </w:r>
        </w:p>
      </w:sdtContent>
    </w:sdt>
    <w:p w:rsidRPr="00EB3225" w:rsidR="00ED250D" w:rsidP="00ED250D" w:rsidRDefault="00EB3225" w14:paraId="5ECA17D0" w14:textId="77777777">
      <w:pPr>
        <w:tabs>
          <w:tab w:val="left" w:pos="2843"/>
        </w:tabs>
        <w:spacing w:line="240" w:lineRule="auto"/>
        <w:contextualSpacing/>
        <w:jc w:val="center"/>
        <w:rPr>
          <w:sz w:val="24"/>
        </w:rPr>
      </w:pPr>
      <w:sdt>
        <w:sdtPr>
          <w:rPr>
            <w:sz w:val="24"/>
          </w:rPr>
          <w:alias w:val="Confidencialidad"/>
          <w:tag w:val="Confidencialidad"/>
          <w:id w:val="2063898970"/>
          <w:placeholder>
            <w:docPart w:val="CAE130D2471A4F999654C98D758D2B6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EB3225" w:rsidR="00ED250D">
            <w:rPr>
              <w:sz w:val="24"/>
            </w:rPr>
            <w:t>SGF-PUBLICO</w:t>
          </w:r>
        </w:sdtContent>
      </w:sdt>
    </w:p>
    <w:p w:rsidRPr="00EB3225" w:rsidR="00ED250D" w:rsidP="00ED250D" w:rsidRDefault="00ED250D" w14:paraId="0A0062E1" w14:textId="77777777">
      <w:pPr>
        <w:tabs>
          <w:tab w:val="left" w:pos="2843"/>
        </w:tabs>
        <w:spacing w:line="240" w:lineRule="auto"/>
        <w:contextualSpacing/>
        <w:rPr>
          <w:sz w:val="24"/>
        </w:rPr>
      </w:pPr>
    </w:p>
    <w:p w:rsidRPr="00EB3225" w:rsidR="00ED250D" w:rsidP="00ED250D" w:rsidRDefault="00ED250D" w14:paraId="4BDDFCD2" w14:textId="77777777">
      <w:pPr>
        <w:widowControl w:val="0"/>
        <w:spacing w:line="240" w:lineRule="auto"/>
        <w:ind w:left="34" w:right="86"/>
        <w:contextualSpacing/>
        <w:outlineLvl w:val="0"/>
        <w:rPr>
          <w:b/>
          <w:sz w:val="24"/>
          <w:lang w:val="es-CR"/>
        </w:rPr>
      </w:pPr>
      <w:r w:rsidRPr="00EB3225">
        <w:rPr>
          <w:b/>
          <w:sz w:val="24"/>
          <w:lang w:val="es-CR"/>
        </w:rPr>
        <w:t xml:space="preserve">Dirigida a: </w:t>
      </w:r>
    </w:p>
    <w:p w:rsidRPr="00EB3225" w:rsidR="00ED250D" w:rsidP="00ED250D" w:rsidRDefault="00ED250D" w14:paraId="1E38EF24" w14:textId="77777777">
      <w:pPr>
        <w:widowControl w:val="0"/>
        <w:spacing w:line="240" w:lineRule="auto"/>
        <w:ind w:left="34" w:right="86"/>
        <w:contextualSpacing/>
        <w:outlineLvl w:val="0"/>
        <w:rPr>
          <w:b/>
          <w:sz w:val="24"/>
          <w:lang w:val="es-CR"/>
        </w:rPr>
      </w:pPr>
    </w:p>
    <w:p w:rsidRPr="00EB3225" w:rsidR="00ED250D" w:rsidP="00ED250D" w:rsidRDefault="00ED250D" w14:paraId="093AEC4F" w14:textId="77777777">
      <w:pPr>
        <w:widowControl w:val="0"/>
        <w:numPr>
          <w:ilvl w:val="0"/>
          <w:numId w:val="3"/>
        </w:numPr>
        <w:spacing w:line="240" w:lineRule="auto"/>
        <w:ind w:left="567" w:right="86" w:hanging="567"/>
        <w:contextualSpacing/>
        <w:rPr>
          <w:b/>
          <w:sz w:val="24"/>
          <w:lang w:val="es-CR" w:eastAsia="es-ES"/>
        </w:rPr>
      </w:pPr>
      <w:r w:rsidRPr="00EB3225">
        <w:rPr>
          <w:b/>
          <w:sz w:val="24"/>
          <w:lang w:val="es-CR" w:eastAsia="es-ES"/>
        </w:rPr>
        <w:t>Bancos Comerciales del Estado</w:t>
      </w:r>
    </w:p>
    <w:p w:rsidRPr="00EB3225" w:rsidR="00ED250D" w:rsidP="00ED250D" w:rsidRDefault="00ED250D" w14:paraId="348836F7" w14:textId="77777777">
      <w:pPr>
        <w:widowControl w:val="0"/>
        <w:numPr>
          <w:ilvl w:val="0"/>
          <w:numId w:val="3"/>
        </w:numPr>
        <w:spacing w:line="240" w:lineRule="auto"/>
        <w:ind w:left="567" w:right="86" w:hanging="567"/>
        <w:contextualSpacing/>
        <w:rPr>
          <w:b/>
          <w:sz w:val="24"/>
          <w:lang w:val="es-CR" w:eastAsia="es-ES"/>
        </w:rPr>
      </w:pPr>
      <w:r w:rsidRPr="00EB3225">
        <w:rPr>
          <w:b/>
          <w:sz w:val="24"/>
          <w:lang w:val="es-CR" w:eastAsia="es-ES"/>
        </w:rPr>
        <w:t>Bancos Creados por Leyes Especiales</w:t>
      </w:r>
    </w:p>
    <w:p w:rsidRPr="00EB3225" w:rsidR="00ED250D" w:rsidP="00ED250D" w:rsidRDefault="00ED250D" w14:paraId="68B17845" w14:textId="77777777">
      <w:pPr>
        <w:widowControl w:val="0"/>
        <w:numPr>
          <w:ilvl w:val="0"/>
          <w:numId w:val="3"/>
        </w:numPr>
        <w:spacing w:line="240" w:lineRule="auto"/>
        <w:ind w:left="567" w:right="86" w:hanging="567"/>
        <w:contextualSpacing/>
        <w:rPr>
          <w:b/>
          <w:sz w:val="24"/>
          <w:lang w:val="es-CR" w:eastAsia="es-ES"/>
        </w:rPr>
      </w:pPr>
      <w:r w:rsidRPr="00EB3225">
        <w:rPr>
          <w:b/>
          <w:sz w:val="24"/>
          <w:lang w:val="es-CR" w:eastAsia="es-ES"/>
        </w:rPr>
        <w:t>Bancos Privados</w:t>
      </w:r>
    </w:p>
    <w:p w:rsidRPr="00EB3225" w:rsidR="00ED250D" w:rsidP="00ED250D" w:rsidRDefault="00ED250D" w14:paraId="7B5FE766" w14:textId="77777777">
      <w:pPr>
        <w:widowControl w:val="0"/>
        <w:numPr>
          <w:ilvl w:val="0"/>
          <w:numId w:val="3"/>
        </w:numPr>
        <w:spacing w:line="240" w:lineRule="auto"/>
        <w:ind w:left="567" w:right="86" w:hanging="567"/>
        <w:contextualSpacing/>
        <w:rPr>
          <w:b/>
          <w:sz w:val="24"/>
          <w:lang w:val="es-CR" w:eastAsia="es-ES"/>
        </w:rPr>
      </w:pPr>
      <w:r w:rsidRPr="00EB3225">
        <w:rPr>
          <w:b/>
          <w:sz w:val="24"/>
          <w:lang w:val="es-CR" w:eastAsia="es-ES"/>
        </w:rPr>
        <w:t>Empresas Financieras no Bancarias</w:t>
      </w:r>
    </w:p>
    <w:p w:rsidRPr="00EB3225" w:rsidR="00ED250D" w:rsidP="00ED250D" w:rsidRDefault="00ED250D" w14:paraId="293D2952" w14:textId="77777777">
      <w:pPr>
        <w:widowControl w:val="0"/>
        <w:numPr>
          <w:ilvl w:val="0"/>
          <w:numId w:val="3"/>
        </w:numPr>
        <w:spacing w:line="240" w:lineRule="auto"/>
        <w:ind w:left="567" w:right="86" w:hanging="567"/>
        <w:contextualSpacing/>
        <w:rPr>
          <w:b/>
          <w:sz w:val="24"/>
          <w:lang w:val="es-CR" w:eastAsia="es-ES"/>
        </w:rPr>
      </w:pPr>
      <w:r w:rsidRPr="00EB3225">
        <w:rPr>
          <w:b/>
          <w:sz w:val="24"/>
          <w:lang w:val="es-CR" w:eastAsia="es-ES"/>
        </w:rPr>
        <w:t>Otras Entidades Financieras</w:t>
      </w:r>
    </w:p>
    <w:p w:rsidRPr="00EB3225" w:rsidR="00ED250D" w:rsidP="00ED250D" w:rsidRDefault="00ED250D" w14:paraId="2A66EC9B" w14:textId="77777777">
      <w:pPr>
        <w:widowControl w:val="0"/>
        <w:numPr>
          <w:ilvl w:val="0"/>
          <w:numId w:val="3"/>
        </w:numPr>
        <w:spacing w:line="240" w:lineRule="auto"/>
        <w:ind w:left="567" w:right="86" w:hanging="567"/>
        <w:contextualSpacing/>
        <w:rPr>
          <w:b/>
          <w:sz w:val="24"/>
          <w:lang w:val="es-CR" w:eastAsia="es-ES"/>
        </w:rPr>
      </w:pPr>
      <w:r w:rsidRPr="00EB3225">
        <w:rPr>
          <w:b/>
          <w:sz w:val="24"/>
          <w:lang w:val="es-CR" w:eastAsia="es-ES"/>
        </w:rPr>
        <w:t>Organizaciones Cooperativas de Ahorro y Crédito</w:t>
      </w:r>
    </w:p>
    <w:p w:rsidRPr="00EB3225" w:rsidR="00ED250D" w:rsidP="00ED250D" w:rsidRDefault="00ED250D" w14:paraId="498FCA87" w14:textId="77777777">
      <w:pPr>
        <w:widowControl w:val="0"/>
        <w:numPr>
          <w:ilvl w:val="0"/>
          <w:numId w:val="3"/>
        </w:numPr>
        <w:spacing w:line="240" w:lineRule="auto"/>
        <w:ind w:left="567" w:right="86" w:hanging="567"/>
        <w:contextualSpacing/>
        <w:rPr>
          <w:b/>
          <w:sz w:val="24"/>
          <w:lang w:val="es-CR" w:eastAsia="es-ES"/>
        </w:rPr>
      </w:pPr>
      <w:r w:rsidRPr="00EB3225">
        <w:rPr>
          <w:b/>
          <w:sz w:val="24"/>
          <w:lang w:val="es-CR" w:eastAsia="es-ES"/>
        </w:rPr>
        <w:t>Asociaciones Mutualistas de Ahorro y Crédito</w:t>
      </w:r>
    </w:p>
    <w:p w:rsidRPr="00EB3225" w:rsidR="00ED250D" w:rsidP="00ED250D" w:rsidRDefault="00ED250D" w14:paraId="2C597D2D" w14:textId="77777777">
      <w:pPr>
        <w:widowControl w:val="0"/>
        <w:numPr>
          <w:ilvl w:val="0"/>
          <w:numId w:val="3"/>
        </w:numPr>
        <w:spacing w:after="200" w:line="240" w:lineRule="auto"/>
        <w:ind w:left="567" w:right="86" w:hanging="567"/>
        <w:contextualSpacing/>
        <w:rPr>
          <w:b/>
          <w:sz w:val="24"/>
          <w:lang w:val="es-CR" w:eastAsia="es-ES"/>
        </w:rPr>
      </w:pPr>
      <w:r w:rsidRPr="00EB3225">
        <w:rPr>
          <w:b/>
          <w:sz w:val="24"/>
          <w:lang w:val="es-CR" w:eastAsia="es-ES"/>
        </w:rPr>
        <w:t>Asociación Bancaria Costarricense</w:t>
      </w:r>
    </w:p>
    <w:p w:rsidRPr="00EB3225" w:rsidR="00ED250D" w:rsidP="00ED250D" w:rsidRDefault="00ED250D" w14:paraId="002402EA" w14:textId="77777777">
      <w:pPr>
        <w:widowControl w:val="0"/>
        <w:numPr>
          <w:ilvl w:val="0"/>
          <w:numId w:val="3"/>
        </w:numPr>
        <w:spacing w:after="200" w:line="240" w:lineRule="auto"/>
        <w:ind w:left="567" w:right="86" w:hanging="567"/>
        <w:contextualSpacing/>
        <w:rPr>
          <w:b/>
          <w:sz w:val="24"/>
          <w:lang w:val="es-CR" w:eastAsia="es-ES"/>
        </w:rPr>
      </w:pPr>
      <w:r w:rsidRPr="00EB3225">
        <w:rPr>
          <w:b/>
          <w:sz w:val="24"/>
          <w:lang w:val="es-CR" w:eastAsia="es-ES"/>
        </w:rPr>
        <w:t>Cámara de Bancos e Instituciones Financieras de Costa Rica</w:t>
      </w:r>
    </w:p>
    <w:p w:rsidRPr="00EB3225" w:rsidR="00ED250D" w:rsidP="00ED250D" w:rsidRDefault="00ED250D" w14:paraId="00907D24" w14:textId="77777777">
      <w:pPr>
        <w:widowControl w:val="0"/>
        <w:spacing w:line="240" w:lineRule="auto"/>
        <w:ind w:left="567" w:right="86"/>
        <w:contextualSpacing/>
        <w:rPr>
          <w:b/>
          <w:sz w:val="24"/>
          <w:lang w:val="es-CR" w:eastAsia="es-ES"/>
        </w:rPr>
      </w:pPr>
    </w:p>
    <w:p w:rsidRPr="00EB3225" w:rsidR="00ED250D" w:rsidP="00ED250D" w:rsidRDefault="00ED250D" w14:paraId="421D6F0C" w14:textId="77777777">
      <w:pPr>
        <w:pStyle w:val="Texto"/>
        <w:spacing w:before="0" w:after="0" w:line="240" w:lineRule="auto"/>
        <w:contextualSpacing/>
        <w:rPr>
          <w:b/>
          <w:sz w:val="24"/>
          <w:lang w:val="es-CR"/>
        </w:rPr>
      </w:pPr>
    </w:p>
    <w:p w:rsidRPr="00EB3225" w:rsidR="00ED250D" w:rsidP="00ED250D" w:rsidRDefault="00ED250D" w14:paraId="7E3A0492" w14:textId="714F5B75">
      <w:pPr>
        <w:spacing w:line="240" w:lineRule="auto"/>
        <w:contextualSpacing/>
        <w:rPr>
          <w:rFonts w:cs="Arial"/>
          <w:sz w:val="24"/>
          <w:lang w:val="es-CR"/>
        </w:rPr>
      </w:pPr>
      <w:r w:rsidRPr="00EB3225">
        <w:rPr>
          <w:b/>
          <w:sz w:val="24"/>
        </w:rPr>
        <w:t xml:space="preserve">Asunto: </w:t>
      </w:r>
      <w:r w:rsidRPr="00EB3225">
        <w:rPr>
          <w:bCs/>
          <w:sz w:val="24"/>
        </w:rPr>
        <w:t xml:space="preserve">Ampliación de plazo a la consulta externa de </w:t>
      </w:r>
      <w:r w:rsidRPr="00EB3225">
        <w:rPr>
          <w:sz w:val="24"/>
        </w:rPr>
        <w:t>la modificación del Acuerdo del Superintendente SUGEF-A-002 '</w:t>
      </w:r>
      <w:r w:rsidRPr="00EB3225">
        <w:rPr>
          <w:i/>
          <w:iCs/>
          <w:sz w:val="24"/>
        </w:rPr>
        <w:t>Lineamientos Generales para la Aplicación del Reglamento sobre la Suficiencia Patrimonial de Entidades Financieras, Acuerdo SUGEF 3-06</w:t>
      </w:r>
      <w:r w:rsidRPr="00EB3225">
        <w:rPr>
          <w:sz w:val="24"/>
        </w:rPr>
        <w:t>', y sus reformas, emitido el 6 de enero de 2006.</w:t>
      </w:r>
    </w:p>
    <w:p w:rsidRPr="00EB3225" w:rsidR="00ED250D" w:rsidP="00ED250D" w:rsidRDefault="00ED250D" w14:paraId="12CE5911" w14:textId="77777777">
      <w:pPr>
        <w:spacing w:line="240" w:lineRule="auto"/>
        <w:contextualSpacing/>
        <w:rPr>
          <w:rFonts w:cs="Arial"/>
          <w:b/>
          <w:bCs/>
          <w:sz w:val="24"/>
          <w:lang w:val="es-CR"/>
        </w:rPr>
      </w:pPr>
    </w:p>
    <w:p w:rsidRPr="00EB3225" w:rsidR="00ED250D" w:rsidP="00ED250D" w:rsidRDefault="00ED250D" w14:paraId="113B96C1" w14:textId="77777777">
      <w:pPr>
        <w:widowControl w:val="0"/>
        <w:spacing w:after="240" w:line="240" w:lineRule="auto"/>
        <w:jc w:val="left"/>
        <w:rPr>
          <w:b/>
          <w:bCs/>
          <w:sz w:val="24"/>
        </w:rPr>
      </w:pPr>
      <w:r w:rsidRPr="00EB3225">
        <w:rPr>
          <w:b/>
          <w:bCs/>
          <w:sz w:val="24"/>
        </w:rPr>
        <w:t xml:space="preserve">La Superintendencia General de Entidades Financieras, </w:t>
      </w:r>
    </w:p>
    <w:p w:rsidRPr="00EB3225" w:rsidR="00ED250D" w:rsidP="00ED250D" w:rsidRDefault="00ED250D" w14:paraId="361318B8" w14:textId="77777777">
      <w:pPr>
        <w:pStyle w:val="Default"/>
        <w:ind w:left="993" w:hanging="993"/>
        <w:contextualSpacing/>
        <w:jc w:val="both"/>
        <w:rPr>
          <w:rFonts w:ascii="Cambria" w:hAnsi="Cambria"/>
          <w:b/>
        </w:rPr>
      </w:pPr>
      <w:r w:rsidRPr="00EB3225">
        <w:rPr>
          <w:rFonts w:ascii="Cambria" w:hAnsi="Cambria"/>
          <w:b/>
        </w:rPr>
        <w:t>Considerando que:</w:t>
      </w:r>
    </w:p>
    <w:p w:rsidRPr="00EB3225" w:rsidR="00ED250D" w:rsidP="00ED250D" w:rsidRDefault="00ED250D" w14:paraId="15A823F0" w14:textId="77777777">
      <w:pPr>
        <w:pStyle w:val="Default"/>
        <w:ind w:left="993" w:hanging="993"/>
        <w:contextualSpacing/>
        <w:jc w:val="both"/>
        <w:rPr>
          <w:rFonts w:ascii="Cambria" w:hAnsi="Cambria"/>
          <w:b/>
        </w:rPr>
      </w:pPr>
    </w:p>
    <w:p w:rsidRPr="00EB3225" w:rsidR="00ED250D" w:rsidP="00ED250D" w:rsidRDefault="00ED250D" w14:paraId="6E776089" w14:textId="77777777">
      <w:pPr>
        <w:widowControl w:val="0"/>
        <w:numPr>
          <w:ilvl w:val="0"/>
          <w:numId w:val="4"/>
        </w:numPr>
        <w:spacing w:after="240" w:line="240" w:lineRule="auto"/>
        <w:rPr>
          <w:sz w:val="24"/>
        </w:rPr>
      </w:pPr>
      <w:r w:rsidRPr="00EB3225">
        <w:rPr>
          <w:sz w:val="24"/>
        </w:rPr>
        <w:t xml:space="preserve">El Consejo Nacional de Supervisión del Sistema Financiero, mediante el Artículo 7 de la sesión 1837-2023 del 4 de diciembre de 2023 aprobó el envío en consulta de propuesta de la modificación al </w:t>
      </w:r>
      <w:r w:rsidRPr="00EB3225">
        <w:rPr>
          <w:i/>
          <w:iCs/>
          <w:sz w:val="24"/>
        </w:rPr>
        <w:t>Reglamento sobre la Suficiencia Patrimonial de Entidades Financieras</w:t>
      </w:r>
      <w:r w:rsidRPr="00EB3225">
        <w:rPr>
          <w:sz w:val="24"/>
        </w:rPr>
        <w:t>, Acuerdo SUGEF 3-06.</w:t>
      </w:r>
    </w:p>
    <w:p w:rsidRPr="00EB3225" w:rsidR="00ED250D" w:rsidP="00ED250D" w:rsidRDefault="00ED250D" w14:paraId="74BF6A5E" w14:textId="77777777">
      <w:pPr>
        <w:widowControl w:val="0"/>
        <w:numPr>
          <w:ilvl w:val="0"/>
          <w:numId w:val="4"/>
        </w:numPr>
        <w:spacing w:after="240" w:line="240" w:lineRule="auto"/>
        <w:rPr>
          <w:sz w:val="24"/>
        </w:rPr>
      </w:pPr>
      <w:r w:rsidRPr="00EB3225">
        <w:rPr>
          <w:sz w:val="24"/>
        </w:rPr>
        <w:t>El Artículo 4 del Acuerdo SUGEF 3-06, dispone que corresponde al Superintendente emitir los Lineamientos Generales.</w:t>
      </w:r>
    </w:p>
    <w:p w:rsidRPr="00EB3225" w:rsidR="00ED250D" w:rsidP="00ED250D" w:rsidRDefault="00ED250D" w14:paraId="6E608910" w14:textId="77777777">
      <w:pPr>
        <w:widowControl w:val="0"/>
        <w:numPr>
          <w:ilvl w:val="0"/>
          <w:numId w:val="4"/>
        </w:numPr>
        <w:spacing w:after="240" w:line="240" w:lineRule="auto"/>
        <w:rPr>
          <w:sz w:val="24"/>
        </w:rPr>
      </w:pPr>
      <w:r w:rsidRPr="00EB3225">
        <w:rPr>
          <w:sz w:val="24"/>
        </w:rPr>
        <w:t>Los Lineamientos Generales tiene el objetivo de establecer detalles adicionales para la aplicación de las disposiciones establecidas en el Acuerdo SUGEF 3-06.</w:t>
      </w:r>
    </w:p>
    <w:p w:rsidRPr="00EB3225" w:rsidR="00ED250D" w:rsidP="00ED250D" w:rsidRDefault="00ED250D" w14:paraId="087720D4" w14:textId="77777777">
      <w:pPr>
        <w:widowControl w:val="0"/>
        <w:numPr>
          <w:ilvl w:val="0"/>
          <w:numId w:val="4"/>
        </w:numPr>
        <w:spacing w:after="240" w:line="240" w:lineRule="auto"/>
        <w:rPr>
          <w:sz w:val="24"/>
        </w:rPr>
      </w:pPr>
      <w:r w:rsidRPr="00EB3225">
        <w:rPr>
          <w:sz w:val="24"/>
        </w:rPr>
        <w:t xml:space="preserve">De conformidad con el Artículo 131, inciso b) de la </w:t>
      </w:r>
      <w:r w:rsidRPr="00EB3225">
        <w:rPr>
          <w:i/>
          <w:iCs/>
          <w:sz w:val="24"/>
        </w:rPr>
        <w:t>Ley Orgánica del Banco Central de Costa Rica</w:t>
      </w:r>
      <w:r w:rsidRPr="00EB3225">
        <w:rPr>
          <w:sz w:val="24"/>
        </w:rPr>
        <w:t xml:space="preserve">, Ley 7558, corresponde al Superintendente tomar las medidas necesarias para ejecutar los acuerdos del Consejo Nacional de Supervisión.  </w:t>
      </w:r>
    </w:p>
    <w:p w:rsidRPr="00EB3225" w:rsidR="00ED250D" w:rsidP="00ED250D" w:rsidRDefault="00ED250D" w14:paraId="3C46EEFC" w14:textId="35AD3FBE">
      <w:pPr>
        <w:pStyle w:val="Prrafodelista"/>
        <w:numPr>
          <w:ilvl w:val="0"/>
          <w:numId w:val="4"/>
        </w:numPr>
        <w:jc w:val="both"/>
        <w:rPr>
          <w:rFonts w:ascii="Cambria" w:hAnsi="Cambria"/>
          <w:sz w:val="24"/>
          <w:szCs w:val="24"/>
        </w:rPr>
      </w:pPr>
      <w:r w:rsidRPr="00EB3225">
        <w:rPr>
          <w:rFonts w:ascii="Cambria" w:hAnsi="Cambria"/>
          <w:sz w:val="24"/>
          <w:szCs w:val="24"/>
        </w:rPr>
        <w:t>Mediante oficio SGF-3272-2023 del 18 de diciembre de 2023, se remitió en consulta externa hasta el 22 de enero de 2024 la modificación del Acuerdo del Superintendente SUGEF-A-002 '</w:t>
      </w:r>
      <w:r w:rsidRPr="00EB3225">
        <w:rPr>
          <w:rFonts w:ascii="Cambria" w:hAnsi="Cambria"/>
          <w:i/>
          <w:iCs/>
          <w:sz w:val="24"/>
          <w:szCs w:val="24"/>
        </w:rPr>
        <w:t>Lineamientos Generales para la Aplicación del Reglamento sobre la Suficiencia Patrimonial de Entidades Financieras, Acuerdo SUGEF 3-06</w:t>
      </w:r>
      <w:r w:rsidRPr="00EB3225">
        <w:rPr>
          <w:rFonts w:ascii="Cambria" w:hAnsi="Cambria"/>
          <w:sz w:val="24"/>
          <w:szCs w:val="24"/>
        </w:rPr>
        <w:t>', y sus reformas, emitido el 6 de enero de 2006.</w:t>
      </w:r>
    </w:p>
    <w:p w:rsidRPr="00EB3225" w:rsidR="00ED250D" w:rsidP="00ED250D" w:rsidRDefault="00ED250D" w14:paraId="08BAF724" w14:textId="77777777">
      <w:pPr>
        <w:pStyle w:val="Prrafodelista"/>
        <w:ind w:left="360"/>
        <w:jc w:val="both"/>
        <w:rPr>
          <w:rFonts w:ascii="Cambria" w:hAnsi="Cambria"/>
          <w:sz w:val="24"/>
          <w:szCs w:val="24"/>
        </w:rPr>
      </w:pPr>
    </w:p>
    <w:p w:rsidRPr="00EB3225" w:rsidR="00ED250D" w:rsidP="00ED250D" w:rsidRDefault="00ED250D" w14:paraId="084B03CE" w14:textId="6BCBBAB3">
      <w:pPr>
        <w:pStyle w:val="Prrafodelista"/>
        <w:numPr>
          <w:ilvl w:val="0"/>
          <w:numId w:val="4"/>
        </w:numPr>
        <w:jc w:val="both"/>
        <w:rPr>
          <w:rFonts w:ascii="Cambria" w:hAnsi="Cambria"/>
          <w:sz w:val="24"/>
          <w:szCs w:val="24"/>
        </w:rPr>
      </w:pPr>
      <w:r w:rsidRPr="00EB3225">
        <w:rPr>
          <w:rFonts w:ascii="Cambria" w:hAnsi="Cambria"/>
          <w:sz w:val="24"/>
          <w:szCs w:val="24"/>
        </w:rPr>
        <w:t xml:space="preserve">Mediante oficio del 3 de enero de 2024, la Cámara de Bancos e Instituciones Financieras de Costa Rica solicitó ampliar en 20 días hábiles adicionales, el plazo para la recepción de comentarios y observaciones de la propuesta de modificación Lineamientos Generales para la Aplicación del Reglamento sobre la Suficiencia Patrimonial de Entidades Financieras, Acuerdo SUGEF 3-06. Lo anterior, señala la Cámara, bajo la consideración de que la propuesta de modificación regulatoria es muy importante y delicada, que requiere un análisis minucioso y detallado por parte de las entidades, las cuales a principios de año se encuentran concentradas en la atención de varias consultas externas a diversas modificaciones regulatorias a presentarse en estas fechas. </w:t>
      </w:r>
    </w:p>
    <w:p w:rsidRPr="00EB3225" w:rsidR="00ED250D" w:rsidP="00ED250D" w:rsidRDefault="00ED250D" w14:paraId="40DDA989" w14:textId="77777777">
      <w:pPr>
        <w:pStyle w:val="Prrafodelista"/>
        <w:rPr>
          <w:rFonts w:ascii="Cambria" w:hAnsi="Cambria"/>
          <w:sz w:val="24"/>
          <w:szCs w:val="24"/>
        </w:rPr>
      </w:pPr>
    </w:p>
    <w:p w:rsidRPr="00EB3225" w:rsidR="00112D39" w:rsidP="00112D39" w:rsidRDefault="00112D39" w14:paraId="626BD2CA" w14:textId="01A95A8F">
      <w:pPr>
        <w:pStyle w:val="Prrafodelista"/>
        <w:numPr>
          <w:ilvl w:val="0"/>
          <w:numId w:val="4"/>
        </w:numPr>
        <w:jc w:val="both"/>
        <w:rPr>
          <w:rFonts w:ascii="Cambria" w:hAnsi="Cambria" w:eastAsia="Times New Roman" w:cs="Times New Roman"/>
          <w:noProof/>
          <w:sz w:val="24"/>
          <w:szCs w:val="24"/>
          <w:lang w:val="es-ES"/>
        </w:rPr>
      </w:pPr>
      <w:r w:rsidRPr="00EB3225">
        <w:rPr>
          <w:rFonts w:ascii="Cambria" w:hAnsi="Cambria"/>
          <w:noProof/>
          <w:sz w:val="24"/>
          <w:szCs w:val="24"/>
        </w:rPr>
        <w:t>Mediante oficio SGF-0041-2024 y PDC-0002-2024 emitido por la SUGEF y CONASSIF del 10 de enero del 2024, respectivamente,</w:t>
      </w:r>
      <w:r w:rsidRPr="00EB3225">
        <w:rPr>
          <w:rFonts w:ascii="Cambria" w:hAnsi="Cambria"/>
          <w:sz w:val="24"/>
          <w:szCs w:val="24"/>
        </w:rPr>
        <w:t xml:space="preserve"> se </w:t>
      </w:r>
      <w:r w:rsidRPr="00EB3225">
        <w:rPr>
          <w:rFonts w:ascii="Cambria" w:hAnsi="Cambria" w:eastAsia="Times New Roman" w:cs="Times New Roman"/>
          <w:noProof/>
          <w:sz w:val="24"/>
          <w:szCs w:val="24"/>
          <w:lang w:val="es-ES"/>
        </w:rPr>
        <w:t>amplió el plazo a que hace referencia el oficio CNS-1837/07 del 8 de diciembre del 2023 al 31 de enero de 2024.</w:t>
      </w:r>
    </w:p>
    <w:p w:rsidRPr="00EB3225" w:rsidR="00112D39" w:rsidP="00112D39" w:rsidRDefault="00112D39" w14:paraId="01182231" w14:textId="77777777">
      <w:pPr>
        <w:pStyle w:val="Prrafodelista"/>
        <w:ind w:left="360"/>
        <w:jc w:val="both"/>
        <w:rPr>
          <w:rFonts w:ascii="Cambria" w:hAnsi="Cambria"/>
          <w:sz w:val="24"/>
          <w:szCs w:val="24"/>
        </w:rPr>
      </w:pPr>
    </w:p>
    <w:p w:rsidRPr="00EB3225" w:rsidR="00ED250D" w:rsidP="00ED250D" w:rsidRDefault="00ED250D" w14:paraId="12BDD359" w14:textId="5903C7E3">
      <w:pPr>
        <w:pStyle w:val="Prrafodelista"/>
        <w:numPr>
          <w:ilvl w:val="0"/>
          <w:numId w:val="4"/>
        </w:numPr>
        <w:jc w:val="both"/>
        <w:rPr>
          <w:rFonts w:ascii="Cambria" w:hAnsi="Cambria"/>
          <w:sz w:val="24"/>
          <w:szCs w:val="24"/>
        </w:rPr>
      </w:pPr>
      <w:r w:rsidRPr="00EB3225">
        <w:rPr>
          <w:rFonts w:ascii="Cambria" w:hAnsi="Cambria"/>
          <w:sz w:val="24"/>
          <w:szCs w:val="24"/>
        </w:rPr>
        <w:t>Resulta procedente extender el plazo, al 31 de enero de 2024, para la recepción de comentarios y observaciones a la propuesta de modificación del Acuerdo del Superintendente SUGEF-A-002 '</w:t>
      </w:r>
      <w:r w:rsidRPr="00EB3225">
        <w:rPr>
          <w:rFonts w:ascii="Cambria" w:hAnsi="Cambria"/>
          <w:i/>
          <w:iCs/>
          <w:sz w:val="24"/>
          <w:szCs w:val="24"/>
        </w:rPr>
        <w:t>Lineamientos Generales para la Aplicación del Reglamento sobre la Suficiencia Patrimonial de Entidades Financieras, Acuerdo SUGEF 3-06</w:t>
      </w:r>
      <w:r w:rsidRPr="00EB3225">
        <w:rPr>
          <w:rFonts w:ascii="Cambria" w:hAnsi="Cambria"/>
          <w:sz w:val="24"/>
          <w:szCs w:val="24"/>
        </w:rPr>
        <w:t>', y sus reformas, emitido el 6 de enero de 2006.</w:t>
      </w:r>
    </w:p>
    <w:p w:rsidRPr="00EB3225" w:rsidR="00ED250D" w:rsidP="00ED250D" w:rsidRDefault="00ED250D" w14:paraId="1761CA5C" w14:textId="77777777">
      <w:pPr>
        <w:spacing w:before="120" w:after="120" w:line="240" w:lineRule="auto"/>
        <w:ind w:left="360"/>
        <w:contextualSpacing/>
        <w:rPr>
          <w:sz w:val="24"/>
        </w:rPr>
      </w:pPr>
      <w:r w:rsidRPr="00EB3225">
        <w:rPr>
          <w:noProof/>
          <w:sz w:val="24"/>
        </w:rPr>
        <w:tab/>
      </w:r>
    </w:p>
    <w:p w:rsidRPr="00EB3225" w:rsidR="00ED250D" w:rsidP="00ED250D" w:rsidRDefault="00ED250D" w14:paraId="1D9CFAC6" w14:textId="77777777">
      <w:pPr>
        <w:spacing w:before="120" w:after="120" w:line="240" w:lineRule="auto"/>
        <w:ind w:hanging="10"/>
        <w:contextualSpacing/>
        <w:rPr>
          <w:b/>
          <w:sz w:val="24"/>
        </w:rPr>
      </w:pPr>
      <w:r w:rsidRPr="00EB3225">
        <w:rPr>
          <w:b/>
          <w:sz w:val="24"/>
          <w:lang w:val="es-CR"/>
        </w:rPr>
        <w:t>Por tanto, d</w:t>
      </w:r>
      <w:r w:rsidRPr="00EB3225">
        <w:rPr>
          <w:b/>
          <w:sz w:val="24"/>
        </w:rPr>
        <w:t>ispone:</w:t>
      </w:r>
    </w:p>
    <w:p w:rsidRPr="00EB3225" w:rsidR="00ED250D" w:rsidP="00ED250D" w:rsidRDefault="00ED250D" w14:paraId="2A4D3F1E" w14:textId="77777777">
      <w:pPr>
        <w:widowControl w:val="0"/>
        <w:spacing w:line="240" w:lineRule="auto"/>
        <w:contextualSpacing/>
        <w:rPr>
          <w:sz w:val="24"/>
          <w:lang w:val="es-CR"/>
        </w:rPr>
      </w:pPr>
    </w:p>
    <w:p w:rsidRPr="00EB3225" w:rsidR="00ED250D" w:rsidP="00ED250D" w:rsidRDefault="00ED250D" w14:paraId="707B3CC9" w14:textId="0926277B">
      <w:pPr>
        <w:pStyle w:val="Prrafodelista"/>
        <w:numPr>
          <w:ilvl w:val="0"/>
          <w:numId w:val="6"/>
        </w:numPr>
        <w:spacing w:before="120" w:after="120" w:line="240" w:lineRule="auto"/>
        <w:jc w:val="both"/>
        <w:rPr>
          <w:rFonts w:ascii="Cambria" w:hAnsi="Cambria" w:cs="Times New Roman"/>
          <w:sz w:val="24"/>
          <w:szCs w:val="24"/>
        </w:rPr>
      </w:pPr>
      <w:r w:rsidRPr="00EB3225">
        <w:rPr>
          <w:rFonts w:ascii="Cambria" w:hAnsi="Cambria"/>
          <w:sz w:val="24"/>
          <w:szCs w:val="24"/>
        </w:rPr>
        <w:t>Ampliar el plazo a que hace referencia el Dispone 5 de la Circular Externa SGF-3272-2023 al 31 de enero de 2024</w:t>
      </w:r>
      <w:r w:rsidRPr="00EB3225">
        <w:rPr>
          <w:rFonts w:ascii="Cambria" w:hAnsi="Cambria" w:cs="Times New Roman"/>
          <w:sz w:val="24"/>
          <w:szCs w:val="24"/>
        </w:rPr>
        <w:t>.</w:t>
      </w:r>
    </w:p>
    <w:p w:rsidRPr="00EB3225" w:rsidR="00ED250D" w:rsidP="00ED250D" w:rsidRDefault="00ED250D" w14:paraId="16347122" w14:textId="77777777">
      <w:pPr>
        <w:spacing w:line="240" w:lineRule="auto"/>
        <w:rPr>
          <w:sz w:val="24"/>
        </w:rPr>
      </w:pPr>
    </w:p>
    <w:p w:rsidRPr="00EB3225" w:rsidR="00ED250D" w:rsidP="00ED250D" w:rsidRDefault="00ED250D" w14:paraId="74E4E650" w14:textId="77777777">
      <w:pPr>
        <w:pStyle w:val="Texto"/>
        <w:spacing w:before="0" w:after="0" w:line="240" w:lineRule="auto"/>
        <w:contextualSpacing/>
        <w:rPr>
          <w:sz w:val="24"/>
        </w:rPr>
      </w:pPr>
      <w:r w:rsidRPr="00EB3225">
        <w:rPr>
          <w:noProof/>
          <w:sz w:val="24"/>
        </w:rPr>
        <w:drawing>
          <wp:anchor distT="0" distB="0" distL="114300" distR="114300" simplePos="0" relativeHeight="251659264" behindDoc="1" locked="0" layoutInCell="1" allowOverlap="1" wp14:editId="4061693B" wp14:anchorId="2DAF7D29">
            <wp:simplePos x="0" y="0"/>
            <wp:positionH relativeFrom="column">
              <wp:posOffset>-129540</wp:posOffset>
            </wp:positionH>
            <wp:positionV relativeFrom="paragraph">
              <wp:posOffset>201930</wp:posOffset>
            </wp:positionV>
            <wp:extent cx="2519680" cy="3905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EB3225">
        <w:rPr>
          <w:sz w:val="24"/>
        </w:rPr>
        <w:t>Atentamente,</w:t>
      </w:r>
    </w:p>
    <w:p w:rsidRPr="00EB3225" w:rsidR="00ED250D" w:rsidP="00ED250D" w:rsidRDefault="00ED250D" w14:paraId="0C64776A" w14:textId="77777777">
      <w:pPr>
        <w:pStyle w:val="Texto"/>
        <w:spacing w:before="0" w:after="0" w:line="240" w:lineRule="auto"/>
        <w:contextualSpacing/>
        <w:rPr>
          <w:sz w:val="24"/>
        </w:rPr>
      </w:pPr>
    </w:p>
    <w:p w:rsidRPr="00EB3225" w:rsidR="00ED250D" w:rsidP="00ED250D" w:rsidRDefault="00ED250D" w14:paraId="0545C3CD" w14:textId="77777777">
      <w:pPr>
        <w:spacing w:line="240" w:lineRule="auto"/>
        <w:contextualSpacing/>
        <w:rPr>
          <w:sz w:val="24"/>
        </w:rPr>
      </w:pPr>
    </w:p>
    <w:p w:rsidRPr="00EB3225" w:rsidR="00ED250D" w:rsidP="00ED250D" w:rsidRDefault="00ED250D" w14:paraId="60753BFA" w14:textId="77777777">
      <w:pPr>
        <w:spacing w:line="240" w:lineRule="auto"/>
        <w:contextualSpacing/>
        <w:rPr>
          <w:sz w:val="24"/>
        </w:rPr>
      </w:pPr>
    </w:p>
    <w:p w:rsidRPr="00EB3225" w:rsidR="00ED250D" w:rsidP="00ED250D" w:rsidRDefault="00ED250D" w14:paraId="0C8AE1FB" w14:textId="77777777">
      <w:pPr>
        <w:spacing w:line="240" w:lineRule="auto"/>
        <w:contextualSpacing/>
        <w:jc w:val="left"/>
        <w:rPr>
          <w:sz w:val="24"/>
        </w:rPr>
      </w:pPr>
      <w:r w:rsidRPr="00EB3225">
        <w:rPr>
          <w:sz w:val="24"/>
        </w:rPr>
        <w:t>José Armando Fallas Martínez</w:t>
      </w:r>
    </w:p>
    <w:p w:rsidRPr="00EB3225" w:rsidR="00ED250D" w:rsidP="00ED250D" w:rsidRDefault="00ED250D" w14:paraId="470C0CD6" w14:textId="77777777">
      <w:pPr>
        <w:spacing w:line="240" w:lineRule="auto"/>
        <w:contextualSpacing/>
        <w:jc w:val="left"/>
        <w:rPr>
          <w:sz w:val="24"/>
          <w:lang w:val="es-CR"/>
        </w:rPr>
      </w:pPr>
      <w:r w:rsidRPr="00EB3225">
        <w:rPr>
          <w:b/>
          <w:bCs/>
          <w:sz w:val="24"/>
        </w:rPr>
        <w:t>Intendente General</w:t>
      </w:r>
    </w:p>
    <w:p w:rsidRPr="00EB3225" w:rsidR="00ED250D" w:rsidP="00ED250D" w:rsidRDefault="00ED250D" w14:paraId="34553F7D" w14:textId="77777777">
      <w:pPr>
        <w:pStyle w:val="Negrita"/>
        <w:spacing w:line="240" w:lineRule="auto"/>
        <w:contextualSpacing/>
        <w:jc w:val="left"/>
        <w:rPr>
          <w:b w:val="0"/>
          <w:noProof/>
          <w:sz w:val="24"/>
          <w:lang w:val="es-CR" w:eastAsia="es-CR"/>
        </w:rPr>
      </w:pPr>
    </w:p>
    <w:p w:rsidRPr="00EB3225" w:rsidR="00ED250D" w:rsidP="00ED250D" w:rsidRDefault="00ED250D" w14:paraId="45717EC5" w14:textId="77777777">
      <w:pPr>
        <w:spacing w:line="240" w:lineRule="auto"/>
        <w:contextualSpacing/>
        <w:rPr>
          <w:sz w:val="24"/>
          <w:lang w:val="es-CR"/>
        </w:rPr>
      </w:pPr>
      <w:r w:rsidRPr="00EB3225">
        <w:rPr>
          <w:sz w:val="24"/>
          <w:lang w:val="es-CR"/>
        </w:rPr>
        <w:t>GAA/gvl*</w:t>
      </w:r>
    </w:p>
    <w:p w:rsidR="00ED250D" w:rsidP="00ED250D" w:rsidRDefault="00ED250D" w14:paraId="2E1915AC" w14:textId="7568772A">
      <w:pPr>
        <w:spacing w:line="240" w:lineRule="auto"/>
        <w:contextualSpacing/>
        <w:rPr>
          <w:sz w:val="24"/>
          <w:lang w:val="es-CR"/>
        </w:rPr>
      </w:pPr>
    </w:p>
    <w:p w:rsidRPr="00EB3225" w:rsidR="00EB3225" w:rsidP="00ED250D" w:rsidRDefault="00EB3225" w14:paraId="43B06D96" w14:textId="77777777">
      <w:pPr>
        <w:spacing w:line="240" w:lineRule="auto"/>
        <w:contextualSpacing/>
        <w:rPr>
          <w:sz w:val="24"/>
          <w:lang w:val="es-CR"/>
        </w:rPr>
      </w:pPr>
    </w:p>
    <w:p w:rsidRPr="00EB3225" w:rsidR="00ED250D" w:rsidP="00ED250D" w:rsidRDefault="00ED250D" w14:paraId="1361339D" w14:textId="77777777">
      <w:pPr>
        <w:pStyle w:val="Prrafodelista"/>
        <w:numPr>
          <w:ilvl w:val="0"/>
          <w:numId w:val="5"/>
        </w:numPr>
        <w:spacing w:before="120" w:after="120" w:line="240" w:lineRule="auto"/>
        <w:rPr>
          <w:rFonts w:ascii="Cambria" w:hAnsi="Cambria" w:eastAsia="Calibri"/>
          <w:sz w:val="24"/>
          <w:szCs w:val="24"/>
        </w:rPr>
      </w:pPr>
      <w:r w:rsidRPr="00EB3225">
        <w:rPr>
          <w:rFonts w:ascii="Cambria" w:hAnsi="Cambria" w:eastAsia="Calibri"/>
          <w:b/>
          <w:bCs/>
          <w:sz w:val="24"/>
          <w:szCs w:val="24"/>
        </w:rPr>
        <w:t xml:space="preserve">Asociación Bancaria Costarricense, </w:t>
      </w:r>
    </w:p>
    <w:p w:rsidRPr="00EB3225" w:rsidR="00ED250D" w:rsidP="00ED250D" w:rsidRDefault="00ED250D" w14:paraId="1305D67E" w14:textId="77777777">
      <w:pPr>
        <w:pStyle w:val="Prrafodelista"/>
        <w:spacing w:before="120" w:after="120" w:line="240" w:lineRule="auto"/>
        <w:ind w:left="360"/>
        <w:rPr>
          <w:rFonts w:ascii="Cambria" w:hAnsi="Cambria" w:eastAsia="Calibri"/>
          <w:sz w:val="24"/>
          <w:szCs w:val="24"/>
        </w:rPr>
      </w:pPr>
      <w:r w:rsidRPr="00EB3225">
        <w:rPr>
          <w:rFonts w:ascii="Cambria" w:hAnsi="Cambria" w:eastAsia="Calibri"/>
          <w:sz w:val="24"/>
          <w:szCs w:val="24"/>
        </w:rPr>
        <w:t xml:space="preserve">Correo electrónico: </w:t>
      </w:r>
      <w:hyperlink w:history="1" r:id="rId13">
        <w:r w:rsidRPr="00EB3225">
          <w:rPr>
            <w:rStyle w:val="Hipervnculo"/>
            <w:rFonts w:ascii="Cambria" w:hAnsi="Cambria"/>
            <w:sz w:val="24"/>
            <w:szCs w:val="24"/>
          </w:rPr>
          <w:t>ejecutiva@abc.fi.cr</w:t>
        </w:r>
      </w:hyperlink>
      <w:r w:rsidRPr="00EB3225">
        <w:rPr>
          <w:rFonts w:ascii="Cambria" w:hAnsi="Cambria"/>
          <w:sz w:val="24"/>
          <w:szCs w:val="24"/>
        </w:rPr>
        <w:t xml:space="preserve"> ; </w:t>
      </w:r>
      <w:hyperlink w:history="1" r:id="rId14">
        <w:r w:rsidRPr="00EB3225">
          <w:rPr>
            <w:rStyle w:val="Hipervnculo"/>
            <w:rFonts w:ascii="Cambria" w:hAnsi="Cambria" w:eastAsia="Calibri"/>
            <w:sz w:val="24"/>
            <w:szCs w:val="24"/>
          </w:rPr>
          <w:t>secretaria@abc.fi.cr</w:t>
        </w:r>
      </w:hyperlink>
      <w:r w:rsidRPr="00EB3225">
        <w:rPr>
          <w:rFonts w:ascii="Cambria" w:hAnsi="Cambria" w:eastAsia="Calibri"/>
          <w:sz w:val="24"/>
          <w:szCs w:val="24"/>
        </w:rPr>
        <w:t xml:space="preserve">; </w:t>
      </w:r>
    </w:p>
    <w:p w:rsidRPr="00EB3225" w:rsidR="00ED250D" w:rsidP="00ED250D" w:rsidRDefault="00ED250D" w14:paraId="62026C0C" w14:textId="77777777">
      <w:pPr>
        <w:pStyle w:val="Prrafodelista"/>
        <w:spacing w:before="120" w:after="120" w:line="240" w:lineRule="auto"/>
        <w:ind w:left="360"/>
        <w:rPr>
          <w:rFonts w:ascii="Cambria" w:hAnsi="Cambria" w:eastAsia="Calibri"/>
          <w:sz w:val="24"/>
          <w:szCs w:val="24"/>
        </w:rPr>
      </w:pPr>
    </w:p>
    <w:p w:rsidRPr="00EB3225" w:rsidR="00ED250D" w:rsidP="00ED250D" w:rsidRDefault="00ED250D" w14:paraId="11F8051E" w14:textId="77777777">
      <w:pPr>
        <w:pStyle w:val="Prrafodelista"/>
        <w:spacing w:before="120" w:after="120" w:line="240" w:lineRule="auto"/>
        <w:ind w:left="360"/>
        <w:rPr>
          <w:rFonts w:ascii="Cambria" w:hAnsi="Cambria" w:eastAsia="Calibri"/>
          <w:b/>
          <w:bCs/>
          <w:sz w:val="24"/>
          <w:szCs w:val="24"/>
        </w:rPr>
      </w:pPr>
      <w:r w:rsidRPr="00EB3225">
        <w:rPr>
          <w:rFonts w:ascii="Cambria" w:hAnsi="Cambria" w:eastAsia="Calibri"/>
          <w:b/>
          <w:bCs/>
          <w:sz w:val="24"/>
          <w:szCs w:val="24"/>
        </w:rPr>
        <w:t xml:space="preserve">Cámara de Bancos e Instituciones Financieras de Costa Rica, </w:t>
      </w:r>
    </w:p>
    <w:p w:rsidRPr="00EB3225" w:rsidR="00ED250D" w:rsidP="00ED250D" w:rsidRDefault="00ED250D" w14:paraId="72E913EE" w14:textId="77777777">
      <w:pPr>
        <w:pStyle w:val="Prrafodelista"/>
        <w:spacing w:before="120" w:after="120" w:line="240" w:lineRule="auto"/>
        <w:ind w:left="360"/>
        <w:rPr>
          <w:rFonts w:ascii="Cambria" w:hAnsi="Cambria" w:eastAsia="Calibri"/>
          <w:sz w:val="24"/>
          <w:szCs w:val="24"/>
        </w:rPr>
      </w:pPr>
      <w:r w:rsidRPr="00EB3225">
        <w:rPr>
          <w:rFonts w:ascii="Cambria" w:hAnsi="Cambria" w:eastAsia="Calibri"/>
          <w:sz w:val="24"/>
          <w:szCs w:val="24"/>
        </w:rPr>
        <w:t xml:space="preserve">Correo electrónico: </w:t>
      </w:r>
      <w:hyperlink w:history="1" r:id="rId15">
        <w:r w:rsidRPr="00EB3225">
          <w:rPr>
            <w:rStyle w:val="Hipervnculo"/>
            <w:rFonts w:ascii="Cambria" w:hAnsi="Cambria" w:eastAsia="Calibri"/>
            <w:sz w:val="24"/>
            <w:szCs w:val="24"/>
          </w:rPr>
          <w:t>directora@camaradebancos.fi.cr</w:t>
        </w:r>
      </w:hyperlink>
      <w:r w:rsidRPr="00EB3225">
        <w:rPr>
          <w:rFonts w:ascii="Cambria" w:hAnsi="Cambria" w:eastAsia="Calibri"/>
          <w:sz w:val="24"/>
          <w:szCs w:val="24"/>
        </w:rPr>
        <w:t xml:space="preserve">; </w:t>
      </w:r>
      <w:hyperlink w:history="1" r:id="rId16">
        <w:r w:rsidRPr="00EB3225">
          <w:rPr>
            <w:rStyle w:val="Hipervnculo"/>
            <w:rFonts w:ascii="Cambria" w:hAnsi="Cambria" w:eastAsia="Calibri"/>
            <w:sz w:val="24"/>
            <w:szCs w:val="24"/>
          </w:rPr>
          <w:t>arojas@camaradebancos.fi.cr</w:t>
        </w:r>
      </w:hyperlink>
      <w:r w:rsidRPr="00EB3225">
        <w:rPr>
          <w:rFonts w:ascii="Cambria" w:hAnsi="Cambria" w:eastAsia="Calibri"/>
          <w:sz w:val="24"/>
          <w:szCs w:val="24"/>
        </w:rPr>
        <w:t>;</w:t>
      </w:r>
    </w:p>
    <w:p w:rsidRPr="00EB3225" w:rsidR="00ED250D" w:rsidP="00ED250D" w:rsidRDefault="00ED250D" w14:paraId="72AE8EF7" w14:textId="77777777">
      <w:pPr>
        <w:rPr>
          <w:sz w:val="24"/>
          <w:lang w:val="es-CR"/>
        </w:rPr>
      </w:pPr>
    </w:p>
    <w:p w:rsidRPr="00EB3225" w:rsidR="00181ABF" w:rsidP="00181ABF" w:rsidRDefault="00181ABF" w14:paraId="0153BE93" w14:textId="77777777">
      <w:pPr>
        <w:pStyle w:val="Negrita"/>
        <w:spacing w:line="240" w:lineRule="auto"/>
        <w:rPr>
          <w:sz w:val="24"/>
          <w:lang w:val="es-CR"/>
        </w:rPr>
      </w:pPr>
    </w:p>
    <w:sectPr w:rsidRPr="00EB3225" w:rsidR="00181ABF">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96B2" w14:textId="77777777" w:rsidR="00ED250D" w:rsidRDefault="00ED250D" w:rsidP="00181ABF">
      <w:pPr>
        <w:spacing w:line="240" w:lineRule="auto"/>
      </w:pPr>
      <w:r>
        <w:separator/>
      </w:r>
    </w:p>
  </w:endnote>
  <w:endnote w:type="continuationSeparator" w:id="0">
    <w:p w14:paraId="61149868" w14:textId="77777777" w:rsidR="00ED250D" w:rsidRDefault="00ED250D"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044F0435" w14:textId="77777777">
      <w:tc>
        <w:tcPr>
          <w:tcW w:w="7356" w:type="dxa"/>
        </w:tcPr>
        <w:p w:rsidRPr="00637782" w:rsidR="008D6B05" w:rsidP="008D6B05" w:rsidRDefault="008D6B05" w14:paraId="49EA067B"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14395121" wp14:anchorId="03EC1DA1">
                    <wp:simplePos x="0" y="0"/>
                    <wp:positionH relativeFrom="page">
                      <wp:posOffset>0</wp:posOffset>
                    </wp:positionH>
                    <wp:positionV relativeFrom="page">
                      <wp:posOffset>9594215</wp:posOffset>
                    </wp:positionV>
                    <wp:extent cx="7772400" cy="273050"/>
                    <wp:effectExtent l="0" t="0" r="0" b="12700"/>
                    <wp:wrapNone/>
                    <wp:docPr id="4" name="MSIPCMd58e4a0496fd858e1b0e6d07"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D6B05" w:rsidR="008D6B05" w:rsidP="008D6B05" w:rsidRDefault="008D6B05" w14:paraId="75EA15D5" w14:textId="77777777">
                                <w:pPr>
                                  <w:jc w:val="center"/>
                                  <w:rPr>
                                    <w:rFonts w:ascii="Calibri" w:hAnsi="Calibri" w:cs="Calibri"/>
                                    <w:color w:val="000000"/>
                                    <w:sz w:val="20"/>
                                  </w:rPr>
                                </w:pPr>
                                <w:r w:rsidRPr="008D6B05">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3EC1DA1">
                    <v:stroke joinstyle="miter"/>
                    <v:path gradientshapeok="t" o:connecttype="rect"/>
                  </v:shapetype>
                  <v:shape id="MSIPCMd58e4a0496fd858e1b0e6d07"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D6B05" w:rsidR="008D6B05" w:rsidP="008D6B05" w:rsidRDefault="008D6B05" w14:paraId="75EA15D5" w14:textId="77777777">
                          <w:pPr>
                            <w:jc w:val="center"/>
                            <w:rPr>
                              <w:rFonts w:ascii="Calibri" w:hAnsi="Calibri" w:cs="Calibri"/>
                              <w:color w:val="000000"/>
                              <w:sz w:val="20"/>
                            </w:rPr>
                          </w:pPr>
                          <w:r w:rsidRPr="008D6B05">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825A38" w:rsidP="00181ABF" w:rsidRDefault="00825A38" w14:paraId="320789A1" w14:textId="77777777">
          <w:pPr>
            <w:pStyle w:val="Piedepgina"/>
            <w:rPr>
              <w:b/>
              <w:color w:val="7F7F7F" w:themeColor="text1" w:themeTint="80"/>
              <w:sz w:val="16"/>
              <w:szCs w:val="16"/>
            </w:rPr>
          </w:pPr>
        </w:p>
      </w:tc>
      <w:tc>
        <w:tcPr>
          <w:tcW w:w="1472" w:type="dxa"/>
        </w:tcPr>
        <w:p w:rsidRPr="009349F3" w:rsidR="00825A38" w:rsidP="00181ABF" w:rsidRDefault="00825A38" w14:paraId="6637C35F"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66611FE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2A84" w14:textId="77777777" w:rsidR="00ED250D" w:rsidRDefault="00ED250D" w:rsidP="00181ABF">
      <w:pPr>
        <w:spacing w:line="240" w:lineRule="auto"/>
      </w:pPr>
      <w:r>
        <w:separator/>
      </w:r>
    </w:p>
  </w:footnote>
  <w:footnote w:type="continuationSeparator" w:id="0">
    <w:p w14:paraId="696D3D27" w14:textId="77777777" w:rsidR="00ED250D" w:rsidRDefault="00ED250D"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BA2BA3" w14:paraId="5F7C5CE9" w14:textId="77777777">
    <w:pPr>
      <w:pStyle w:val="Encabezado"/>
    </w:pPr>
    <w:r>
      <w:rPr>
        <w:noProof/>
      </w:rPr>
      <w:drawing>
        <wp:anchor distT="0" distB="0" distL="114300" distR="114300" simplePos="0" relativeHeight="251662336" behindDoc="1" locked="0" layoutInCell="1" allowOverlap="1" wp14:editId="1ED246A0" wp14:anchorId="2CE9C25D">
          <wp:simplePos x="0" y="0"/>
          <wp:positionH relativeFrom="page">
            <wp:align>right</wp:align>
          </wp:positionH>
          <wp:positionV relativeFrom="paragraph">
            <wp:posOffset>-448835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825A38" w:rsidRDefault="00181ABF" w14:paraId="41054F0E"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7DF0524"/>
    <w:multiLevelType w:val="hybridMultilevel"/>
    <w:tmpl w:val="E5D25932"/>
    <w:lvl w:ilvl="0" w:tplc="140A0015">
      <w:start w:val="3"/>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4BCD3656"/>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5" w15:restartNumberingAfterBreak="0">
    <w:nsid w:val="776D6C94"/>
    <w:multiLevelType w:val="hybridMultilevel"/>
    <w:tmpl w:val="42460A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109810676">
    <w:abstractNumId w:val="0"/>
  </w:num>
  <w:num w:numId="2" w16cid:durableId="1883442161">
    <w:abstractNumId w:val="3"/>
  </w:num>
  <w:num w:numId="3" w16cid:durableId="566258565">
    <w:abstractNumId w:val="4"/>
  </w:num>
  <w:num w:numId="4" w16cid:durableId="248543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454338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6151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0D"/>
    <w:rsid w:val="000202E3"/>
    <w:rsid w:val="00112D39"/>
    <w:rsid w:val="00181ABF"/>
    <w:rsid w:val="00226DDC"/>
    <w:rsid w:val="003172BE"/>
    <w:rsid w:val="0046105A"/>
    <w:rsid w:val="005B62B4"/>
    <w:rsid w:val="005D3E16"/>
    <w:rsid w:val="00825A38"/>
    <w:rsid w:val="008C7F0D"/>
    <w:rsid w:val="008D6B05"/>
    <w:rsid w:val="00937EF0"/>
    <w:rsid w:val="00BA2BA3"/>
    <w:rsid w:val="00CF23C1"/>
    <w:rsid w:val="00D2422E"/>
    <w:rsid w:val="00D67CC3"/>
    <w:rsid w:val="00D90222"/>
    <w:rsid w:val="00DA5FCC"/>
    <w:rsid w:val="00DF2ACF"/>
    <w:rsid w:val="00E42AAC"/>
    <w:rsid w:val="00EB226B"/>
    <w:rsid w:val="00EB3225"/>
    <w:rsid w:val="00ED250D"/>
    <w:rsid w:val="00EE46B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78858"/>
  <w15:chartTrackingRefBased/>
  <w15:docId w15:val="{1784634F-A208-424A-AA23-0E415412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ED250D"/>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ED250D"/>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ED250D"/>
    <w:pPr>
      <w:spacing w:after="200" w:line="276" w:lineRule="auto"/>
      <w:ind w:left="720"/>
      <w:contextualSpacing/>
      <w:jc w:val="left"/>
    </w:pPr>
    <w:rPr>
      <w:rFonts w:ascii="Calibri" w:eastAsiaTheme="minorHAnsi" w:hAnsi="Calibri" w:cs="Calibri"/>
      <w:szCs w:val="22"/>
      <w:lang w:val="es-CR"/>
    </w:rPr>
  </w:style>
  <w:style w:type="paragraph" w:customStyle="1" w:styleId="Default">
    <w:name w:val="Default"/>
    <w:rsid w:val="00ED25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jecutiva@abc.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rojas@camaradebancos.fi.c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irectora@camaradebancos.fi.c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cretaria@abc.fi.cr" TargetMode="Externa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2834F9F9A14F36BC305E5B300BB6C4"/>
        <w:category>
          <w:name w:val="General"/>
          <w:gallery w:val="placeholder"/>
        </w:category>
        <w:types>
          <w:type w:val="bbPlcHdr"/>
        </w:types>
        <w:behaviors>
          <w:behavior w:val="content"/>
        </w:behaviors>
        <w:guid w:val="{1E55D5E9-AE11-4833-9053-666DD1C86406}"/>
      </w:docPartPr>
      <w:docPartBody>
        <w:p w:rsidR="00483762" w:rsidRDefault="007B1217" w:rsidP="007B1217">
          <w:pPr>
            <w:pStyle w:val="A02834F9F9A14F36BC305E5B300BB6C4"/>
          </w:pPr>
          <w:r w:rsidRPr="001E0779">
            <w:rPr>
              <w:rStyle w:val="Textodelmarcadordeposicin"/>
            </w:rPr>
            <w:t>Haga clic aquí para escribir texto.</w:t>
          </w:r>
        </w:p>
      </w:docPartBody>
    </w:docPart>
    <w:docPart>
      <w:docPartPr>
        <w:name w:val="CAE130D2471A4F999654C98D758D2B65"/>
        <w:category>
          <w:name w:val="General"/>
          <w:gallery w:val="placeholder"/>
        </w:category>
        <w:types>
          <w:type w:val="bbPlcHdr"/>
        </w:types>
        <w:behaviors>
          <w:behavior w:val="content"/>
        </w:behaviors>
        <w:guid w:val="{AAD95A7A-BA9A-46F6-A972-4E86EF77B46E}"/>
      </w:docPartPr>
      <w:docPartBody>
        <w:p w:rsidR="00483762" w:rsidRDefault="007B1217" w:rsidP="007B1217">
          <w:pPr>
            <w:pStyle w:val="CAE130D2471A4F999654C98D758D2B6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17"/>
    <w:rsid w:val="00483762"/>
    <w:rsid w:val="007B121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B1217"/>
  </w:style>
  <w:style w:type="paragraph" w:customStyle="1" w:styleId="A02834F9F9A14F36BC305E5B300BB6C4">
    <w:name w:val="A02834F9F9A14F36BC305E5B300BB6C4"/>
    <w:rsid w:val="007B1217"/>
  </w:style>
  <w:style w:type="paragraph" w:customStyle="1" w:styleId="CAE130D2471A4F999654C98D758D2B65">
    <w:name w:val="CAE130D2471A4F999654C98D758D2B65"/>
    <w:rsid w:val="007B1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aCaEXoCA0CDWEXrrSSBjIoo5WXU91ZeRQUeMuR51K0M=</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ZwVJUcoipLD+SHQ//G3D5QvhYk/nqxnrM6CCXUpV8Zk=</DigestValue>
    </Reference>
  </SignedInfo>
  <SignatureValue>dYv8dNvGhEj6/8UgQ7P/pikpDg9HGt2KhRdZJ48eyn9oenGH2uJiVFHcM/J3gaBUeBREcmDBtL5F
wWVzfA0YvMSE8JJdb1+7jMx252Ipy7Iwqg4zdKbWd3OKPr3Dx7ohdVCdmHBwXmHnYKjzZ5EQOwJ2
aEodTRJlOCs1+d6begRfZmyUUppmYfWoibq+c+zHQXlBH9GNeO3jsPeaOOJBSqfaFDmNGqc0kmBz
7jTSQHXv808J0F5mU92EPMbGCbqv3EaGkB2GWHDRpl/KIc4xAa+WnG3hnBb15eVT3/T6AKz636LF
yoAfa8RwlENLZ+M6uv+z+Ea2neddiGZovhVvqg==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OdU/6fHPMqdVYLqqAgdOGDNZ8NN3XwKFF7tVeB2ksWA=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mD6GBp8Ar/j06efcQj+zVKojix50OQzdFGqVnUZlHV4=</DigestValue>
      </Reference>
      <Reference URI="/word/endnotes.xml?ContentType=application/vnd.openxmlformats-officedocument.wordprocessingml.endnotes+xml">
        <DigestMethod Algorithm="http://www.w3.org/2001/04/xmlenc#sha256"/>
        <DigestValue>7WuyjMedObJUSt1uj24WwLtdZ0K6wOVYBlBWoECIc3Y=</DigestValue>
      </Reference>
      <Reference URI="/word/fontTable.xml?ContentType=application/vnd.openxmlformats-officedocument.wordprocessingml.fontTable+xml">
        <DigestMethod Algorithm="http://www.w3.org/2001/04/xmlenc#sha256"/>
        <DigestValue>FmK+anorUjtJkYiVRUz5x0W75qtU5WdjEaGJK+0pBeM=</DigestValue>
      </Reference>
      <Reference URI="/word/footer1.xml?ContentType=application/vnd.openxmlformats-officedocument.wordprocessingml.footer+xml">
        <DigestMethod Algorithm="http://www.w3.org/2001/04/xmlenc#sha256"/>
        <DigestValue>VdxdwNtJAtGjFxGZsIHinZZv+gMpswhvWFyWlNOmNYw=</DigestValue>
      </Reference>
      <Reference URI="/word/footnotes.xml?ContentType=application/vnd.openxmlformats-officedocument.wordprocessingml.footnotes+xml">
        <DigestMethod Algorithm="http://www.w3.org/2001/04/xmlenc#sha256"/>
        <DigestValue>7YUgS0oYUWA7Xo5LML+Tzz7/OW4GX332040h9dwa5tg=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M+smlCs2n8KKXp4GXMUrKIJBPpx+gTlWUptHmIzuqR8=</DigestValue>
      </Reference>
      <Reference URI="/word/glossary/fontTable.xml?ContentType=application/vnd.openxmlformats-officedocument.wordprocessingml.fontTable+xml">
        <DigestMethod Algorithm="http://www.w3.org/2001/04/xmlenc#sha256"/>
        <DigestValue>FmK+anorUjtJkYiVRUz5x0W75qtU5WdjEaGJK+0pBeM=</DigestValue>
      </Reference>
      <Reference URI="/word/glossary/settings.xml?ContentType=application/vnd.openxmlformats-officedocument.wordprocessingml.settings+xml">
        <DigestMethod Algorithm="http://www.w3.org/2001/04/xmlenc#sha256"/>
        <DigestValue>38vpvZuxnUah0g4Ss0tnZU96tr1zNha0f2JhqZfUt/Y=</DigestValue>
      </Reference>
      <Reference URI="/word/glossary/styles.xml?ContentType=application/vnd.openxmlformats-officedocument.wordprocessingml.styles+xml">
        <DigestMethod Algorithm="http://www.w3.org/2001/04/xmlenc#sha256"/>
        <DigestValue>F1cGaGjJaJhaW6mqTORbvrD6Yylmy7Nl+UOHevQzQLM=</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aPrA5jSiWPkcBeEq/+lYcvjCmCKaimdeE7zvtMSxc/g=</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v7WFTvIbn6QFPiu5Ljf4KDVp+xgtSnnhcGLYK1HgVTM=</DigestValue>
      </Reference>
      <Reference URI="/word/settings.xml?ContentType=application/vnd.openxmlformats-officedocument.wordprocessingml.settings+xml">
        <DigestMethod Algorithm="http://www.w3.org/2001/04/xmlenc#sha256"/>
        <DigestValue>HyZO86dHZAtFkuiRzbxjfrEhMSaWxZ/jUlO7AgNTJdM=</DigestValue>
      </Reference>
      <Reference URI="/word/styles.xml?ContentType=application/vnd.openxmlformats-officedocument.wordprocessingml.styles+xml">
        <DigestMethod Algorithm="http://www.w3.org/2001/04/xmlenc#sha256"/>
        <DigestValue>4I7DPdMHmim+Mo88OA0Dx4Wo7NMi8s+1F5BqkKS6bHc=</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2024-01-15T21:48:34Z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2024-01-15T21:48:34Z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6Gq+j0ItuzTJDmVnipWGv4Gi8QimZx61noIWCoD4xiECBBhvVfUYDzIwMjQwMTE1MjE0ODQ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Yiu4VFr/TH2iISkRui1L/rZyVtw=</xd:ByKey>
                  </xd:ResponderID>
                  <xd:ProducedAt>2024-01-15T17:08:06Z</xd:ProducedAt>
                </xd:OCSPIdentifier>
                <xd:DigestAlgAndValue>
                  <DigestMethod Algorithm="http://www.w3.org/2001/04/xmlenc#sha256"/>
                  <DigestValue>/HG0v1lxKcm7EeExYBinBnW0CRaM9407ftUy2O41ti4=</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</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hrgSEZn5PFvt1yFqYpHGkv4Ew7aJEomiCYoYKBiw9p0CBBhvVfoYDzIwMjQwMTE1MjE0ODQ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Informar 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2022-10-25T06:00:00+00:00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Ampliación Plazo Circular Externa 3272-2023</Subject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E237E916-4A53-4BCE-A16B-BC8F139AF681}"/>
</file>

<file path=customXml/itemProps2.xml><?xml version="1.0" encoding="utf-8"?>
<ds:datastoreItem xmlns:ds="http://schemas.openxmlformats.org/officeDocument/2006/customXml" ds:itemID="{9E241574-3D5B-4234-9DD6-DE57D741D1A2}"/>
</file>

<file path=customXml/itemProps3.xml><?xml version="1.0" encoding="utf-8"?>
<ds:datastoreItem xmlns:ds="http://schemas.openxmlformats.org/officeDocument/2006/customXml" ds:itemID="{897877BF-7EAA-46B7-8339-ECE9289922ED}"/>
</file>

<file path=customXml/itemProps4.xml><?xml version="1.0" encoding="utf-8"?>
<ds:datastoreItem xmlns:ds="http://schemas.openxmlformats.org/officeDocument/2006/customXml" ds:itemID="{51971756-C889-4333-9115-203CC384CED0}"/>
</file>

<file path=customXml/itemProps5.xml><?xml version="1.0" encoding="utf-8"?>
<ds:datastoreItem xmlns:ds="http://schemas.openxmlformats.org/officeDocument/2006/customXml" ds:itemID="{033E6433-745F-4356-BDA7-1D19F380CE81}"/>
</file>

<file path=customXml/itemProps6.xml><?xml version="1.0" encoding="utf-8"?>
<ds:datastoreItem xmlns:ds="http://schemas.openxmlformats.org/officeDocument/2006/customXml" ds:itemID="{9D3E70E2-D5C1-4FAD-84B4-7B59BE4C7A73}"/>
</file>

<file path=docProps/app.xml><?xml version="1.0" encoding="utf-8"?>
<Properties xmlns="http://schemas.openxmlformats.org/officeDocument/2006/extended-properties" xmlns:vt="http://schemas.openxmlformats.org/officeDocument/2006/docPropsVTypes">
  <Template>plantilla-SGF-DST-DNO-22.dotx</Template>
  <TotalTime>9</TotalTime>
  <Pages>3</Pages>
  <Words>613</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VARGAS LEAL MARIA GABRIELA</cp:lastModifiedBy>
  <cp:revision>9</cp:revision>
  <dcterms:created xsi:type="dcterms:W3CDTF">2024-01-10T16:33:00Z</dcterms:created>
  <dcterms:modified xsi:type="dcterms:W3CDTF">2024-01-15T16:44:00Z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144100</vt:r8>
  </property>
  <property fmtid="{D5CDD505-2E9C-101B-9397-08002B2CF9AE}" pid="12" name="MSIP_Label_b8b4be34-365a-4a68-b9fb-75c1b6874315_Enabled">
    <vt:lpwstr>true</vt:lpwstr>
  </property>
  <property fmtid="{D5CDD505-2E9C-101B-9397-08002B2CF9AE}" pid="13" name="MSIP_Label_b8b4be34-365a-4a68-b9fb-75c1b6874315_SetDate">
    <vt:lpwstr>2024-01-15T16:44:49Z</vt:lpwstr>
  </property>
  <property fmtid="{D5CDD505-2E9C-101B-9397-08002B2CF9AE}" pid="14" name="MSIP_Label_b8b4be34-365a-4a68-b9fb-75c1b6874315_Method">
    <vt:lpwstr>Standard</vt:lpwstr>
  </property>
  <property fmtid="{D5CDD505-2E9C-101B-9397-08002B2CF9AE}" pid="15" name="MSIP_Label_b8b4be34-365a-4a68-b9fb-75c1b6874315_Name">
    <vt:lpwstr>b8b4be34-365a-4a68-b9fb-75c1b6874315</vt:lpwstr>
  </property>
  <property fmtid="{D5CDD505-2E9C-101B-9397-08002B2CF9AE}" pid="16" name="MSIP_Label_b8b4be34-365a-4a68-b9fb-75c1b6874315_SiteId">
    <vt:lpwstr>618d0a45-25a6-4618-9f80-8f70a435ee52</vt:lpwstr>
  </property>
  <property fmtid="{D5CDD505-2E9C-101B-9397-08002B2CF9AE}" pid="17" name="MSIP_Label_b8b4be34-365a-4a68-b9fb-75c1b6874315_ActionId">
    <vt:lpwstr>597edcdd-bcf2-474a-b669-8eab0be56208</vt:lpwstr>
  </property>
  <property fmtid="{D5CDD505-2E9C-101B-9397-08002B2CF9AE}" pid="18" name="MSIP_Label_b8b4be34-365a-4a68-b9fb-75c1b6874315_ContentBits">
    <vt:lpwstr>2</vt:lpwstr>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36e1af0c-2eec-499f-b304-a394df1aa266,5;f1fd9d7f-da86-405a-9476-87cbb240632e,11;36e1af0c-2eec-499f-b304-a394df1aa266,14;</vt:lpwstr>
  </property>
</Properties>
</file>