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BA3" w:rsidP="00A96A00" w:rsidRDefault="00BA2BA3" w14:paraId="1EEA77C1" w14:textId="77777777">
      <w:pPr>
        <w:pStyle w:val="Texto"/>
        <w:spacing w:before="0" w:after="0" w:line="240" w:lineRule="auto"/>
        <w:contextualSpacing/>
        <w:rPr>
          <w:sz w:val="24"/>
        </w:rPr>
      </w:pPr>
    </w:p>
    <w:p w:rsidR="00BA2BA3" w:rsidP="00A96A00" w:rsidRDefault="00BA2BA3" w14:paraId="2400E289" w14:textId="77777777">
      <w:pPr>
        <w:pStyle w:val="Texto"/>
        <w:spacing w:before="0" w:after="0" w:line="240" w:lineRule="auto"/>
        <w:contextualSpacing/>
        <w:rPr>
          <w:sz w:val="24"/>
        </w:rPr>
      </w:pPr>
    </w:p>
    <w:p w:rsidR="00343E3A" w:rsidP="00A96A00" w:rsidRDefault="00343E3A" w14:paraId="52EFFBFC" w14:textId="77777777">
      <w:pPr>
        <w:pStyle w:val="Texto"/>
        <w:spacing w:before="0" w:after="0" w:line="240" w:lineRule="auto"/>
        <w:contextualSpacing/>
        <w:jc w:val="center"/>
        <w:rPr>
          <w:b/>
          <w:bCs/>
          <w:szCs w:val="22"/>
        </w:rPr>
      </w:pPr>
      <w:r>
        <w:rPr>
          <w:b/>
          <w:bCs/>
          <w:szCs w:val="22"/>
        </w:rPr>
        <w:t>Circular Externa</w:t>
      </w:r>
    </w:p>
    <w:p w:rsidR="00343E3A" w:rsidP="00A96A00" w:rsidRDefault="00A96A00" w14:paraId="5BA2E4D0" w14:textId="695A7CEF">
      <w:pPr>
        <w:pStyle w:val="Texto"/>
        <w:spacing w:before="0" w:after="0" w:line="240" w:lineRule="auto"/>
        <w:contextualSpacing/>
        <w:jc w:val="center"/>
        <w:rPr>
          <w:szCs w:val="22"/>
        </w:rPr>
      </w:pPr>
      <w:r>
        <w:rPr>
          <w:szCs w:val="22"/>
        </w:rPr>
        <w:t>15</w:t>
      </w:r>
      <w:r w:rsidR="00343E3A">
        <w:rPr>
          <w:szCs w:val="22"/>
        </w:rPr>
        <w:t xml:space="preserve"> de enero del 2024</w:t>
      </w:r>
    </w:p>
    <w:sdt>
      <w:sdtPr>
        <w:rPr>
          <w:szCs w:val="22"/>
        </w:rPr>
        <w:alias w:val="Consecutivo"/>
        <w:tag w:val="Consecutivo"/>
        <w:id w:val="-1764373498"/>
        <w:placeholder>
          <w:docPart w:val="44FD1486CDA04CE2A3D99B29D5EB4651"/>
        </w:placeholder>
        <w:text/>
      </w:sdtPr>
      <w:sdtEndPr/>
      <w:sdtContent>
        <w:p w:rsidR="00343E3A" w:rsidP="00A96A00" w:rsidRDefault="00343E3A" w14:paraId="1330D97B" w14:textId="77777777">
          <w:pPr>
            <w:tabs>
              <w:tab w:val="left" w:pos="2843"/>
            </w:tabs>
            <w:spacing w:line="240" w:lineRule="auto"/>
            <w:contextualSpacing/>
            <w:jc w:val="center"/>
            <w:rPr>
              <w:szCs w:val="22"/>
            </w:rPr>
          </w:pPr>
          <w:r>
            <w:t>SGF-0074-2024</w:t>
          </w:r>
        </w:p>
      </w:sdtContent>
    </w:sdt>
    <w:p w:rsidR="00343E3A" w:rsidP="00A96A00" w:rsidRDefault="00A96A00" w14:paraId="5413F5F6" w14:textId="77777777">
      <w:pPr>
        <w:tabs>
          <w:tab w:val="left" w:pos="2843"/>
        </w:tabs>
        <w:spacing w:line="240" w:lineRule="auto"/>
        <w:contextualSpacing/>
        <w:jc w:val="center"/>
        <w:rPr>
          <w:szCs w:val="22"/>
        </w:rPr>
      </w:pPr>
      <w:sdt>
        <w:sdtPr>
          <w:rPr>
            <w:szCs w:val="22"/>
          </w:rPr>
          <w:alias w:val="Confidencialidad"/>
          <w:tag w:val="Confidencialidad"/>
          <w:id w:val="2063898970"/>
          <w:placeholder>
            <w:docPart w:val="53F9F327FB09447BACEFABC5EBA2D22B"/>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43E3A">
            <w:rPr>
              <w:szCs w:val="22"/>
            </w:rPr>
            <w:t>SGF-PUBLICO</w:t>
          </w:r>
        </w:sdtContent>
      </w:sdt>
    </w:p>
    <w:p w:rsidR="00343E3A" w:rsidP="00A96A00" w:rsidRDefault="00343E3A" w14:paraId="1CCFB3A3" w14:textId="77777777">
      <w:pPr>
        <w:tabs>
          <w:tab w:val="left" w:pos="2843"/>
        </w:tabs>
        <w:spacing w:line="240" w:lineRule="auto"/>
        <w:contextualSpacing/>
        <w:rPr>
          <w:szCs w:val="22"/>
        </w:rPr>
      </w:pPr>
    </w:p>
    <w:p w:rsidR="00343E3A" w:rsidP="00A96A00" w:rsidRDefault="00343E3A" w14:paraId="672B42D0" w14:textId="77777777">
      <w:pPr>
        <w:widowControl w:val="0"/>
        <w:spacing w:line="240" w:lineRule="auto"/>
        <w:ind w:left="34" w:right="86"/>
        <w:contextualSpacing/>
        <w:outlineLvl w:val="0"/>
        <w:rPr>
          <w:b/>
          <w:szCs w:val="22"/>
          <w:lang w:val="es-CR"/>
        </w:rPr>
      </w:pPr>
      <w:r>
        <w:rPr>
          <w:b/>
          <w:szCs w:val="22"/>
          <w:lang w:val="es-CR"/>
        </w:rPr>
        <w:t xml:space="preserve">Dirigida a: </w:t>
      </w:r>
    </w:p>
    <w:p w:rsidR="00343E3A" w:rsidP="00A96A00" w:rsidRDefault="00343E3A" w14:paraId="01AF1429" w14:textId="77777777">
      <w:pPr>
        <w:widowControl w:val="0"/>
        <w:spacing w:line="240" w:lineRule="auto"/>
        <w:ind w:left="34" w:right="86"/>
        <w:contextualSpacing/>
        <w:outlineLvl w:val="0"/>
        <w:rPr>
          <w:b/>
          <w:szCs w:val="22"/>
          <w:lang w:val="es-CR"/>
        </w:rPr>
      </w:pPr>
    </w:p>
    <w:p w:rsidR="00343E3A" w:rsidP="00A96A00" w:rsidRDefault="00343E3A" w14:paraId="34A52044" w14:textId="77777777">
      <w:pPr>
        <w:widowControl w:val="0"/>
        <w:numPr>
          <w:ilvl w:val="0"/>
          <w:numId w:val="3"/>
        </w:numPr>
        <w:spacing w:line="240" w:lineRule="auto"/>
        <w:ind w:left="567" w:right="86" w:hanging="567"/>
        <w:contextualSpacing/>
        <w:rPr>
          <w:b/>
          <w:szCs w:val="22"/>
          <w:lang w:val="es-CR" w:eastAsia="es-ES"/>
        </w:rPr>
      </w:pPr>
      <w:r>
        <w:rPr>
          <w:b/>
          <w:szCs w:val="22"/>
          <w:lang w:val="es-CR" w:eastAsia="es-ES"/>
        </w:rPr>
        <w:t>Bancos Comerciales del Estado</w:t>
      </w:r>
    </w:p>
    <w:p w:rsidR="00343E3A" w:rsidP="00A96A00" w:rsidRDefault="00343E3A" w14:paraId="3DD3B376" w14:textId="77777777">
      <w:pPr>
        <w:widowControl w:val="0"/>
        <w:numPr>
          <w:ilvl w:val="0"/>
          <w:numId w:val="3"/>
        </w:numPr>
        <w:spacing w:line="240" w:lineRule="auto"/>
        <w:ind w:left="567" w:right="86" w:hanging="567"/>
        <w:contextualSpacing/>
        <w:rPr>
          <w:b/>
          <w:szCs w:val="22"/>
          <w:lang w:val="es-CR" w:eastAsia="es-ES"/>
        </w:rPr>
      </w:pPr>
      <w:r>
        <w:rPr>
          <w:b/>
          <w:szCs w:val="22"/>
          <w:lang w:val="es-CR" w:eastAsia="es-ES"/>
        </w:rPr>
        <w:t>Bancos Creados por Leyes Especiales</w:t>
      </w:r>
    </w:p>
    <w:p w:rsidR="00343E3A" w:rsidP="00A96A00" w:rsidRDefault="00343E3A" w14:paraId="7D988FC7" w14:textId="77777777">
      <w:pPr>
        <w:widowControl w:val="0"/>
        <w:numPr>
          <w:ilvl w:val="0"/>
          <w:numId w:val="3"/>
        </w:numPr>
        <w:spacing w:line="240" w:lineRule="auto"/>
        <w:ind w:left="567" w:right="86" w:hanging="567"/>
        <w:contextualSpacing/>
        <w:rPr>
          <w:b/>
          <w:szCs w:val="22"/>
          <w:lang w:val="es-CR" w:eastAsia="es-ES"/>
        </w:rPr>
      </w:pPr>
      <w:r>
        <w:rPr>
          <w:b/>
          <w:szCs w:val="22"/>
          <w:lang w:val="es-CR" w:eastAsia="es-ES"/>
        </w:rPr>
        <w:t>Bancos Privados</w:t>
      </w:r>
    </w:p>
    <w:p w:rsidR="00343E3A" w:rsidP="00A96A00" w:rsidRDefault="00343E3A" w14:paraId="60D0C44B" w14:textId="77777777">
      <w:pPr>
        <w:widowControl w:val="0"/>
        <w:numPr>
          <w:ilvl w:val="0"/>
          <w:numId w:val="3"/>
        </w:numPr>
        <w:spacing w:line="240" w:lineRule="auto"/>
        <w:ind w:left="567" w:right="86" w:hanging="567"/>
        <w:contextualSpacing/>
        <w:rPr>
          <w:b/>
          <w:szCs w:val="22"/>
          <w:lang w:val="es-CR" w:eastAsia="es-ES"/>
        </w:rPr>
      </w:pPr>
      <w:r>
        <w:rPr>
          <w:b/>
          <w:szCs w:val="22"/>
          <w:lang w:val="es-CR" w:eastAsia="es-ES"/>
        </w:rPr>
        <w:t>Empresas Financieras no Bancarias</w:t>
      </w:r>
    </w:p>
    <w:p w:rsidR="00343E3A" w:rsidP="00A96A00" w:rsidRDefault="00343E3A" w14:paraId="44076CF4" w14:textId="77777777">
      <w:pPr>
        <w:widowControl w:val="0"/>
        <w:numPr>
          <w:ilvl w:val="0"/>
          <w:numId w:val="3"/>
        </w:numPr>
        <w:spacing w:line="240" w:lineRule="auto"/>
        <w:ind w:left="567" w:right="86" w:hanging="567"/>
        <w:contextualSpacing/>
        <w:rPr>
          <w:b/>
          <w:szCs w:val="22"/>
          <w:lang w:val="es-CR" w:eastAsia="es-ES"/>
        </w:rPr>
      </w:pPr>
      <w:r>
        <w:rPr>
          <w:b/>
          <w:szCs w:val="22"/>
          <w:lang w:val="es-CR" w:eastAsia="es-ES"/>
        </w:rPr>
        <w:t>Otras Entidades Financieras</w:t>
      </w:r>
    </w:p>
    <w:p w:rsidR="00343E3A" w:rsidP="00A96A00" w:rsidRDefault="00343E3A" w14:paraId="6BEBA235" w14:textId="77777777">
      <w:pPr>
        <w:widowControl w:val="0"/>
        <w:numPr>
          <w:ilvl w:val="0"/>
          <w:numId w:val="3"/>
        </w:numPr>
        <w:spacing w:line="240" w:lineRule="auto"/>
        <w:ind w:left="567" w:right="86" w:hanging="567"/>
        <w:contextualSpacing/>
        <w:rPr>
          <w:b/>
          <w:szCs w:val="22"/>
          <w:lang w:val="es-CR" w:eastAsia="es-ES"/>
        </w:rPr>
      </w:pPr>
      <w:r>
        <w:rPr>
          <w:b/>
          <w:szCs w:val="22"/>
          <w:lang w:val="es-CR" w:eastAsia="es-ES"/>
        </w:rPr>
        <w:t>Organizaciones Cooperativas de Ahorro y Crédito</w:t>
      </w:r>
    </w:p>
    <w:p w:rsidR="00343E3A" w:rsidP="00A96A00" w:rsidRDefault="00343E3A" w14:paraId="49BAB5BA" w14:textId="77777777">
      <w:pPr>
        <w:widowControl w:val="0"/>
        <w:numPr>
          <w:ilvl w:val="0"/>
          <w:numId w:val="3"/>
        </w:numPr>
        <w:spacing w:line="240" w:lineRule="auto"/>
        <w:ind w:left="567" w:right="86" w:hanging="567"/>
        <w:contextualSpacing/>
        <w:rPr>
          <w:b/>
          <w:szCs w:val="22"/>
          <w:lang w:val="es-CR" w:eastAsia="es-ES"/>
        </w:rPr>
      </w:pPr>
      <w:r>
        <w:rPr>
          <w:b/>
          <w:szCs w:val="22"/>
          <w:lang w:val="es-CR" w:eastAsia="es-ES"/>
        </w:rPr>
        <w:t>Asociaciones Mutualistas de Ahorro y Crédito</w:t>
      </w:r>
    </w:p>
    <w:p w:rsidR="00343E3A" w:rsidP="00A96A00" w:rsidRDefault="00343E3A" w14:paraId="1ADA7EC2" w14:textId="77777777">
      <w:pPr>
        <w:widowControl w:val="0"/>
        <w:numPr>
          <w:ilvl w:val="0"/>
          <w:numId w:val="3"/>
        </w:numPr>
        <w:spacing w:line="240" w:lineRule="auto"/>
        <w:ind w:left="567" w:right="86" w:hanging="567"/>
        <w:contextualSpacing/>
        <w:rPr>
          <w:b/>
          <w:szCs w:val="22"/>
          <w:lang w:val="es-CR" w:eastAsia="es-ES"/>
        </w:rPr>
      </w:pPr>
      <w:r>
        <w:rPr>
          <w:b/>
          <w:szCs w:val="22"/>
          <w:lang w:val="es-CR" w:eastAsia="es-ES"/>
        </w:rPr>
        <w:t>Asociación Bancaria Costarricense</w:t>
      </w:r>
    </w:p>
    <w:p w:rsidR="00343E3A" w:rsidP="00A96A00" w:rsidRDefault="00343E3A" w14:paraId="4B3D9851" w14:textId="77777777">
      <w:pPr>
        <w:widowControl w:val="0"/>
        <w:numPr>
          <w:ilvl w:val="0"/>
          <w:numId w:val="3"/>
        </w:numPr>
        <w:spacing w:line="240" w:lineRule="auto"/>
        <w:ind w:left="567" w:right="86" w:hanging="567"/>
        <w:contextualSpacing/>
        <w:rPr>
          <w:b/>
          <w:szCs w:val="22"/>
          <w:lang w:val="es-CR" w:eastAsia="es-ES"/>
        </w:rPr>
      </w:pPr>
      <w:r>
        <w:rPr>
          <w:b/>
          <w:szCs w:val="22"/>
          <w:lang w:val="es-CR" w:eastAsia="es-ES"/>
        </w:rPr>
        <w:t>Cámara de Bancos e Instituciones Financieras de Costa Rica</w:t>
      </w:r>
    </w:p>
    <w:p w:rsidR="00343E3A" w:rsidP="00A96A00" w:rsidRDefault="00343E3A" w14:paraId="15092BFA" w14:textId="77777777">
      <w:pPr>
        <w:widowControl w:val="0"/>
        <w:spacing w:line="240" w:lineRule="auto"/>
        <w:ind w:left="567" w:right="86"/>
        <w:contextualSpacing/>
        <w:rPr>
          <w:b/>
          <w:szCs w:val="22"/>
          <w:lang w:val="es-CR" w:eastAsia="es-ES"/>
        </w:rPr>
      </w:pPr>
    </w:p>
    <w:p w:rsidR="00343E3A" w:rsidP="00A96A00" w:rsidRDefault="00343E3A" w14:paraId="1BE8D36A" w14:textId="77777777">
      <w:pPr>
        <w:pStyle w:val="Texto"/>
        <w:spacing w:before="0" w:after="0" w:line="240" w:lineRule="auto"/>
        <w:contextualSpacing/>
        <w:rPr>
          <w:b/>
          <w:szCs w:val="22"/>
          <w:lang w:val="es-CR"/>
        </w:rPr>
      </w:pPr>
    </w:p>
    <w:p w:rsidR="00343E3A" w:rsidP="00A96A00" w:rsidRDefault="00343E3A" w14:paraId="4E0348D2" w14:textId="4A1DCCCB">
      <w:pPr>
        <w:spacing w:line="240" w:lineRule="auto"/>
        <w:contextualSpacing/>
        <w:rPr>
          <w:rFonts w:cs="Arial"/>
          <w:sz w:val="24"/>
          <w:lang w:val="es-CR"/>
        </w:rPr>
      </w:pPr>
      <w:r>
        <w:rPr>
          <w:b/>
          <w:sz w:val="24"/>
        </w:rPr>
        <w:t xml:space="preserve">Asunto: </w:t>
      </w:r>
      <w:r>
        <w:rPr>
          <w:bCs/>
          <w:sz w:val="24"/>
        </w:rPr>
        <w:t>Ampliación de plazo de la</w:t>
      </w:r>
      <w:r>
        <w:rPr>
          <w:sz w:val="24"/>
        </w:rPr>
        <w:t xml:space="preserve"> solicitud de información del proyecto enviado en consulta por el Consejo Nacional de Supervisión del Sistema Financiero (CONASSIF) sobre Requerimientos de Capital por Riesgo de Mercado, Tasas de Interés y Crédito, mediante el Acuerdo CNS-1837-2023, artículo 7, del 04 de diciembre del 2023.</w:t>
      </w:r>
    </w:p>
    <w:p w:rsidR="00343E3A" w:rsidP="00A96A00" w:rsidRDefault="00343E3A" w14:paraId="6F0D8CC8" w14:textId="77777777">
      <w:pPr>
        <w:spacing w:line="240" w:lineRule="auto"/>
        <w:contextualSpacing/>
        <w:rPr>
          <w:rFonts w:cs="Arial"/>
          <w:b/>
          <w:bCs/>
          <w:szCs w:val="22"/>
          <w:lang w:val="es-CR"/>
        </w:rPr>
      </w:pPr>
    </w:p>
    <w:p w:rsidR="00343E3A" w:rsidP="00A96A00" w:rsidRDefault="00343E3A" w14:paraId="75DED574" w14:textId="77777777">
      <w:pPr>
        <w:widowControl w:val="0"/>
        <w:spacing w:after="240" w:line="240" w:lineRule="auto"/>
        <w:contextualSpacing/>
        <w:jc w:val="left"/>
        <w:rPr>
          <w:b/>
          <w:bCs/>
          <w:sz w:val="24"/>
        </w:rPr>
      </w:pPr>
      <w:r>
        <w:rPr>
          <w:b/>
          <w:bCs/>
          <w:sz w:val="24"/>
        </w:rPr>
        <w:t xml:space="preserve">La Superintendencia General de Entidades Financieras, </w:t>
      </w:r>
    </w:p>
    <w:p w:rsidR="00343E3A" w:rsidP="00A96A00" w:rsidRDefault="00343E3A" w14:paraId="00AFCCA3" w14:textId="77777777">
      <w:pPr>
        <w:pStyle w:val="Default"/>
        <w:ind w:left="993" w:hanging="993"/>
        <w:contextualSpacing/>
        <w:jc w:val="both"/>
        <w:rPr>
          <w:rFonts w:ascii="Cambria" w:hAnsi="Cambria"/>
          <w:b/>
        </w:rPr>
      </w:pPr>
      <w:r>
        <w:rPr>
          <w:rFonts w:ascii="Cambria" w:hAnsi="Cambria"/>
          <w:b/>
        </w:rPr>
        <w:t>Considerando que:</w:t>
      </w:r>
    </w:p>
    <w:p w:rsidR="00343E3A" w:rsidP="00A96A00" w:rsidRDefault="00343E3A" w14:paraId="734A48AD" w14:textId="77777777">
      <w:pPr>
        <w:pStyle w:val="Default"/>
        <w:ind w:left="993" w:hanging="993"/>
        <w:contextualSpacing/>
        <w:jc w:val="both"/>
        <w:rPr>
          <w:rFonts w:ascii="Cambria" w:hAnsi="Cambria"/>
          <w:b/>
          <w:sz w:val="22"/>
          <w:szCs w:val="22"/>
        </w:rPr>
      </w:pPr>
    </w:p>
    <w:p w:rsidR="00343E3A" w:rsidP="00A96A00" w:rsidRDefault="00343E3A" w14:paraId="03D30F49" w14:textId="77777777">
      <w:pPr>
        <w:widowControl w:val="0"/>
        <w:numPr>
          <w:ilvl w:val="0"/>
          <w:numId w:val="4"/>
        </w:numPr>
        <w:spacing w:after="240" w:line="240" w:lineRule="auto"/>
        <w:contextualSpacing/>
        <w:rPr>
          <w:sz w:val="24"/>
        </w:rPr>
      </w:pPr>
      <w:r>
        <w:rPr>
          <w:sz w:val="24"/>
        </w:rPr>
        <w:t xml:space="preserve">El Consejo Nacional de Supervisión del Sistema Financiero, mediante el Artículo 7 de la sesión 1837-2023 del 4 de diciembre de 2023 aprobó el envío en consulta de propuesta de la modificación al </w:t>
      </w:r>
      <w:r>
        <w:rPr>
          <w:i/>
          <w:iCs/>
          <w:sz w:val="24"/>
        </w:rPr>
        <w:t>Reglamento sobre la Suficiencia Patrimonial de Entidades Financieras</w:t>
      </w:r>
      <w:r>
        <w:rPr>
          <w:sz w:val="24"/>
        </w:rPr>
        <w:t>, Acuerdo SUGEF 3-06.</w:t>
      </w:r>
    </w:p>
    <w:p w:rsidR="00343E3A" w:rsidP="00A96A00" w:rsidRDefault="00343E3A" w14:paraId="52FE1AE4" w14:textId="77777777">
      <w:pPr>
        <w:widowControl w:val="0"/>
        <w:numPr>
          <w:ilvl w:val="0"/>
          <w:numId w:val="4"/>
        </w:numPr>
        <w:spacing w:after="240" w:line="240" w:lineRule="auto"/>
        <w:contextualSpacing/>
        <w:rPr>
          <w:sz w:val="24"/>
        </w:rPr>
      </w:pPr>
      <w:r>
        <w:rPr>
          <w:sz w:val="24"/>
        </w:rPr>
        <w:t>El Artículo 4 del Acuerdo SUGEF 3-06, dispone que corresponde al Superintendente emitir los Lineamientos Generales.</w:t>
      </w:r>
    </w:p>
    <w:p w:rsidR="00343E3A" w:rsidP="00A96A00" w:rsidRDefault="00343E3A" w14:paraId="795A7F95" w14:textId="77777777">
      <w:pPr>
        <w:widowControl w:val="0"/>
        <w:numPr>
          <w:ilvl w:val="0"/>
          <w:numId w:val="4"/>
        </w:numPr>
        <w:spacing w:after="240" w:line="240" w:lineRule="auto"/>
        <w:contextualSpacing/>
        <w:rPr>
          <w:sz w:val="24"/>
        </w:rPr>
      </w:pPr>
      <w:r>
        <w:rPr>
          <w:sz w:val="24"/>
        </w:rPr>
        <w:t>Los Lineamientos Generales tiene el objetivo de establecer detalles adicionales para la aplicación de las disposiciones establecidas en el Acuerdo SUGEF 3-06.</w:t>
      </w:r>
    </w:p>
    <w:p w:rsidRPr="00343E3A" w:rsidR="00343E3A" w:rsidP="00A96A00" w:rsidRDefault="00343E3A" w14:paraId="3D144CF1" w14:textId="411121B8">
      <w:pPr>
        <w:widowControl w:val="0"/>
        <w:numPr>
          <w:ilvl w:val="0"/>
          <w:numId w:val="4"/>
        </w:numPr>
        <w:spacing w:after="240" w:line="240" w:lineRule="auto"/>
        <w:contextualSpacing/>
        <w:rPr>
          <w:sz w:val="24"/>
        </w:rPr>
      </w:pPr>
      <w:r>
        <w:rPr>
          <w:sz w:val="24"/>
        </w:rPr>
        <w:t xml:space="preserve">De conformidad con el Artículo 131, inciso b) de la </w:t>
      </w:r>
      <w:r>
        <w:rPr>
          <w:i/>
          <w:iCs/>
          <w:sz w:val="24"/>
        </w:rPr>
        <w:t>Ley Orgánica del Banco Central de Costa Rica</w:t>
      </w:r>
      <w:r>
        <w:rPr>
          <w:sz w:val="24"/>
        </w:rPr>
        <w:t xml:space="preserve">, Ley 7558, corresponde al Superintendente tomar las medidas necesarias para ejecutar los acuerdos del Consejo Nacional de Supervisión.  </w:t>
      </w:r>
    </w:p>
    <w:p w:rsidR="00343E3A" w:rsidP="00A96A00" w:rsidRDefault="00343E3A" w14:paraId="4ED8841B" w14:textId="77777777">
      <w:pPr>
        <w:pStyle w:val="Prrafodelista"/>
        <w:numPr>
          <w:ilvl w:val="0"/>
          <w:numId w:val="4"/>
        </w:numPr>
        <w:spacing w:line="240" w:lineRule="auto"/>
        <w:jc w:val="both"/>
        <w:rPr>
          <w:rFonts w:ascii="Cambria" w:hAnsi="Cambria"/>
          <w:sz w:val="24"/>
          <w:szCs w:val="24"/>
        </w:rPr>
      </w:pPr>
      <w:r>
        <w:rPr>
          <w:rFonts w:ascii="Cambria" w:hAnsi="Cambria"/>
          <w:sz w:val="24"/>
        </w:rPr>
        <w:t>Mediante oficio SGF-3194-2023 de 19 de diciembre del 2023, la SUGEF realizó la solicitud de información del proyecto enviado en consulta por el Consejo Nacional de Supervisión del Sistema Financiero (CONASSIF) sobre Requerimientos de Capital por Riesgo de Mercado, Tasas de Interés y Crédito, mediante el Acuerdo CNS-1837-2023, artículo 7, del 04 de diciembre del 2023. Señalando que a más tardar el 12 de enero del 2024 las entidades deberán remitir a la SUGEF la información solicitada.</w:t>
      </w:r>
    </w:p>
    <w:p w:rsidR="00343E3A" w:rsidP="00A96A00" w:rsidRDefault="00343E3A" w14:paraId="6350CF61" w14:textId="77777777">
      <w:pPr>
        <w:pStyle w:val="Prrafodelista"/>
        <w:spacing w:line="240" w:lineRule="auto"/>
        <w:rPr>
          <w:rFonts w:ascii="Cambria" w:hAnsi="Cambria"/>
          <w:sz w:val="24"/>
          <w:szCs w:val="24"/>
        </w:rPr>
      </w:pPr>
    </w:p>
    <w:p w:rsidR="00343E3A" w:rsidP="00A96A00" w:rsidRDefault="00343E3A" w14:paraId="2E30B8B2" w14:textId="316EFDCE">
      <w:pPr>
        <w:pStyle w:val="Prrafodelista"/>
        <w:numPr>
          <w:ilvl w:val="0"/>
          <w:numId w:val="4"/>
        </w:numPr>
        <w:spacing w:line="240" w:lineRule="auto"/>
        <w:jc w:val="both"/>
        <w:rPr>
          <w:rFonts w:ascii="Cambria" w:hAnsi="Cambria"/>
          <w:sz w:val="24"/>
          <w:szCs w:val="24"/>
        </w:rPr>
      </w:pPr>
      <w:r>
        <w:rPr>
          <w:rFonts w:ascii="Cambria" w:hAnsi="Cambria"/>
          <w:sz w:val="24"/>
        </w:rPr>
        <w:t>Mediante oficio del 3 de enero de 2024, la Cámara de Bancos e Instituciones Financieras de Costa Rica solicitó ampliar en 10 días hábiles adicionales para la entrega de la plantilla Excel con información adicional sobre atribución de flujos en tramos temporales, relacionado con el riesgo de tasas de interés a que hace referencia el Considerando 5. Lo anterior, señala la Cámara, bajo la consideración de que la propuesta de modificación regulatoria es muy importante y delicada, que requiere un análisis minucioso y detallado por parte de las entidades, las cuales a principios de año se encuentran concentradas en la atención de varias consultas externas a diversas modificaciones regulatorias a presentarse en estas fechas.</w:t>
      </w:r>
      <w:r>
        <w:rPr>
          <w:sz w:val="24"/>
        </w:rPr>
        <w:t xml:space="preserve"> </w:t>
      </w:r>
    </w:p>
    <w:p w:rsidR="00343E3A" w:rsidP="00A96A00" w:rsidRDefault="00343E3A" w14:paraId="1E2A5331" w14:textId="77777777">
      <w:pPr>
        <w:pStyle w:val="Prrafodelista"/>
        <w:spacing w:line="240" w:lineRule="auto"/>
        <w:rPr>
          <w:sz w:val="24"/>
        </w:rPr>
      </w:pPr>
    </w:p>
    <w:p w:rsidRPr="003F3DC8" w:rsidR="003F3DC8" w:rsidP="00A96A00" w:rsidRDefault="003F3DC8" w14:paraId="7F1B17B5" w14:textId="58BFCFAD">
      <w:pPr>
        <w:pStyle w:val="Prrafodelista"/>
        <w:numPr>
          <w:ilvl w:val="0"/>
          <w:numId w:val="4"/>
        </w:numPr>
        <w:spacing w:line="240" w:lineRule="auto"/>
        <w:jc w:val="both"/>
        <w:rPr>
          <w:rFonts w:ascii="Cambria" w:hAnsi="Cambria" w:eastAsia="Times New Roman" w:cs="Times New Roman"/>
          <w:noProof/>
          <w:sz w:val="24"/>
          <w:szCs w:val="24"/>
          <w:lang w:val="es-ES"/>
        </w:rPr>
      </w:pPr>
      <w:r w:rsidRPr="00945A6C">
        <w:rPr>
          <w:rFonts w:ascii="Cambria" w:hAnsi="Cambria"/>
          <w:noProof/>
          <w:sz w:val="24"/>
        </w:rPr>
        <w:lastRenderedPageBreak/>
        <w:t>Mediante oficio SGF-0041-2024 y PDC-0002-2024 emitido por la SUGEF y CONASSIF del 10 de enero del 2024, respectivamente,</w:t>
      </w:r>
      <w:r w:rsidRPr="00945A6C">
        <w:rPr>
          <w:rFonts w:ascii="Cambria" w:hAnsi="Cambria"/>
        </w:rPr>
        <w:t xml:space="preserve"> </w:t>
      </w:r>
      <w:r>
        <w:rPr>
          <w:rFonts w:ascii="Cambria" w:hAnsi="Cambria"/>
        </w:rPr>
        <w:t xml:space="preserve">se </w:t>
      </w:r>
      <w:r w:rsidRPr="00945A6C">
        <w:rPr>
          <w:rFonts w:ascii="Cambria" w:hAnsi="Cambria" w:eastAsia="Times New Roman" w:cs="Times New Roman"/>
          <w:noProof/>
          <w:sz w:val="24"/>
          <w:szCs w:val="24"/>
          <w:lang w:val="es-ES"/>
        </w:rPr>
        <w:t>ampli</w:t>
      </w:r>
      <w:r>
        <w:rPr>
          <w:rFonts w:ascii="Cambria" w:hAnsi="Cambria" w:eastAsia="Times New Roman" w:cs="Times New Roman"/>
          <w:noProof/>
          <w:sz w:val="24"/>
          <w:szCs w:val="24"/>
          <w:lang w:val="es-ES"/>
        </w:rPr>
        <w:t>ó</w:t>
      </w:r>
      <w:r w:rsidRPr="00945A6C">
        <w:rPr>
          <w:rFonts w:ascii="Cambria" w:hAnsi="Cambria" w:eastAsia="Times New Roman" w:cs="Times New Roman"/>
          <w:noProof/>
          <w:sz w:val="24"/>
          <w:szCs w:val="24"/>
          <w:lang w:val="es-ES"/>
        </w:rPr>
        <w:t xml:space="preserve"> el plazo a que hace referencia </w:t>
      </w:r>
      <w:r>
        <w:rPr>
          <w:rFonts w:ascii="Cambria" w:hAnsi="Cambria" w:eastAsia="Times New Roman" w:cs="Times New Roman"/>
          <w:noProof/>
          <w:sz w:val="24"/>
          <w:szCs w:val="24"/>
          <w:lang w:val="es-ES"/>
        </w:rPr>
        <w:t xml:space="preserve">el oficio </w:t>
      </w:r>
      <w:r w:rsidRPr="00945A6C">
        <w:rPr>
          <w:rFonts w:ascii="Cambria" w:hAnsi="Cambria" w:eastAsia="Times New Roman" w:cs="Times New Roman"/>
          <w:noProof/>
          <w:sz w:val="24"/>
          <w:szCs w:val="24"/>
          <w:lang w:val="es-ES"/>
        </w:rPr>
        <w:t>CNS-1837/07 del 8 de diciembre del 2023 al 31 de enero de 2024.</w:t>
      </w:r>
    </w:p>
    <w:p w:rsidRPr="003F3DC8" w:rsidR="003F3DC8" w:rsidP="00A96A00" w:rsidRDefault="003F3DC8" w14:paraId="4D696F91" w14:textId="77777777">
      <w:pPr>
        <w:pStyle w:val="Prrafodelista"/>
        <w:spacing w:line="240" w:lineRule="auto"/>
        <w:rPr>
          <w:rFonts w:ascii="Cambria" w:hAnsi="Cambria"/>
          <w:sz w:val="24"/>
        </w:rPr>
      </w:pPr>
    </w:p>
    <w:p w:rsidR="00343E3A" w:rsidP="00A96A00" w:rsidRDefault="00343E3A" w14:paraId="58C64010" w14:textId="3C651E4B">
      <w:pPr>
        <w:pStyle w:val="Prrafodelista"/>
        <w:numPr>
          <w:ilvl w:val="0"/>
          <w:numId w:val="4"/>
        </w:numPr>
        <w:spacing w:line="240" w:lineRule="auto"/>
        <w:jc w:val="both"/>
        <w:rPr>
          <w:rFonts w:ascii="Cambria" w:hAnsi="Cambria"/>
          <w:sz w:val="24"/>
          <w:szCs w:val="24"/>
        </w:rPr>
      </w:pPr>
      <w:r>
        <w:rPr>
          <w:rFonts w:ascii="Cambria" w:hAnsi="Cambria"/>
          <w:sz w:val="24"/>
        </w:rPr>
        <w:t xml:space="preserve">Resulta procedente extender el plazo, al </w:t>
      </w:r>
      <w:r w:rsidR="003F3DC8">
        <w:rPr>
          <w:rFonts w:ascii="Cambria" w:hAnsi="Cambria"/>
          <w:sz w:val="24"/>
        </w:rPr>
        <w:t>31</w:t>
      </w:r>
      <w:r>
        <w:rPr>
          <w:rFonts w:ascii="Cambria" w:hAnsi="Cambria"/>
          <w:sz w:val="24"/>
        </w:rPr>
        <w:t xml:space="preserve"> de </w:t>
      </w:r>
      <w:r w:rsidR="003F3DC8">
        <w:rPr>
          <w:rFonts w:ascii="Cambria" w:hAnsi="Cambria"/>
          <w:sz w:val="24"/>
        </w:rPr>
        <w:t>en</w:t>
      </w:r>
      <w:r>
        <w:rPr>
          <w:rFonts w:ascii="Cambria" w:hAnsi="Cambria"/>
          <w:sz w:val="24"/>
        </w:rPr>
        <w:t>ero de 2024, para la recepción de la solicitud de información del proyecto enviado en consulta por el Consejo Nacional de Supervisión del Sistema Financiero (CONASSIF) sobre Requerimientos de Capital por Riesgo de Mercado, Tasas de Interés y Crédito, mediante el Acuerdo CNS-1837-2023, artículo 7, del 04 de diciembre del 2023</w:t>
      </w:r>
      <w:r>
        <w:rPr>
          <w:sz w:val="24"/>
        </w:rPr>
        <w:t>.</w:t>
      </w:r>
    </w:p>
    <w:p w:rsidR="00343E3A" w:rsidP="00A96A00" w:rsidRDefault="00343E3A" w14:paraId="489487AB" w14:textId="77777777">
      <w:pPr>
        <w:spacing w:after="120" w:line="240" w:lineRule="auto"/>
        <w:ind w:left="360"/>
        <w:contextualSpacing/>
        <w:rPr>
          <w:sz w:val="24"/>
        </w:rPr>
      </w:pPr>
      <w:r>
        <w:rPr>
          <w:noProof/>
          <w:sz w:val="24"/>
        </w:rPr>
        <w:tab/>
      </w:r>
    </w:p>
    <w:p w:rsidR="00343E3A" w:rsidP="00A96A00" w:rsidRDefault="00343E3A" w14:paraId="05258D81" w14:textId="77777777">
      <w:pPr>
        <w:spacing w:line="240" w:lineRule="auto"/>
        <w:ind w:hanging="10"/>
        <w:contextualSpacing/>
        <w:rPr>
          <w:b/>
          <w:sz w:val="24"/>
        </w:rPr>
      </w:pPr>
      <w:r>
        <w:rPr>
          <w:b/>
          <w:sz w:val="24"/>
          <w:lang w:val="es-CR"/>
        </w:rPr>
        <w:t>Por tanto, d</w:t>
      </w:r>
      <w:r>
        <w:rPr>
          <w:b/>
          <w:sz w:val="24"/>
        </w:rPr>
        <w:t>ispone:</w:t>
      </w:r>
    </w:p>
    <w:p w:rsidR="00343E3A" w:rsidP="00A96A00" w:rsidRDefault="00343E3A" w14:paraId="09D4BD9A" w14:textId="4C9DD126">
      <w:pPr>
        <w:pStyle w:val="Prrafodelista"/>
        <w:numPr>
          <w:ilvl w:val="0"/>
          <w:numId w:val="5"/>
        </w:numPr>
        <w:spacing w:before="120" w:after="120" w:line="240" w:lineRule="auto"/>
        <w:jc w:val="both"/>
        <w:rPr>
          <w:rFonts w:ascii="Cambria" w:hAnsi="Cambria" w:cs="Times New Roman"/>
          <w:sz w:val="24"/>
          <w:szCs w:val="24"/>
        </w:rPr>
      </w:pPr>
      <w:r>
        <w:rPr>
          <w:rFonts w:ascii="Cambria" w:hAnsi="Cambria"/>
          <w:sz w:val="24"/>
          <w:szCs w:val="24"/>
        </w:rPr>
        <w:t xml:space="preserve">Ampliar el plazo a que hace referencia el Dispone 5 de la Circular Externa </w:t>
      </w:r>
      <w:r>
        <w:rPr>
          <w:rFonts w:ascii="Cambria" w:hAnsi="Cambria"/>
          <w:sz w:val="24"/>
        </w:rPr>
        <w:t xml:space="preserve">SGF-3194-2023 </w:t>
      </w:r>
      <w:r>
        <w:rPr>
          <w:rFonts w:ascii="Cambria" w:hAnsi="Cambria"/>
          <w:sz w:val="24"/>
          <w:szCs w:val="24"/>
        </w:rPr>
        <w:t xml:space="preserve">al </w:t>
      </w:r>
      <w:r w:rsidR="00CE234D">
        <w:rPr>
          <w:rFonts w:ascii="Cambria" w:hAnsi="Cambria"/>
          <w:sz w:val="24"/>
          <w:szCs w:val="24"/>
        </w:rPr>
        <w:t>31</w:t>
      </w:r>
      <w:r>
        <w:rPr>
          <w:rFonts w:ascii="Cambria" w:hAnsi="Cambria"/>
          <w:sz w:val="24"/>
          <w:szCs w:val="24"/>
        </w:rPr>
        <w:t xml:space="preserve"> de e</w:t>
      </w:r>
      <w:r w:rsidR="00CE234D">
        <w:rPr>
          <w:rFonts w:ascii="Cambria" w:hAnsi="Cambria"/>
          <w:sz w:val="24"/>
          <w:szCs w:val="24"/>
        </w:rPr>
        <w:t>n</w:t>
      </w:r>
      <w:r>
        <w:rPr>
          <w:rFonts w:ascii="Cambria" w:hAnsi="Cambria"/>
          <w:sz w:val="24"/>
          <w:szCs w:val="24"/>
        </w:rPr>
        <w:t>ero de 2024</w:t>
      </w:r>
      <w:r>
        <w:rPr>
          <w:rFonts w:ascii="Cambria" w:hAnsi="Cambria" w:cs="Times New Roman"/>
          <w:sz w:val="24"/>
          <w:szCs w:val="24"/>
        </w:rPr>
        <w:t>.</w:t>
      </w:r>
    </w:p>
    <w:p w:rsidRPr="00343E3A" w:rsidR="00343E3A" w:rsidP="00A96A00" w:rsidRDefault="00343E3A" w14:paraId="417A8015" w14:textId="77777777">
      <w:pPr>
        <w:spacing w:line="240" w:lineRule="auto"/>
        <w:contextualSpacing/>
        <w:rPr>
          <w:sz w:val="24"/>
          <w:szCs w:val="28"/>
        </w:rPr>
      </w:pPr>
    </w:p>
    <w:p w:rsidRPr="00343E3A" w:rsidR="00343E3A" w:rsidP="00A96A00" w:rsidRDefault="00343E3A" w14:paraId="139075E1" w14:textId="30CA579F">
      <w:pPr>
        <w:pStyle w:val="Texto"/>
        <w:spacing w:before="0" w:after="0" w:line="240" w:lineRule="auto"/>
        <w:contextualSpacing/>
        <w:rPr>
          <w:sz w:val="24"/>
        </w:rPr>
      </w:pPr>
      <w:r w:rsidRPr="00343E3A">
        <w:rPr>
          <w:noProof/>
          <w:sz w:val="24"/>
          <w:szCs w:val="28"/>
        </w:rPr>
        <w:drawing>
          <wp:anchor distT="0" distB="0" distL="114300" distR="114300" simplePos="0" relativeHeight="251658240" behindDoc="1" locked="0" layoutInCell="1" allowOverlap="1" wp14:editId="1D3C63B8" wp14:anchorId="52A3047C">
            <wp:simplePos x="0" y="0"/>
            <wp:positionH relativeFrom="column">
              <wp:posOffset>-129540</wp:posOffset>
            </wp:positionH>
            <wp:positionV relativeFrom="paragraph">
              <wp:posOffset>201930</wp:posOffset>
            </wp:positionV>
            <wp:extent cx="2519680" cy="390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343E3A">
        <w:rPr>
          <w:sz w:val="24"/>
        </w:rPr>
        <w:t>Atentamente,</w:t>
      </w:r>
    </w:p>
    <w:p w:rsidRPr="00343E3A" w:rsidR="00343E3A" w:rsidP="00A96A00" w:rsidRDefault="00343E3A" w14:paraId="280700D2" w14:textId="77777777">
      <w:pPr>
        <w:pStyle w:val="Texto"/>
        <w:spacing w:before="0" w:after="0" w:line="240" w:lineRule="auto"/>
        <w:contextualSpacing/>
        <w:rPr>
          <w:sz w:val="24"/>
        </w:rPr>
      </w:pPr>
    </w:p>
    <w:p w:rsidRPr="00343E3A" w:rsidR="00343E3A" w:rsidP="00A96A00" w:rsidRDefault="00343E3A" w14:paraId="2FB74817" w14:textId="77777777">
      <w:pPr>
        <w:spacing w:line="240" w:lineRule="auto"/>
        <w:contextualSpacing/>
        <w:rPr>
          <w:sz w:val="24"/>
        </w:rPr>
      </w:pPr>
    </w:p>
    <w:p w:rsidRPr="00343E3A" w:rsidR="00343E3A" w:rsidP="00A96A00" w:rsidRDefault="00343E3A" w14:paraId="25555EFE" w14:textId="77777777">
      <w:pPr>
        <w:spacing w:line="240" w:lineRule="auto"/>
        <w:contextualSpacing/>
        <w:rPr>
          <w:sz w:val="24"/>
        </w:rPr>
      </w:pPr>
    </w:p>
    <w:p w:rsidRPr="00343E3A" w:rsidR="00343E3A" w:rsidP="00A96A00" w:rsidRDefault="00343E3A" w14:paraId="5729F86F" w14:textId="77777777">
      <w:pPr>
        <w:spacing w:line="240" w:lineRule="auto"/>
        <w:contextualSpacing/>
        <w:jc w:val="left"/>
        <w:rPr>
          <w:sz w:val="24"/>
        </w:rPr>
      </w:pPr>
      <w:r w:rsidRPr="00343E3A">
        <w:rPr>
          <w:sz w:val="24"/>
        </w:rPr>
        <w:t>José Armando Fallas Martínez</w:t>
      </w:r>
    </w:p>
    <w:p w:rsidRPr="00343E3A" w:rsidR="00343E3A" w:rsidP="00A96A00" w:rsidRDefault="00343E3A" w14:paraId="002CA314" w14:textId="77777777">
      <w:pPr>
        <w:spacing w:line="240" w:lineRule="auto"/>
        <w:contextualSpacing/>
        <w:jc w:val="left"/>
        <w:rPr>
          <w:sz w:val="24"/>
          <w:lang w:val="es-CR"/>
        </w:rPr>
      </w:pPr>
      <w:r w:rsidRPr="00343E3A">
        <w:rPr>
          <w:b/>
          <w:bCs/>
          <w:sz w:val="24"/>
        </w:rPr>
        <w:t>Intendente General</w:t>
      </w:r>
    </w:p>
    <w:p w:rsidRPr="00343E3A" w:rsidR="00343E3A" w:rsidP="00A96A00" w:rsidRDefault="00343E3A" w14:paraId="4B78E732" w14:textId="77777777">
      <w:pPr>
        <w:pStyle w:val="Negrita"/>
        <w:spacing w:line="240" w:lineRule="auto"/>
        <w:contextualSpacing/>
        <w:jc w:val="left"/>
        <w:rPr>
          <w:noProof/>
          <w:sz w:val="24"/>
          <w:lang w:val="es-CR" w:eastAsia="es-CR"/>
        </w:rPr>
      </w:pPr>
    </w:p>
    <w:p w:rsidRPr="00A96A00" w:rsidR="00343E3A" w:rsidP="00A96A00" w:rsidRDefault="00343E3A" w14:paraId="784A3417" w14:textId="77777777">
      <w:pPr>
        <w:spacing w:line="240" w:lineRule="auto"/>
        <w:contextualSpacing/>
        <w:rPr>
          <w:b/>
          <w:bCs/>
          <w:sz w:val="24"/>
          <w:lang w:val="es-CR"/>
        </w:rPr>
      </w:pPr>
      <w:r w:rsidRPr="00A96A00">
        <w:rPr>
          <w:b/>
          <w:bCs/>
          <w:sz w:val="24"/>
          <w:lang w:val="es-CR"/>
        </w:rPr>
        <w:t>GAA/gvl*</w:t>
      </w:r>
    </w:p>
    <w:p w:rsidR="00343E3A" w:rsidP="00A96A00" w:rsidRDefault="00343E3A" w14:paraId="51BD5728" w14:textId="77777777">
      <w:pPr>
        <w:spacing w:line="240" w:lineRule="auto"/>
        <w:contextualSpacing/>
        <w:rPr>
          <w:szCs w:val="22"/>
          <w:lang w:val="es-CR"/>
        </w:rPr>
      </w:pPr>
    </w:p>
    <w:p w:rsidR="00343E3A" w:rsidP="00A96A00" w:rsidRDefault="00343E3A" w14:paraId="67C57CA9" w14:textId="77777777">
      <w:pPr>
        <w:pStyle w:val="Prrafodelista"/>
        <w:numPr>
          <w:ilvl w:val="0"/>
          <w:numId w:val="6"/>
        </w:numPr>
        <w:spacing w:before="120" w:after="120" w:line="240" w:lineRule="auto"/>
        <w:rPr>
          <w:rFonts w:ascii="Cambria" w:hAnsi="Cambria" w:eastAsia="Calibri"/>
        </w:rPr>
      </w:pPr>
      <w:r>
        <w:rPr>
          <w:rFonts w:ascii="Cambria" w:hAnsi="Cambria" w:eastAsia="Calibri"/>
          <w:b/>
          <w:bCs/>
        </w:rPr>
        <w:t xml:space="preserve">Asociación Bancaria Costarricense, </w:t>
      </w:r>
    </w:p>
    <w:p w:rsidR="00343E3A" w:rsidP="00A96A00" w:rsidRDefault="00343E3A" w14:paraId="1E4C4526" w14:textId="77777777">
      <w:pPr>
        <w:pStyle w:val="Prrafodelista"/>
        <w:spacing w:before="120" w:after="120" w:line="240" w:lineRule="auto"/>
        <w:ind w:left="360"/>
        <w:rPr>
          <w:rFonts w:ascii="Cambria" w:hAnsi="Cambria" w:eastAsia="Calibri"/>
        </w:rPr>
      </w:pPr>
      <w:r>
        <w:rPr>
          <w:rFonts w:ascii="Cambria" w:hAnsi="Cambria" w:eastAsia="Calibri"/>
        </w:rPr>
        <w:t xml:space="preserve">Correo electrónico: </w:t>
      </w:r>
      <w:hyperlink w:history="1" r:id="rId13">
        <w:r>
          <w:rPr>
            <w:rStyle w:val="Hipervnculo"/>
            <w:rFonts w:ascii="Cambria" w:hAnsi="Cambria"/>
          </w:rPr>
          <w:t>ejecutiva@abc.fi.cr</w:t>
        </w:r>
      </w:hyperlink>
      <w:r>
        <w:rPr>
          <w:rFonts w:ascii="Cambria" w:hAnsi="Cambria"/>
        </w:rPr>
        <w:t xml:space="preserve"> ; </w:t>
      </w:r>
      <w:hyperlink w:history="1" r:id="rId14">
        <w:r>
          <w:rPr>
            <w:rStyle w:val="Hipervnculo"/>
            <w:rFonts w:ascii="Cambria" w:hAnsi="Cambria" w:eastAsia="Calibri"/>
          </w:rPr>
          <w:t>secretaria@abc.fi.cr</w:t>
        </w:r>
      </w:hyperlink>
      <w:r>
        <w:rPr>
          <w:rFonts w:ascii="Cambria" w:hAnsi="Cambria" w:eastAsia="Calibri"/>
        </w:rPr>
        <w:t xml:space="preserve">; </w:t>
      </w:r>
    </w:p>
    <w:p w:rsidR="00343E3A" w:rsidP="00A96A00" w:rsidRDefault="00343E3A" w14:paraId="6F058FE7" w14:textId="77777777">
      <w:pPr>
        <w:pStyle w:val="Prrafodelista"/>
        <w:spacing w:before="120" w:after="120" w:line="240" w:lineRule="auto"/>
        <w:ind w:left="360"/>
        <w:rPr>
          <w:rFonts w:ascii="Cambria" w:hAnsi="Cambria" w:eastAsia="Calibri"/>
        </w:rPr>
      </w:pPr>
    </w:p>
    <w:p w:rsidR="00343E3A" w:rsidP="00A96A00" w:rsidRDefault="00343E3A" w14:paraId="436E8D99" w14:textId="77777777">
      <w:pPr>
        <w:pStyle w:val="Prrafodelista"/>
        <w:spacing w:before="120" w:after="120" w:line="240" w:lineRule="auto"/>
        <w:ind w:left="360"/>
        <w:rPr>
          <w:rFonts w:ascii="Cambria" w:hAnsi="Cambria" w:eastAsia="Calibri"/>
          <w:b/>
          <w:bCs/>
        </w:rPr>
      </w:pPr>
      <w:r>
        <w:rPr>
          <w:rFonts w:ascii="Cambria" w:hAnsi="Cambria" w:eastAsia="Calibri"/>
          <w:b/>
          <w:bCs/>
        </w:rPr>
        <w:t xml:space="preserve">Cámara de Bancos e Instituciones Financieras de Costa Rica, </w:t>
      </w:r>
    </w:p>
    <w:p w:rsidR="00343E3A" w:rsidP="00A96A00" w:rsidRDefault="00343E3A" w14:paraId="033B0A04" w14:textId="77777777">
      <w:pPr>
        <w:pStyle w:val="Prrafodelista"/>
        <w:spacing w:before="120" w:after="120" w:line="240" w:lineRule="auto"/>
        <w:ind w:left="360"/>
        <w:rPr>
          <w:rFonts w:ascii="Cambria" w:hAnsi="Cambria" w:eastAsia="Calibri"/>
        </w:rPr>
      </w:pPr>
      <w:r>
        <w:rPr>
          <w:rFonts w:ascii="Cambria" w:hAnsi="Cambria" w:eastAsia="Calibri"/>
        </w:rPr>
        <w:t xml:space="preserve">Correo electrónico: </w:t>
      </w:r>
      <w:hyperlink w:history="1" r:id="rId15">
        <w:r>
          <w:rPr>
            <w:rStyle w:val="Hipervnculo"/>
            <w:rFonts w:ascii="Cambria" w:hAnsi="Cambria" w:eastAsia="Calibri"/>
          </w:rPr>
          <w:t>directora@camaradebancos.fi.cr</w:t>
        </w:r>
      </w:hyperlink>
      <w:r>
        <w:rPr>
          <w:rFonts w:ascii="Cambria" w:hAnsi="Cambria" w:eastAsia="Calibri"/>
        </w:rPr>
        <w:t xml:space="preserve">; </w:t>
      </w:r>
      <w:hyperlink w:history="1" r:id="rId16">
        <w:r>
          <w:rPr>
            <w:rStyle w:val="Hipervnculo"/>
            <w:rFonts w:ascii="Cambria" w:hAnsi="Cambria" w:eastAsia="Calibri"/>
          </w:rPr>
          <w:t>arojas@camaradebancos.fi.cr</w:t>
        </w:r>
      </w:hyperlink>
      <w:r>
        <w:rPr>
          <w:rFonts w:ascii="Cambria" w:hAnsi="Cambria" w:eastAsia="Calibri"/>
        </w:rPr>
        <w:t>;</w:t>
      </w:r>
    </w:p>
    <w:p w:rsidR="00343E3A" w:rsidP="00A96A00" w:rsidRDefault="00343E3A" w14:paraId="0AFBF05B" w14:textId="77777777">
      <w:pPr>
        <w:spacing w:line="240" w:lineRule="auto"/>
        <w:contextualSpacing/>
        <w:rPr>
          <w:lang w:val="es-CR"/>
        </w:rPr>
      </w:pPr>
    </w:p>
    <w:p w:rsidRPr="00343E3A" w:rsidR="00E42AAC" w:rsidRDefault="00E42AAC" w14:paraId="3E36786C" w14:textId="77777777">
      <w:pPr>
        <w:rPr>
          <w:lang w:val="es-CR"/>
        </w:rPr>
      </w:pPr>
    </w:p>
    <w:sectPr w:rsidRPr="00343E3A" w:rsidR="00E42AAC">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A8E7" w14:textId="77777777" w:rsidR="00343E3A" w:rsidRDefault="00343E3A" w:rsidP="00181ABF">
      <w:pPr>
        <w:spacing w:line="240" w:lineRule="auto"/>
      </w:pPr>
      <w:r>
        <w:separator/>
      </w:r>
    </w:p>
  </w:endnote>
  <w:endnote w:type="continuationSeparator" w:id="0">
    <w:p w14:paraId="563CE0F1" w14:textId="77777777" w:rsidR="00343E3A" w:rsidRDefault="00343E3A"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369F9084" w14:textId="77777777">
      <w:tc>
        <w:tcPr>
          <w:tcW w:w="7356" w:type="dxa"/>
        </w:tcPr>
        <w:p w:rsidRPr="00637782" w:rsidR="008D6B05" w:rsidP="008D6B05" w:rsidRDefault="008D6B05" w14:paraId="2027A28C"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0632359D" wp14:anchorId="16BA5A98">
                    <wp:simplePos x="0" y="0"/>
                    <wp:positionH relativeFrom="page">
                      <wp:posOffset>0</wp:posOffset>
                    </wp:positionH>
                    <wp:positionV relativeFrom="page">
                      <wp:posOffset>9594215</wp:posOffset>
                    </wp:positionV>
                    <wp:extent cx="7772400" cy="273050"/>
                    <wp:effectExtent l="0" t="0" r="0" b="12700"/>
                    <wp:wrapNone/>
                    <wp:docPr id="4" name="MSIPCMd58e4a0496fd858e1b0e6d0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B05" w:rsidR="008D6B05" w:rsidP="008D6B05" w:rsidRDefault="008D6B05" w14:paraId="4F3F8AF2" w14:textId="77777777">
                                <w:pPr>
                                  <w:jc w:val="center"/>
                                  <w:rPr>
                                    <w:rFonts w:ascii="Calibri" w:hAnsi="Calibri" w:cs="Calibri"/>
                                    <w:color w:val="000000"/>
                                    <w:sz w:val="20"/>
                                  </w:rPr>
                                </w:pPr>
                                <w:r w:rsidRPr="008D6B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6BA5A98">
                    <v:stroke joinstyle="miter"/>
                    <v:path gradientshapeok="t" o:connecttype="rect"/>
                  </v:shapetype>
                  <v:shape id="MSIPCMd58e4a0496fd858e1b0e6d07"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D6B05" w:rsidR="008D6B05" w:rsidP="008D6B05" w:rsidRDefault="008D6B05" w14:paraId="4F3F8AF2" w14:textId="77777777">
                          <w:pPr>
                            <w:jc w:val="center"/>
                            <w:rPr>
                              <w:rFonts w:ascii="Calibri" w:hAnsi="Calibri" w:cs="Calibri"/>
                              <w:color w:val="000000"/>
                              <w:sz w:val="20"/>
                            </w:rPr>
                          </w:pPr>
                          <w:r w:rsidRPr="008D6B05">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825A38" w:rsidP="00181ABF" w:rsidRDefault="00825A38" w14:paraId="2B939B72" w14:textId="77777777">
          <w:pPr>
            <w:pStyle w:val="Piedepgina"/>
            <w:rPr>
              <w:b/>
              <w:color w:val="7F7F7F" w:themeColor="text1" w:themeTint="80"/>
              <w:sz w:val="16"/>
              <w:szCs w:val="16"/>
            </w:rPr>
          </w:pPr>
        </w:p>
      </w:tc>
      <w:tc>
        <w:tcPr>
          <w:tcW w:w="1472" w:type="dxa"/>
        </w:tcPr>
        <w:p w:rsidRPr="009349F3" w:rsidR="00825A38" w:rsidP="00181ABF" w:rsidRDefault="00825A38" w14:paraId="58BF1BE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2277F8F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C845" w14:textId="77777777" w:rsidR="00343E3A" w:rsidRDefault="00343E3A" w:rsidP="00181ABF">
      <w:pPr>
        <w:spacing w:line="240" w:lineRule="auto"/>
      </w:pPr>
      <w:r>
        <w:separator/>
      </w:r>
    </w:p>
  </w:footnote>
  <w:footnote w:type="continuationSeparator" w:id="0">
    <w:p w14:paraId="3B53EA9C" w14:textId="77777777" w:rsidR="00343E3A" w:rsidRDefault="00343E3A"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BA2BA3" w14:paraId="15E8F73B" w14:textId="77777777">
    <w:pPr>
      <w:pStyle w:val="Encabezado"/>
    </w:pPr>
    <w:r>
      <w:rPr>
        <w:noProof/>
      </w:rPr>
      <w:drawing>
        <wp:anchor distT="0" distB="0" distL="114300" distR="114300" simplePos="0" relativeHeight="251662336" behindDoc="1" locked="0" layoutInCell="1" allowOverlap="1" wp14:editId="5F4C8C97" wp14:anchorId="4666580C">
          <wp:simplePos x="0" y="0"/>
          <wp:positionH relativeFrom="page">
            <wp:align>right</wp:align>
          </wp:positionH>
          <wp:positionV relativeFrom="paragraph">
            <wp:posOffset>-448835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825A38" w:rsidRDefault="00181ABF" w14:paraId="25613E1E"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7DF0524"/>
    <w:multiLevelType w:val="hybridMultilevel"/>
    <w:tmpl w:val="E5D25932"/>
    <w:lvl w:ilvl="0" w:tplc="140A0015">
      <w:start w:val="3"/>
      <w:numFmt w:val="upp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5" w15:restartNumberingAfterBreak="0">
    <w:nsid w:val="776D6C94"/>
    <w:multiLevelType w:val="hybridMultilevel"/>
    <w:tmpl w:val="42460A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109810676">
    <w:abstractNumId w:val="0"/>
  </w:num>
  <w:num w:numId="2" w16cid:durableId="1883442161">
    <w:abstractNumId w:val="3"/>
  </w:num>
  <w:num w:numId="3" w16cid:durableId="367486916">
    <w:abstractNumId w:val="4"/>
  </w:num>
  <w:num w:numId="4" w16cid:durableId="2128116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3708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49007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3A"/>
    <w:rsid w:val="000202E3"/>
    <w:rsid w:val="0003462A"/>
    <w:rsid w:val="00181ABF"/>
    <w:rsid w:val="00226DDC"/>
    <w:rsid w:val="003172BE"/>
    <w:rsid w:val="00343E3A"/>
    <w:rsid w:val="003F3DC8"/>
    <w:rsid w:val="0046105A"/>
    <w:rsid w:val="007E6693"/>
    <w:rsid w:val="00825A38"/>
    <w:rsid w:val="008C7F0D"/>
    <w:rsid w:val="008D6B05"/>
    <w:rsid w:val="00937EF0"/>
    <w:rsid w:val="00A96A00"/>
    <w:rsid w:val="00BA2BA3"/>
    <w:rsid w:val="00CE234D"/>
    <w:rsid w:val="00D2422E"/>
    <w:rsid w:val="00D67CC3"/>
    <w:rsid w:val="00D90222"/>
    <w:rsid w:val="00DF2ACF"/>
    <w:rsid w:val="00E42AAC"/>
    <w:rsid w:val="00E74446"/>
    <w:rsid w:val="00E93460"/>
    <w:rsid w:val="00F961D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727A9"/>
  <w15:chartTrackingRefBased/>
  <w15:docId w15:val="{4E7E6F4A-1CBF-4A36-A19D-A48CEC68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43E3A"/>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343E3A"/>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343E3A"/>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rsid w:val="00343E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jecutiva@abc.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ojas@camaradebancos.fi.c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irectora@camaradebancos.fi.c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retaria@abc.fi.cr" TargetMode="Externa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FD1486CDA04CE2A3D99B29D5EB4651"/>
        <w:category>
          <w:name w:val="General"/>
          <w:gallery w:val="placeholder"/>
        </w:category>
        <w:types>
          <w:type w:val="bbPlcHdr"/>
        </w:types>
        <w:behaviors>
          <w:behavior w:val="content"/>
        </w:behaviors>
        <w:guid w:val="{93B29AF9-A12F-4D47-A921-0DA7CE0C3BF3}"/>
      </w:docPartPr>
      <w:docPartBody>
        <w:p w:rsidR="00A56533" w:rsidRDefault="00DC3439" w:rsidP="00DC3439">
          <w:pPr>
            <w:pStyle w:val="44FD1486CDA04CE2A3D99B29D5EB4651"/>
          </w:pPr>
          <w:r>
            <w:rPr>
              <w:rStyle w:val="Textodelmarcadordeposicin"/>
            </w:rPr>
            <w:t>Haga clic aquí para escribir texto.</w:t>
          </w:r>
        </w:p>
      </w:docPartBody>
    </w:docPart>
    <w:docPart>
      <w:docPartPr>
        <w:name w:val="53F9F327FB09447BACEFABC5EBA2D22B"/>
        <w:category>
          <w:name w:val="General"/>
          <w:gallery w:val="placeholder"/>
        </w:category>
        <w:types>
          <w:type w:val="bbPlcHdr"/>
        </w:types>
        <w:behaviors>
          <w:behavior w:val="content"/>
        </w:behaviors>
        <w:guid w:val="{ADFD8C22-3343-48C4-BCA8-DB791565FDBF}"/>
      </w:docPartPr>
      <w:docPartBody>
        <w:p w:rsidR="00A56533" w:rsidRDefault="00DC3439" w:rsidP="00DC3439">
          <w:pPr>
            <w:pStyle w:val="53F9F327FB09447BACEFABC5EBA2D22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39"/>
    <w:rsid w:val="00A56533"/>
    <w:rsid w:val="00DC34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3439"/>
  </w:style>
  <w:style w:type="paragraph" w:customStyle="1" w:styleId="44FD1486CDA04CE2A3D99B29D5EB4651">
    <w:name w:val="44FD1486CDA04CE2A3D99B29D5EB4651"/>
    <w:rsid w:val="00DC3439"/>
  </w:style>
  <w:style w:type="paragraph" w:customStyle="1" w:styleId="53F9F327FB09447BACEFABC5EBA2D22B">
    <w:name w:val="53F9F327FB09447BACEFABC5EBA2D22B"/>
    <w:rsid w:val="00DC3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IlL+MdoXUOsEx287MzOrkRCvYtYLNckRpTgbHumUi1Q=</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IUQPm9cn9wJiXMSueMx15uyiVfWb+O4xCHDYEdt/gog=</DigestValue>
    </Reference>
  </SignedInfo>
  <SignatureValue>DeQJ/W7NKVnLSaf69blH3uP6Isq8igEvS/D0zB6yEeZAjl4baDcVRNySyYgSp62GIyWj0NA+QtuX
xsLkSlIpSL2c+S32BbT/gxlYt9qz0vJlltreY85uGx8s0nr7UyVMROxk+eoIVdJVWA9bRjXsgAJ3
LgBSSQbqPEgYWVtzzpW6ywCX0afnTB/1hzJFG7r7ocCOjBRsHRPgErMwAjJ2UZ6LYN7jKzbrr3D/
OqMIcTqtfq0GnVU8UC27ZzM1IoCJER9BuBIZgZ6aK0KVuLUsro9eJ5JzL+Wq9WnsQopS91/JoiF/
MBSaIj1fa9ll/6snPdGJ+zYhaKQegSBgqIIM8g==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OdU/6fHPMqdVYLqqAgdOGDNZ8NN3XwKFF7tVeB2ksWA=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KvEHsiAx0sQz3V6Pxfqln034G75z2cG7pcmoa+vgolw=</DigestValue>
      </Reference>
      <Reference URI="/word/endnotes.xml?ContentType=application/vnd.openxmlformats-officedocument.wordprocessingml.endnotes+xml">
        <DigestMethod Algorithm="http://www.w3.org/2001/04/xmlenc#sha256"/>
        <DigestValue>zEBmOQABGK5E+oM5QnUld02zwNFO6UELpkoEAPDWONI=</DigestValue>
      </Reference>
      <Reference URI="/word/fontTable.xml?ContentType=application/vnd.openxmlformats-officedocument.wordprocessingml.fontTable+xml">
        <DigestMethod Algorithm="http://www.w3.org/2001/04/xmlenc#sha256"/>
        <DigestValue>FmK+anorUjtJkYiVRUz5x0W75qtU5WdjEaGJK+0pBeM=</DigestValue>
      </Reference>
      <Reference URI="/word/footer1.xml?ContentType=application/vnd.openxmlformats-officedocument.wordprocessingml.footer+xml">
        <DigestMethod Algorithm="http://www.w3.org/2001/04/xmlenc#sha256"/>
        <DigestValue>xp5Cv1XoGpLjkWoWDTKO65pvaJQ7MtQC/5ujmMuaq00=</DigestValue>
      </Reference>
      <Reference URI="/word/footnotes.xml?ContentType=application/vnd.openxmlformats-officedocument.wordprocessingml.footnotes+xml">
        <DigestMethod Algorithm="http://www.w3.org/2001/04/xmlenc#sha256"/>
        <DigestValue>tPg3m1G2wogaKe3oMmfBj52ICiD1IICA9wOFBGQLBf8=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AVdzBz5drsGimlvJDZqK/ytl5XOdWy6gbCQWfxuNQKE=</DigestValue>
      </Reference>
      <Reference URI="/word/glossary/fontTable.xml?ContentType=application/vnd.openxmlformats-officedocument.wordprocessingml.fontTable+xml">
        <DigestMethod Algorithm="http://www.w3.org/2001/04/xmlenc#sha256"/>
        <DigestValue>FmK+anorUjtJkYiVRUz5x0W75qtU5WdjEaGJK+0pBeM=</DigestValue>
      </Reference>
      <Reference URI="/word/glossary/settings.xml?ContentType=application/vnd.openxmlformats-officedocument.wordprocessingml.settings+xml">
        <DigestMethod Algorithm="http://www.w3.org/2001/04/xmlenc#sha256"/>
        <DigestValue>SMBYfkLB0+St77TdGL2VelCyeXENfT29tyCp50R0jSQ=</DigestValue>
      </Reference>
      <Reference URI="/word/glossary/styles.xml?ContentType=application/vnd.openxmlformats-officedocument.wordprocessingml.styles+xml">
        <DigestMethod Algorithm="http://www.w3.org/2001/04/xmlenc#sha256"/>
        <DigestValue>kOsShxN2qpBDYgG364aleFfqaKnAU+3buvK0Blnl7dU=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GdWEpiA/yvN+bLdS44VmStC3VoWedbuo3+XE4mWDHiU=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F1LvJslbqJFPLlyGKzTPsP7fge6nvF6DkN020Qvemp4=</DigestValue>
      </Reference>
      <Reference URI="/word/settings.xml?ContentType=application/vnd.openxmlformats-officedocument.wordprocessingml.settings+xml">
        <DigestMethod Algorithm="http://www.w3.org/2001/04/xmlenc#sha256"/>
        <DigestValue>wV4WoIDoUGAfDUCvdC6KiKb2pHc11cXlOmy8JDtQIDk=</DigestValue>
      </Reference>
      <Reference URI="/word/styles.xml?ContentType=application/vnd.openxmlformats-officedocument.wordprocessingml.styles+xml">
        <DigestMethod Algorithm="http://www.w3.org/2001/04/xmlenc#sha256"/>
        <DigestValue>TZMmJoc75vlPe+TqOA9vg5FNYgCEojukbyyPrlLEpyo=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wLHyPO7DpM43/a36gHdYWSDS/hnGY6RMesDeaa1YI2Y=</DigestValue>
      </Reference>
    </Manifest>
    <SignatureProperties>
      <SignatureProperty Id="idSignatureTime" Target="#idPackageSignature">
        <mdssi:SignatureTime xmlns:mdssi="http://schemas.openxmlformats.org/package/2006/digital-signature">
          <mdssi:Format>YYYY-MM-DDThh:mm:ssTZD</mdssi:Format>
          <mdssi:Value>2024-01-15T21:46:32Z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2024-01-15T21:46:32Z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vdGPsfBtA5Hp03gxB0XxY9lX/MxFG5T2FlRpT7xvBaECBBhvUF0YDzIwMjQwMTE1MjE0Nj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Yiu4VFr/TH2iISkRui1L/rZyVtw=</xd:ByKey>
                  </xd:ResponderID>
                  <xd:ProducedAt>2024-01-15T17:08:06Z</xd:ProducedAt>
                </xd:OCSPIdentifier>
                <xd:DigestAlgAndValue>
                  <DigestMethod Algorithm="http://www.w3.org/2001/04/xmlenc#sha256"/>
                  <DigestValue>/HG0v1lxKcm7EeExYBinBnW0CRaM9407ftUy2O41ti4=</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5oCapZc4z/D3wnNvhWf1I1aXF1KaUiZelC1fycIFU18CBBhvUGAYDzIwMjQwMTE1MjE0Nj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518</Value>
      <Value>1</Value>
      <Value>3</Value>
      <Value>2</Value>
      <Value>426</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Informar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Ampliación Plazo Circular Externa SGF-3194-2023</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0D7F21FC-FD32-408D-9F0A-79AE94C681A9}"/>
</file>

<file path=customXml/itemProps2.xml><?xml version="1.0" encoding="utf-8"?>
<ds:datastoreItem xmlns:ds="http://schemas.openxmlformats.org/officeDocument/2006/customXml" ds:itemID="{897877BF-7EAA-46B7-8339-ECE9289922ED}"/>
</file>

<file path=customXml/itemProps3.xml><?xml version="1.0" encoding="utf-8"?>
<ds:datastoreItem xmlns:ds="http://schemas.openxmlformats.org/officeDocument/2006/customXml" ds:itemID="{9E241574-3D5B-4234-9DD6-DE57D741D1A2}"/>
</file>

<file path=customXml/itemProps4.xml><?xml version="1.0" encoding="utf-8"?>
<ds:datastoreItem xmlns:ds="http://schemas.openxmlformats.org/officeDocument/2006/customXml" ds:itemID="{5B6207B5-5EA2-4E93-BCCE-C08E854E3938}"/>
</file>

<file path=customXml/itemProps5.xml><?xml version="1.0" encoding="utf-8"?>
<ds:datastoreItem xmlns:ds="http://schemas.openxmlformats.org/officeDocument/2006/customXml" ds:itemID="{52780594-AB04-4D39-93A3-006DB28DB50B}"/>
</file>

<file path=customXml/itemProps6.xml><?xml version="1.0" encoding="utf-8"?>
<ds:datastoreItem xmlns:ds="http://schemas.openxmlformats.org/officeDocument/2006/customXml" ds:itemID="{1715EDA6-430C-48FF-A87B-006A912358F6}"/>
</file>

<file path=docProps/app.xml><?xml version="1.0" encoding="utf-8"?>
<Properties xmlns="http://schemas.openxmlformats.org/officeDocument/2006/extended-properties" xmlns:vt="http://schemas.openxmlformats.org/officeDocument/2006/docPropsVTypes">
  <Template>plantilla-SGF-DST-DNO-22.dotx</Template>
  <TotalTime>10</TotalTime>
  <Pages>2</Pages>
  <Words>633</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9</cp:revision>
  <dcterms:created xsi:type="dcterms:W3CDTF">2024-01-09T16:12:00Z</dcterms:created>
  <dcterms:modified xsi:type="dcterms:W3CDTF">2024-01-15T16:51:00Z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Order">
    <vt:r8>143800</vt:r8>
  </property>
  <property fmtid="{D5CDD505-2E9C-101B-9397-08002B2CF9AE}" pid="12" name="MSIP_Label_b8b4be34-365a-4a68-b9fb-75c1b6874315_Enabled">
    <vt:lpwstr>true</vt:lpwstr>
  </property>
  <property fmtid="{D5CDD505-2E9C-101B-9397-08002B2CF9AE}" pid="13" name="MSIP_Label_b8b4be34-365a-4a68-b9fb-75c1b6874315_SetDate">
    <vt:lpwstr>2024-01-15T16:51:11Z</vt:lpwstr>
  </property>
  <property fmtid="{D5CDD505-2E9C-101B-9397-08002B2CF9AE}" pid="14" name="MSIP_Label_b8b4be34-365a-4a68-b9fb-75c1b6874315_Method">
    <vt:lpwstr>Standard</vt:lpwstr>
  </property>
  <property fmtid="{D5CDD505-2E9C-101B-9397-08002B2CF9AE}" pid="15" name="MSIP_Label_b8b4be34-365a-4a68-b9fb-75c1b6874315_Name">
    <vt:lpwstr>b8b4be34-365a-4a68-b9fb-75c1b6874315</vt:lpwstr>
  </property>
  <property fmtid="{D5CDD505-2E9C-101B-9397-08002B2CF9AE}" pid="16" name="MSIP_Label_b8b4be34-365a-4a68-b9fb-75c1b6874315_SiteId">
    <vt:lpwstr>618d0a45-25a6-4618-9f80-8f70a435ee52</vt:lpwstr>
  </property>
  <property fmtid="{D5CDD505-2E9C-101B-9397-08002B2CF9AE}" pid="17" name="MSIP_Label_b8b4be34-365a-4a68-b9fb-75c1b6874315_ActionId">
    <vt:lpwstr>e922bb4b-62fc-4928-947c-a7b18f18ca21</vt:lpwstr>
  </property>
  <property fmtid="{D5CDD505-2E9C-101B-9397-08002B2CF9AE}" pid="18" name="MSIP_Label_b8b4be34-365a-4a68-b9fb-75c1b6874315_ContentBits">
    <vt:lpwstr>2</vt:lpwstr>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f1fd9d7f-da86-405a-9476-87cbb240632e,6;36e1af0c-2eec-499f-b304-a394df1aa266,9;</vt:lpwstr>
  </property>
</Properties>
</file>