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8000B" w14:textId="0C9B6138" w:rsidR="00412D43" w:rsidRDefault="008D7BF6" w:rsidP="00A71EBE">
      <w:pPr>
        <w:pStyle w:val="Texto0"/>
        <w:spacing w:before="0" w:after="0" w:line="240" w:lineRule="auto"/>
        <w:rPr>
          <w:rFonts w:asciiTheme="majorHAnsi" w:hAnsiTheme="majorHAnsi"/>
          <w:b/>
          <w:sz w:val="24"/>
        </w:rPr>
      </w:pPr>
      <w:r w:rsidRPr="008D7BF6">
        <w:rPr>
          <w:b/>
          <w:sz w:val="24"/>
        </w:rPr>
        <w:t>SGF-</w:t>
      </w:r>
      <w:r w:rsidR="00A71EBE">
        <w:rPr>
          <w:b/>
          <w:sz w:val="24"/>
        </w:rPr>
        <w:t>2838-2016</w:t>
      </w:r>
      <w:r w:rsidRPr="008D7BF6">
        <w:rPr>
          <w:b/>
          <w:sz w:val="24"/>
        </w:rPr>
        <w:t xml:space="preserve"> </w:t>
      </w:r>
      <w:sdt>
        <w:sdtPr>
          <w:rPr>
            <w:rFonts w:asciiTheme="majorHAnsi" w:hAnsiTheme="majorHAnsi"/>
            <w:b/>
            <w:sz w:val="24"/>
          </w:rPr>
          <w:id w:val="1447896894"/>
          <w:placeholder>
            <w:docPart w:val="45368103C803482B8CB65284B5A114B8"/>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0079F" w:rsidRPr="008D7BF6">
            <w:rPr>
              <w:rFonts w:asciiTheme="majorHAnsi" w:hAnsiTheme="majorHAnsi"/>
              <w:b/>
              <w:sz w:val="24"/>
            </w:rPr>
            <w:t>SGF-PUBLICO</w:t>
          </w:r>
        </w:sdtContent>
      </w:sdt>
      <w:r w:rsidR="00C0079F" w:rsidRPr="00611DCE">
        <w:rPr>
          <w:rFonts w:asciiTheme="majorHAnsi" w:hAnsiTheme="majorHAnsi"/>
          <w:b/>
          <w:sz w:val="24"/>
        </w:rPr>
        <w:t xml:space="preserve"> </w:t>
      </w:r>
    </w:p>
    <w:p w14:paraId="2A9AB841" w14:textId="2F6C8D3A" w:rsidR="00A71EBE" w:rsidRPr="00A71EBE" w:rsidRDefault="00A71EBE" w:rsidP="00A71EBE">
      <w:pPr>
        <w:pStyle w:val="Texto0"/>
        <w:spacing w:before="0" w:after="0" w:line="240" w:lineRule="auto"/>
        <w:rPr>
          <w:rFonts w:asciiTheme="majorHAnsi" w:hAnsiTheme="majorHAnsi"/>
          <w:sz w:val="24"/>
        </w:rPr>
      </w:pPr>
      <w:r w:rsidRPr="00A71EBE">
        <w:rPr>
          <w:rFonts w:asciiTheme="majorHAnsi" w:hAnsiTheme="majorHAnsi"/>
          <w:sz w:val="24"/>
        </w:rPr>
        <w:t>30 de agosto del 2016</w:t>
      </w:r>
    </w:p>
    <w:p w14:paraId="3F80AB1E" w14:textId="77777777" w:rsidR="00412D43" w:rsidRDefault="00412D43" w:rsidP="00412D43">
      <w:pPr>
        <w:pStyle w:val="Texto0"/>
        <w:spacing w:line="240" w:lineRule="auto"/>
        <w:rPr>
          <w:rFonts w:asciiTheme="majorHAnsi" w:hAnsiTheme="majorHAnsi"/>
          <w:b/>
          <w:sz w:val="24"/>
        </w:rPr>
      </w:pPr>
    </w:p>
    <w:p w14:paraId="3D9773B2" w14:textId="77777777" w:rsidR="00412D43" w:rsidRPr="00412D43" w:rsidRDefault="00412D43" w:rsidP="00412D43">
      <w:pPr>
        <w:jc w:val="center"/>
        <w:rPr>
          <w:b/>
          <w:sz w:val="32"/>
          <w:szCs w:val="32"/>
        </w:rPr>
      </w:pPr>
      <w:r w:rsidRPr="00412D43">
        <w:rPr>
          <w:b/>
          <w:sz w:val="32"/>
          <w:szCs w:val="32"/>
        </w:rPr>
        <w:t>CIRCULAR EXTERNA</w:t>
      </w:r>
    </w:p>
    <w:p w14:paraId="763E5152" w14:textId="77777777" w:rsidR="00412D43" w:rsidRPr="00412D43" w:rsidRDefault="00412D43" w:rsidP="00412D43">
      <w:pPr>
        <w:jc w:val="center"/>
        <w:rPr>
          <w:b/>
          <w:sz w:val="28"/>
          <w:szCs w:val="28"/>
        </w:rPr>
      </w:pPr>
      <w:r w:rsidRPr="00412D43">
        <w:rPr>
          <w:b/>
          <w:sz w:val="28"/>
          <w:szCs w:val="28"/>
        </w:rPr>
        <w:t>A TODAS LAS ENTIDADES SUPERVISADAS, SOCIEDADES Y ENTIDADES CONTROLADORAS DE LOS GRUPOS Y CONGLOMERADOS FINANCIEROS REGISTRADOS ANTE LA SUPERINTENDENCIA GENERAL DE ENTIDADES FINANCIERAS,</w:t>
      </w:r>
    </w:p>
    <w:p w14:paraId="4FC2B8F0" w14:textId="77777777" w:rsidR="00412D43" w:rsidRPr="00412D43" w:rsidRDefault="00412D43" w:rsidP="00412D43">
      <w:pPr>
        <w:rPr>
          <w:sz w:val="24"/>
        </w:rPr>
      </w:pPr>
    </w:p>
    <w:p w14:paraId="7C3DBCA8" w14:textId="77777777" w:rsidR="00412D43" w:rsidRPr="00412D43" w:rsidRDefault="00412D43" w:rsidP="00412D43">
      <w:pPr>
        <w:spacing w:line="240" w:lineRule="auto"/>
        <w:rPr>
          <w:bCs/>
          <w:sz w:val="24"/>
        </w:rPr>
      </w:pPr>
      <w:r w:rsidRPr="00412D43">
        <w:rPr>
          <w:b/>
          <w:bCs/>
          <w:sz w:val="24"/>
        </w:rPr>
        <w:t>Asunto</w:t>
      </w:r>
      <w:r w:rsidRPr="00412D43">
        <w:rPr>
          <w:bCs/>
          <w:sz w:val="24"/>
        </w:rPr>
        <w:t>: Comunicado sobre la remisión de información.</w:t>
      </w:r>
    </w:p>
    <w:p w14:paraId="677B6154" w14:textId="77777777" w:rsidR="00412D43" w:rsidRPr="00412D43" w:rsidRDefault="00412D43" w:rsidP="00412D43">
      <w:pPr>
        <w:rPr>
          <w:sz w:val="24"/>
        </w:rPr>
      </w:pPr>
    </w:p>
    <w:p w14:paraId="0351CDBA" w14:textId="77777777" w:rsidR="00412D43" w:rsidRPr="00412D43" w:rsidRDefault="00412D43" w:rsidP="00412D43">
      <w:pPr>
        <w:rPr>
          <w:b/>
          <w:sz w:val="24"/>
        </w:rPr>
      </w:pPr>
      <w:r w:rsidRPr="00412D43">
        <w:rPr>
          <w:b/>
          <w:sz w:val="24"/>
        </w:rPr>
        <w:t>Considerando,</w:t>
      </w:r>
    </w:p>
    <w:p w14:paraId="744E15DC" w14:textId="77777777" w:rsidR="00412D43" w:rsidRPr="00412D43" w:rsidRDefault="00412D43" w:rsidP="00412D43">
      <w:pPr>
        <w:rPr>
          <w:sz w:val="24"/>
        </w:rPr>
      </w:pPr>
    </w:p>
    <w:p w14:paraId="72A98917" w14:textId="77777777" w:rsidR="00412D43" w:rsidRPr="00412D43" w:rsidRDefault="00412D43" w:rsidP="00412D43">
      <w:pPr>
        <w:numPr>
          <w:ilvl w:val="0"/>
          <w:numId w:val="20"/>
        </w:numPr>
        <w:autoSpaceDE w:val="0"/>
        <w:autoSpaceDN w:val="0"/>
        <w:adjustRightInd w:val="0"/>
        <w:spacing w:line="240" w:lineRule="auto"/>
        <w:rPr>
          <w:rFonts w:eastAsia="MS Mincho"/>
          <w:color w:val="000000"/>
          <w:sz w:val="24"/>
          <w:lang w:val="es-CR" w:eastAsia="es-CR"/>
        </w:rPr>
      </w:pPr>
      <w:r w:rsidRPr="00412D43">
        <w:rPr>
          <w:rFonts w:eastAsia="MS Mincho"/>
          <w:color w:val="000000"/>
          <w:sz w:val="24"/>
          <w:lang w:val="es-CR" w:eastAsia="es-CR"/>
        </w:rPr>
        <w:t>Que el Consejo Nacional de Supervisión del Sistema Financiero, mediante artículo 12, del acta de la sesión 1251-2016, celebrada el 10 de mayo del 2016, aprobó el Acuerdo SUGEF 15-16 “</w:t>
      </w:r>
      <w:r w:rsidRPr="00412D43">
        <w:rPr>
          <w:rFonts w:eastAsia="MS Mincho"/>
          <w:i/>
          <w:color w:val="000000"/>
          <w:sz w:val="24"/>
          <w:lang w:val="es-CR" w:eastAsia="es-CR"/>
        </w:rPr>
        <w:t>Reglamento sobre gestión y evaluación del riesgo de crédito para el Sistema de Banca para el Desarrollo”</w:t>
      </w:r>
      <w:r w:rsidRPr="00412D43">
        <w:rPr>
          <w:rFonts w:eastAsia="MS Mincho"/>
          <w:color w:val="000000"/>
          <w:sz w:val="24"/>
          <w:lang w:val="es-CR" w:eastAsia="es-CR"/>
        </w:rPr>
        <w:t>. Dicho Reglamento fue publicado en el Alcance Nº 97 de La Gaceta Nº 114 del 14 de junio del 2016, y su entrada en vigencia se dispuso para octubre del 2016.</w:t>
      </w:r>
    </w:p>
    <w:p w14:paraId="6CFD24F9" w14:textId="77777777" w:rsidR="00412D43" w:rsidRPr="00412D43" w:rsidRDefault="00412D43" w:rsidP="00412D43">
      <w:pPr>
        <w:autoSpaceDE w:val="0"/>
        <w:autoSpaceDN w:val="0"/>
        <w:adjustRightInd w:val="0"/>
        <w:spacing w:line="240" w:lineRule="auto"/>
        <w:ind w:left="720"/>
        <w:rPr>
          <w:rFonts w:eastAsia="MS Mincho"/>
          <w:color w:val="000000"/>
          <w:sz w:val="24"/>
          <w:lang w:val="es-CR" w:eastAsia="es-CR"/>
        </w:rPr>
      </w:pPr>
    </w:p>
    <w:p w14:paraId="46805AC5" w14:textId="77777777" w:rsidR="00412D43" w:rsidRPr="00412D43" w:rsidRDefault="00412D43" w:rsidP="00412D43">
      <w:pPr>
        <w:numPr>
          <w:ilvl w:val="0"/>
          <w:numId w:val="20"/>
        </w:numPr>
        <w:autoSpaceDE w:val="0"/>
        <w:autoSpaceDN w:val="0"/>
        <w:adjustRightInd w:val="0"/>
        <w:spacing w:line="240" w:lineRule="auto"/>
        <w:rPr>
          <w:rFonts w:eastAsia="MS Mincho"/>
          <w:color w:val="000000"/>
          <w:sz w:val="24"/>
          <w:lang w:val="es-CR" w:eastAsia="es-CR"/>
        </w:rPr>
      </w:pPr>
      <w:r w:rsidRPr="00412D43">
        <w:rPr>
          <w:rFonts w:eastAsia="MS Mincho"/>
          <w:color w:val="000000"/>
          <w:sz w:val="24"/>
          <w:lang w:val="es-CR" w:eastAsia="es-CR"/>
        </w:rPr>
        <w:t>Que el Consejo Nacional de Supervisión del Sistema Financiero, mediante artículo 6 del acta de la sesión 1258-2016, celebrada el 7 de junio del 2016, aprobó una serie de reformas a los Acuerdos SUGEF 1-05 y SUGEF 3-06. Dichas reformas fueron publicadas en el Alcance Nº 100 a La Gaceta Nº 117 del 17 de junio del 2016, y su entrada en vigencia se dispuso para setiembre del 2016.</w:t>
      </w:r>
    </w:p>
    <w:p w14:paraId="45270A36" w14:textId="77777777" w:rsidR="00412D43" w:rsidRPr="00412D43" w:rsidRDefault="00412D43" w:rsidP="00412D43">
      <w:pPr>
        <w:autoSpaceDE w:val="0"/>
        <w:autoSpaceDN w:val="0"/>
        <w:adjustRightInd w:val="0"/>
        <w:spacing w:line="240" w:lineRule="auto"/>
        <w:ind w:left="720"/>
        <w:rPr>
          <w:rFonts w:eastAsia="MS Mincho"/>
          <w:color w:val="000000"/>
          <w:sz w:val="24"/>
          <w:lang w:val="es-CR" w:eastAsia="es-CR"/>
        </w:rPr>
      </w:pPr>
    </w:p>
    <w:p w14:paraId="05BFA0DF" w14:textId="77777777" w:rsidR="00412D43" w:rsidRPr="00412D43" w:rsidRDefault="00412D43" w:rsidP="00412D43">
      <w:pPr>
        <w:numPr>
          <w:ilvl w:val="0"/>
          <w:numId w:val="20"/>
        </w:numPr>
        <w:autoSpaceDE w:val="0"/>
        <w:autoSpaceDN w:val="0"/>
        <w:adjustRightInd w:val="0"/>
        <w:spacing w:line="240" w:lineRule="auto"/>
        <w:rPr>
          <w:rFonts w:eastAsia="MS Mincho"/>
          <w:color w:val="000000"/>
          <w:sz w:val="24"/>
          <w:lang w:val="es-CR" w:eastAsia="es-CR"/>
        </w:rPr>
      </w:pPr>
      <w:r w:rsidRPr="00412D43">
        <w:rPr>
          <w:rFonts w:eastAsia="MS Mincho"/>
          <w:color w:val="000000"/>
          <w:sz w:val="24"/>
          <w:lang w:val="es-CR" w:eastAsia="es-CR"/>
        </w:rPr>
        <w:t>Que el conjunto de cambios de ambas reformas plantean modificaciones al Sistema de Captura, Verificación y Carga de Datos de la Superintendencia (SICVECA) en las Clases de datos de la Información de Operaciones Crediticias y Garantías.</w:t>
      </w:r>
    </w:p>
    <w:p w14:paraId="238B4A07" w14:textId="77777777" w:rsidR="00412D43" w:rsidRPr="00412D43" w:rsidRDefault="00412D43" w:rsidP="00412D43">
      <w:pPr>
        <w:spacing w:line="240" w:lineRule="auto"/>
        <w:ind w:left="720"/>
        <w:contextualSpacing/>
        <w:jc w:val="left"/>
        <w:rPr>
          <w:rFonts w:eastAsia="MS Mincho"/>
          <w:sz w:val="24"/>
          <w:lang w:eastAsia="es-ES"/>
        </w:rPr>
      </w:pPr>
    </w:p>
    <w:p w14:paraId="31A3BF2B" w14:textId="77777777" w:rsidR="00412D43" w:rsidRPr="00412D43" w:rsidRDefault="00412D43" w:rsidP="00412D43">
      <w:pPr>
        <w:numPr>
          <w:ilvl w:val="0"/>
          <w:numId w:val="20"/>
        </w:numPr>
        <w:autoSpaceDE w:val="0"/>
        <w:autoSpaceDN w:val="0"/>
        <w:adjustRightInd w:val="0"/>
        <w:spacing w:line="240" w:lineRule="auto"/>
        <w:rPr>
          <w:rFonts w:eastAsia="MS Mincho"/>
          <w:color w:val="000000"/>
          <w:sz w:val="24"/>
          <w:lang w:val="es-CR" w:eastAsia="es-CR"/>
        </w:rPr>
      </w:pPr>
      <w:r w:rsidRPr="00412D43">
        <w:rPr>
          <w:rFonts w:eastAsia="MS Mincho"/>
          <w:color w:val="000000"/>
          <w:sz w:val="24"/>
          <w:lang w:val="es-CR" w:eastAsia="es-CR"/>
        </w:rPr>
        <w:t xml:space="preserve">Que dado el plazo que las entidades requieren para la programación y pruebas de las modificaciones a SICVECA, resulta conveniente aclarar las fechas de remisión de la información requerida por los Acuerdos SUGEF arriba mencionados y comunicados mediante Circular Externa </w:t>
      </w:r>
      <w:r w:rsidRPr="00412D43">
        <w:rPr>
          <w:rFonts w:eastAsia="MS Mincho"/>
          <w:iCs/>
          <w:color w:val="000000" w:themeColor="text1"/>
          <w:sz w:val="24"/>
          <w:lang w:val="es-CR" w:eastAsia="es-CR"/>
        </w:rPr>
        <w:t>SGF-2724-2016 del 17 de agosto de 2016</w:t>
      </w:r>
      <w:r w:rsidRPr="00412D43">
        <w:rPr>
          <w:rFonts w:eastAsia="MS Mincho"/>
          <w:color w:val="000000"/>
          <w:sz w:val="24"/>
          <w:lang w:val="es-CR" w:eastAsia="es-CR"/>
        </w:rPr>
        <w:t>.</w:t>
      </w:r>
    </w:p>
    <w:p w14:paraId="71E9992E" w14:textId="77777777" w:rsidR="00412D43" w:rsidRPr="00412D43" w:rsidRDefault="00412D43" w:rsidP="00412D43">
      <w:pPr>
        <w:spacing w:line="240" w:lineRule="auto"/>
        <w:ind w:left="720"/>
        <w:contextualSpacing/>
        <w:rPr>
          <w:rFonts w:eastAsia="Calibri"/>
          <w:color w:val="181818"/>
          <w:sz w:val="24"/>
          <w:lang w:val="es-CR"/>
        </w:rPr>
      </w:pPr>
    </w:p>
    <w:p w14:paraId="29A65B45" w14:textId="77777777" w:rsidR="00412D43" w:rsidRPr="00412D43" w:rsidRDefault="00412D43" w:rsidP="00412D43">
      <w:pPr>
        <w:spacing w:line="240" w:lineRule="auto"/>
        <w:ind w:left="720"/>
        <w:contextualSpacing/>
        <w:rPr>
          <w:rFonts w:eastAsia="Calibri"/>
          <w:color w:val="181818"/>
          <w:sz w:val="24"/>
          <w:lang w:val="es-CR"/>
        </w:rPr>
      </w:pPr>
    </w:p>
    <w:p w14:paraId="6E082CB9" w14:textId="77777777" w:rsidR="00412D43" w:rsidRPr="00412D43" w:rsidRDefault="00412D43" w:rsidP="00412D43">
      <w:pPr>
        <w:spacing w:line="240" w:lineRule="auto"/>
        <w:ind w:left="720"/>
        <w:contextualSpacing/>
        <w:rPr>
          <w:rFonts w:eastAsia="Calibri"/>
          <w:color w:val="181818"/>
          <w:sz w:val="24"/>
          <w:lang w:val="es-CR"/>
        </w:rPr>
      </w:pPr>
    </w:p>
    <w:p w14:paraId="4AA89A0F" w14:textId="77777777" w:rsidR="00412D43" w:rsidRPr="00412D43" w:rsidRDefault="00412D43" w:rsidP="00412D43">
      <w:pPr>
        <w:outlineLvl w:val="0"/>
        <w:rPr>
          <w:b/>
          <w:sz w:val="28"/>
          <w:szCs w:val="28"/>
        </w:rPr>
      </w:pPr>
      <w:r w:rsidRPr="00412D43">
        <w:rPr>
          <w:b/>
          <w:sz w:val="28"/>
          <w:szCs w:val="28"/>
        </w:rPr>
        <w:t>Dispone:</w:t>
      </w:r>
    </w:p>
    <w:p w14:paraId="412B1E2C" w14:textId="77777777" w:rsidR="00412D43" w:rsidRPr="00412D43" w:rsidRDefault="00412D43" w:rsidP="00412D43">
      <w:pPr>
        <w:rPr>
          <w:iCs/>
        </w:rPr>
      </w:pPr>
    </w:p>
    <w:p w14:paraId="2E3146F7" w14:textId="77777777" w:rsidR="00412D43" w:rsidRPr="00412D43" w:rsidRDefault="00412D43" w:rsidP="00412D43">
      <w:pPr>
        <w:numPr>
          <w:ilvl w:val="0"/>
          <w:numId w:val="21"/>
        </w:numPr>
        <w:spacing w:line="240" w:lineRule="auto"/>
        <w:contextualSpacing/>
        <w:rPr>
          <w:rFonts w:eastAsia="MS Mincho"/>
          <w:iCs/>
          <w:color w:val="000000" w:themeColor="text1"/>
          <w:sz w:val="24"/>
          <w:lang w:eastAsia="es-ES"/>
        </w:rPr>
      </w:pPr>
      <w:r w:rsidRPr="00412D43">
        <w:rPr>
          <w:rFonts w:eastAsia="MS Mincho"/>
          <w:iCs/>
          <w:color w:val="000000" w:themeColor="text1"/>
          <w:sz w:val="24"/>
          <w:lang w:eastAsia="es-ES"/>
        </w:rPr>
        <w:t>Dejar sin efecto la Circular Externa SGF-2724-2016 del 17 de agosto de 2016.</w:t>
      </w:r>
    </w:p>
    <w:p w14:paraId="337C486C" w14:textId="77777777" w:rsidR="00412D43" w:rsidRPr="00412D43" w:rsidRDefault="00412D43" w:rsidP="00412D43">
      <w:pPr>
        <w:spacing w:line="240" w:lineRule="auto"/>
        <w:ind w:left="720"/>
        <w:contextualSpacing/>
        <w:rPr>
          <w:rFonts w:eastAsia="MS Mincho"/>
          <w:iCs/>
          <w:color w:val="000000" w:themeColor="text1"/>
          <w:sz w:val="24"/>
          <w:lang w:eastAsia="es-ES"/>
        </w:rPr>
      </w:pPr>
    </w:p>
    <w:p w14:paraId="41F33725" w14:textId="77777777" w:rsidR="00412D43" w:rsidRPr="00412D43" w:rsidRDefault="00412D43" w:rsidP="00412D43">
      <w:pPr>
        <w:numPr>
          <w:ilvl w:val="0"/>
          <w:numId w:val="21"/>
        </w:numPr>
        <w:spacing w:line="240" w:lineRule="auto"/>
        <w:contextualSpacing/>
        <w:rPr>
          <w:rFonts w:eastAsia="MS Mincho"/>
          <w:iCs/>
          <w:color w:val="000000" w:themeColor="text1"/>
          <w:sz w:val="24"/>
          <w:lang w:eastAsia="es-ES"/>
        </w:rPr>
      </w:pPr>
      <w:r w:rsidRPr="00412D43">
        <w:rPr>
          <w:rFonts w:eastAsia="MS Mincho"/>
          <w:iCs/>
          <w:color w:val="000000" w:themeColor="text1"/>
          <w:sz w:val="24"/>
          <w:lang w:eastAsia="es-ES"/>
        </w:rPr>
        <w:t>Que la vigencia de las reformas mencionadas en el marco considerativo, se mantiene sin cambio, tal como fue aprobado por el Consejo Nacional de Supervisión del Sistema Financiero. Cómo referencia y para mayor claridad, la vigencia aprobada de las reformas es la siguiente:</w:t>
      </w:r>
    </w:p>
    <w:p w14:paraId="2A974D1A" w14:textId="77777777" w:rsidR="00412D43" w:rsidRPr="00412D43" w:rsidRDefault="00412D43" w:rsidP="00412D43">
      <w:pPr>
        <w:spacing w:line="240" w:lineRule="auto"/>
        <w:ind w:left="720"/>
        <w:contextualSpacing/>
        <w:rPr>
          <w:rFonts w:eastAsia="MS Mincho"/>
          <w:iCs/>
          <w:color w:val="000000" w:themeColor="text1"/>
          <w:sz w:val="24"/>
          <w:lang w:eastAsia="es-ES"/>
        </w:rPr>
      </w:pPr>
    </w:p>
    <w:tbl>
      <w:tblPr>
        <w:tblStyle w:val="Tabladecuadrcula1clara"/>
        <w:tblW w:w="9067" w:type="dxa"/>
        <w:tblLook w:val="04A0" w:firstRow="1" w:lastRow="0" w:firstColumn="1" w:lastColumn="0" w:noHBand="0" w:noVBand="1"/>
      </w:tblPr>
      <w:tblGrid>
        <w:gridCol w:w="4063"/>
        <w:gridCol w:w="1881"/>
        <w:gridCol w:w="3123"/>
      </w:tblGrid>
      <w:tr w:rsidR="00412D43" w:rsidRPr="00412D43" w14:paraId="19CF8305" w14:textId="77777777" w:rsidTr="00750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2" w:type="dxa"/>
          </w:tcPr>
          <w:p w14:paraId="09759CF0" w14:textId="77777777" w:rsidR="00412D43" w:rsidRPr="00412D43" w:rsidRDefault="00412D43" w:rsidP="00412D43">
            <w:pPr>
              <w:spacing w:line="240" w:lineRule="auto"/>
              <w:contextualSpacing/>
              <w:jc w:val="center"/>
              <w:rPr>
                <w:rFonts w:eastAsia="MS Mincho"/>
                <w:iCs/>
                <w:color w:val="000000" w:themeColor="text1"/>
                <w:sz w:val="20"/>
                <w:szCs w:val="22"/>
                <w:lang w:eastAsia="es-ES"/>
              </w:rPr>
            </w:pPr>
            <w:r w:rsidRPr="00412D43">
              <w:rPr>
                <w:rFonts w:eastAsia="MS Mincho"/>
                <w:iCs/>
                <w:color w:val="000000" w:themeColor="text1"/>
                <w:sz w:val="20"/>
                <w:szCs w:val="22"/>
                <w:lang w:eastAsia="es-ES"/>
              </w:rPr>
              <w:t>Tema normativo</w:t>
            </w:r>
          </w:p>
        </w:tc>
        <w:tc>
          <w:tcPr>
            <w:tcW w:w="1960" w:type="dxa"/>
          </w:tcPr>
          <w:p w14:paraId="00126966" w14:textId="77777777" w:rsidR="00412D43" w:rsidRPr="00412D43" w:rsidRDefault="00412D43" w:rsidP="00412D43">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eastAsia="MS Mincho"/>
                <w:iCs/>
                <w:color w:val="000000" w:themeColor="text1"/>
                <w:sz w:val="20"/>
                <w:szCs w:val="22"/>
                <w:lang w:eastAsia="es-ES"/>
              </w:rPr>
            </w:pPr>
            <w:r w:rsidRPr="00412D43">
              <w:rPr>
                <w:rFonts w:eastAsia="MS Mincho"/>
                <w:iCs/>
                <w:color w:val="000000" w:themeColor="text1"/>
                <w:sz w:val="20"/>
                <w:szCs w:val="22"/>
                <w:lang w:eastAsia="es-ES"/>
              </w:rPr>
              <w:t>Publicación</w:t>
            </w:r>
          </w:p>
        </w:tc>
        <w:tc>
          <w:tcPr>
            <w:tcW w:w="2835" w:type="dxa"/>
          </w:tcPr>
          <w:p w14:paraId="5D622919" w14:textId="77777777" w:rsidR="00412D43" w:rsidRPr="00412D43" w:rsidRDefault="00412D43" w:rsidP="00412D43">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eastAsia="MS Mincho"/>
                <w:iCs/>
                <w:color w:val="000000" w:themeColor="text1"/>
                <w:sz w:val="20"/>
                <w:szCs w:val="22"/>
                <w:lang w:eastAsia="es-ES"/>
              </w:rPr>
            </w:pPr>
            <w:r w:rsidRPr="00412D43">
              <w:rPr>
                <w:rFonts w:eastAsia="MS Mincho"/>
                <w:iCs/>
                <w:color w:val="000000" w:themeColor="text1"/>
                <w:sz w:val="20"/>
                <w:szCs w:val="22"/>
                <w:lang w:eastAsia="es-ES"/>
              </w:rPr>
              <w:t>Vigencia</w:t>
            </w:r>
          </w:p>
        </w:tc>
      </w:tr>
      <w:tr w:rsidR="00412D43" w:rsidRPr="00412D43" w14:paraId="1CDE4A5E" w14:textId="77777777" w:rsidTr="00750E5F">
        <w:tc>
          <w:tcPr>
            <w:cnfStyle w:val="001000000000" w:firstRow="0" w:lastRow="0" w:firstColumn="1" w:lastColumn="0" w:oddVBand="0" w:evenVBand="0" w:oddHBand="0" w:evenHBand="0" w:firstRowFirstColumn="0" w:firstRowLastColumn="0" w:lastRowFirstColumn="0" w:lastRowLastColumn="0"/>
            <w:tcW w:w="4272" w:type="dxa"/>
          </w:tcPr>
          <w:p w14:paraId="48E21D40" w14:textId="77777777" w:rsidR="00412D43" w:rsidRPr="00412D43" w:rsidRDefault="00412D43" w:rsidP="00412D43">
            <w:pPr>
              <w:spacing w:line="240" w:lineRule="auto"/>
              <w:contextualSpacing/>
              <w:rPr>
                <w:rFonts w:eastAsia="MS Mincho"/>
                <w:iCs/>
                <w:color w:val="000000" w:themeColor="text1"/>
                <w:sz w:val="20"/>
                <w:szCs w:val="22"/>
                <w:lang w:eastAsia="es-ES"/>
              </w:rPr>
            </w:pPr>
            <w:r w:rsidRPr="00412D43">
              <w:rPr>
                <w:rFonts w:eastAsia="MS Mincho"/>
                <w:iCs/>
                <w:color w:val="000000" w:themeColor="text1"/>
                <w:sz w:val="20"/>
                <w:szCs w:val="22"/>
                <w:lang w:eastAsia="es-ES"/>
              </w:rPr>
              <w:t>Acuerdo SUGEF 15-16 “Reglamento sobre gestión y evaluación del riesgo de crédito para el Sistema de Banca para el Desarrollo”</w:t>
            </w:r>
          </w:p>
        </w:tc>
        <w:tc>
          <w:tcPr>
            <w:tcW w:w="1960" w:type="dxa"/>
          </w:tcPr>
          <w:p w14:paraId="2588F033"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iCs/>
                <w:color w:val="000000" w:themeColor="text1"/>
                <w:sz w:val="20"/>
                <w:szCs w:val="22"/>
                <w:lang w:eastAsia="es-ES"/>
              </w:rPr>
            </w:pPr>
            <w:r w:rsidRPr="00412D43">
              <w:rPr>
                <w:rFonts w:eastAsia="MS Mincho"/>
                <w:iCs/>
                <w:color w:val="000000" w:themeColor="text1"/>
                <w:sz w:val="20"/>
                <w:szCs w:val="22"/>
                <w:lang w:eastAsia="es-ES"/>
              </w:rPr>
              <w:t>Alcance Nº 97 de La Gaceta Nº 114 del 14 de junio del 2016.</w:t>
            </w:r>
          </w:p>
        </w:tc>
        <w:tc>
          <w:tcPr>
            <w:tcW w:w="2835" w:type="dxa"/>
          </w:tcPr>
          <w:p w14:paraId="1173A71A"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iCs/>
                <w:color w:val="000000" w:themeColor="text1"/>
                <w:sz w:val="20"/>
                <w:szCs w:val="22"/>
                <w:lang w:eastAsia="es-ES"/>
              </w:rPr>
            </w:pPr>
            <w:r w:rsidRPr="00412D43">
              <w:rPr>
                <w:rFonts w:eastAsia="MS Mincho"/>
                <w:iCs/>
                <w:color w:val="000000" w:themeColor="text1"/>
                <w:sz w:val="20"/>
                <w:szCs w:val="22"/>
                <w:lang w:eastAsia="es-ES"/>
              </w:rPr>
              <w:t>A partir del primero de octubre de 2016, para las nuevas operaciones crediticias que se tramiten a partir de esa fecha.</w:t>
            </w:r>
          </w:p>
        </w:tc>
      </w:tr>
      <w:tr w:rsidR="00412D43" w:rsidRPr="00412D43" w14:paraId="6CA61040" w14:textId="77777777" w:rsidTr="00750E5F">
        <w:tc>
          <w:tcPr>
            <w:cnfStyle w:val="001000000000" w:firstRow="0" w:lastRow="0" w:firstColumn="1" w:lastColumn="0" w:oddVBand="0" w:evenVBand="0" w:oddHBand="0" w:evenHBand="0" w:firstRowFirstColumn="0" w:firstRowLastColumn="0" w:lastRowFirstColumn="0" w:lastRowLastColumn="0"/>
            <w:tcW w:w="4272" w:type="dxa"/>
          </w:tcPr>
          <w:p w14:paraId="16D7BB49" w14:textId="77777777" w:rsidR="00412D43" w:rsidRPr="00412D43" w:rsidRDefault="00412D43" w:rsidP="00412D43">
            <w:pPr>
              <w:spacing w:line="240" w:lineRule="auto"/>
              <w:contextualSpacing/>
              <w:rPr>
                <w:rFonts w:eastAsia="MS Mincho"/>
                <w:iCs/>
                <w:color w:val="000000" w:themeColor="text1"/>
                <w:sz w:val="20"/>
                <w:szCs w:val="22"/>
                <w:lang w:eastAsia="es-ES"/>
              </w:rPr>
            </w:pPr>
            <w:r w:rsidRPr="00412D43">
              <w:rPr>
                <w:rFonts w:eastAsia="MS Mincho"/>
                <w:iCs/>
                <w:color w:val="000000" w:themeColor="text1"/>
                <w:sz w:val="20"/>
                <w:szCs w:val="22"/>
                <w:lang w:eastAsia="es-ES"/>
              </w:rPr>
              <w:lastRenderedPageBreak/>
              <w:t>Reforma al Acuerdo SUGEF 1-05 “Reglamento sobre Calificación de Deudores”</w:t>
            </w:r>
          </w:p>
        </w:tc>
        <w:tc>
          <w:tcPr>
            <w:tcW w:w="1960" w:type="dxa"/>
          </w:tcPr>
          <w:p w14:paraId="6D38AFC4"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iCs/>
                <w:color w:val="000000" w:themeColor="text1"/>
                <w:sz w:val="20"/>
                <w:szCs w:val="22"/>
                <w:lang w:eastAsia="es-ES"/>
              </w:rPr>
            </w:pPr>
            <w:r w:rsidRPr="00412D43">
              <w:rPr>
                <w:rFonts w:eastAsia="MS Mincho"/>
                <w:sz w:val="20"/>
                <w:szCs w:val="22"/>
                <w:lang w:eastAsia="es-ES"/>
              </w:rPr>
              <w:t>Alcance Nº 100 a La Gaceta Nº 117 del 17 de junio del 2016</w:t>
            </w:r>
          </w:p>
        </w:tc>
        <w:tc>
          <w:tcPr>
            <w:tcW w:w="2835" w:type="dxa"/>
          </w:tcPr>
          <w:p w14:paraId="32BBE0A6"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iCs/>
                <w:color w:val="000000" w:themeColor="text1"/>
                <w:sz w:val="20"/>
                <w:szCs w:val="22"/>
                <w:lang w:eastAsia="es-ES"/>
              </w:rPr>
            </w:pPr>
          </w:p>
        </w:tc>
      </w:tr>
      <w:tr w:rsidR="00412D43" w:rsidRPr="00412D43" w14:paraId="693250FA" w14:textId="77777777" w:rsidTr="00750E5F">
        <w:tc>
          <w:tcPr>
            <w:cnfStyle w:val="001000000000" w:firstRow="0" w:lastRow="0" w:firstColumn="1" w:lastColumn="0" w:oddVBand="0" w:evenVBand="0" w:oddHBand="0" w:evenHBand="0" w:firstRowFirstColumn="0" w:firstRowLastColumn="0" w:lastRowFirstColumn="0" w:lastRowLastColumn="0"/>
            <w:tcW w:w="4272" w:type="dxa"/>
          </w:tcPr>
          <w:p w14:paraId="39CA602F" w14:textId="77777777" w:rsidR="00412D43" w:rsidRPr="00412D43" w:rsidRDefault="00412D43" w:rsidP="00412D43">
            <w:pPr>
              <w:numPr>
                <w:ilvl w:val="0"/>
                <w:numId w:val="22"/>
              </w:numPr>
              <w:spacing w:line="240" w:lineRule="auto"/>
              <w:contextualSpacing/>
              <w:rPr>
                <w:rFonts w:eastAsia="MS Mincho"/>
                <w:iCs/>
                <w:color w:val="000000" w:themeColor="text1"/>
                <w:sz w:val="20"/>
                <w:szCs w:val="22"/>
                <w:lang w:eastAsia="es-ES"/>
              </w:rPr>
            </w:pPr>
            <w:r w:rsidRPr="00412D43">
              <w:rPr>
                <w:rFonts w:eastAsia="MS Mincho"/>
                <w:iCs/>
                <w:color w:val="000000" w:themeColor="text1"/>
                <w:sz w:val="20"/>
                <w:szCs w:val="22"/>
                <w:lang w:eastAsia="es-ES"/>
              </w:rPr>
              <w:t>Estimación genérica para deudores no generadores de divisas.</w:t>
            </w:r>
          </w:p>
        </w:tc>
        <w:tc>
          <w:tcPr>
            <w:tcW w:w="1960" w:type="dxa"/>
          </w:tcPr>
          <w:p w14:paraId="23D8CB82"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sz w:val="20"/>
                <w:szCs w:val="22"/>
                <w:lang w:eastAsia="es-ES"/>
              </w:rPr>
            </w:pPr>
          </w:p>
        </w:tc>
        <w:tc>
          <w:tcPr>
            <w:tcW w:w="2835" w:type="dxa"/>
          </w:tcPr>
          <w:p w14:paraId="4F040B4C" w14:textId="23293B0D" w:rsidR="00412D43" w:rsidRPr="00412D43" w:rsidRDefault="00412D43" w:rsidP="003E7D9A">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iCs/>
                <w:color w:val="000000" w:themeColor="text1"/>
                <w:sz w:val="20"/>
                <w:szCs w:val="22"/>
                <w:lang w:eastAsia="es-ES"/>
              </w:rPr>
            </w:pPr>
            <w:r w:rsidRPr="00412D43">
              <w:rPr>
                <w:rFonts w:eastAsia="MS Mincho"/>
                <w:iCs/>
                <w:color w:val="000000" w:themeColor="text1"/>
                <w:sz w:val="20"/>
                <w:szCs w:val="22"/>
                <w:lang w:eastAsia="es-ES"/>
              </w:rPr>
              <w:t>A partir del 17 de setiembre de 2016, para las nuevas operaciones crediticias a partir de</w:t>
            </w:r>
            <w:r w:rsidR="003E7D9A">
              <w:rPr>
                <w:rFonts w:eastAsia="MS Mincho"/>
                <w:iCs/>
                <w:color w:val="000000" w:themeColor="text1"/>
                <w:sz w:val="20"/>
                <w:szCs w:val="22"/>
                <w:lang w:eastAsia="es-ES"/>
              </w:rPr>
              <w:t xml:space="preserve"> esta última fecha</w:t>
            </w:r>
            <w:r w:rsidRPr="00412D43">
              <w:rPr>
                <w:rFonts w:eastAsia="MS Mincho"/>
                <w:iCs/>
                <w:color w:val="000000" w:themeColor="text1"/>
                <w:sz w:val="20"/>
                <w:szCs w:val="22"/>
                <w:lang w:eastAsia="es-ES"/>
              </w:rPr>
              <w:t xml:space="preserve"> </w:t>
            </w:r>
            <w:r w:rsidRPr="00412D43">
              <w:rPr>
                <w:rFonts w:ascii="Times New Roman" w:eastAsia="MS Mincho" w:hAnsi="Times New Roman"/>
                <w:sz w:val="20"/>
                <w:szCs w:val="22"/>
                <w:lang w:eastAsia="es-ES"/>
              </w:rPr>
              <w:t>y cuyo primer registro contable para la estimación genérica deberá efectuarse al cierre del mes de setiembre de 2016</w:t>
            </w:r>
            <w:r w:rsidRPr="00412D43">
              <w:rPr>
                <w:rFonts w:eastAsia="MS Mincho"/>
                <w:iCs/>
                <w:color w:val="000000" w:themeColor="text1"/>
                <w:sz w:val="20"/>
                <w:szCs w:val="22"/>
                <w:lang w:eastAsia="es-ES"/>
              </w:rPr>
              <w:t>.</w:t>
            </w:r>
          </w:p>
        </w:tc>
      </w:tr>
      <w:tr w:rsidR="00412D43" w:rsidRPr="00412D43" w14:paraId="60B070B0" w14:textId="77777777" w:rsidTr="00750E5F">
        <w:tc>
          <w:tcPr>
            <w:cnfStyle w:val="001000000000" w:firstRow="0" w:lastRow="0" w:firstColumn="1" w:lastColumn="0" w:oddVBand="0" w:evenVBand="0" w:oddHBand="0" w:evenHBand="0" w:firstRowFirstColumn="0" w:firstRowLastColumn="0" w:lastRowFirstColumn="0" w:lastRowLastColumn="0"/>
            <w:tcW w:w="4272" w:type="dxa"/>
          </w:tcPr>
          <w:p w14:paraId="4A597603" w14:textId="77777777" w:rsidR="00412D43" w:rsidRPr="00412D43" w:rsidRDefault="00412D43" w:rsidP="00412D43">
            <w:pPr>
              <w:numPr>
                <w:ilvl w:val="0"/>
                <w:numId w:val="22"/>
              </w:numPr>
              <w:spacing w:line="240" w:lineRule="auto"/>
              <w:contextualSpacing/>
              <w:rPr>
                <w:rFonts w:eastAsia="MS Mincho"/>
                <w:iCs/>
                <w:color w:val="000000" w:themeColor="text1"/>
                <w:sz w:val="20"/>
                <w:szCs w:val="22"/>
                <w:lang w:eastAsia="es-ES"/>
              </w:rPr>
            </w:pPr>
            <w:r w:rsidRPr="00412D43">
              <w:rPr>
                <w:rFonts w:eastAsia="MS Mincho"/>
                <w:iCs/>
                <w:color w:val="000000" w:themeColor="text1"/>
                <w:sz w:val="20"/>
                <w:szCs w:val="22"/>
                <w:lang w:eastAsia="es-ES"/>
              </w:rPr>
              <w:t>Estimación genérica para deudores personas físicas con indicador de cobertura del servicio de la deuda por encima del umbral establecido.</w:t>
            </w:r>
          </w:p>
        </w:tc>
        <w:tc>
          <w:tcPr>
            <w:tcW w:w="1960" w:type="dxa"/>
          </w:tcPr>
          <w:p w14:paraId="65114035"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sz w:val="20"/>
                <w:szCs w:val="22"/>
                <w:lang w:eastAsia="es-ES"/>
              </w:rPr>
            </w:pPr>
          </w:p>
        </w:tc>
        <w:tc>
          <w:tcPr>
            <w:tcW w:w="2835" w:type="dxa"/>
          </w:tcPr>
          <w:p w14:paraId="61D91967" w14:textId="2F813AA6" w:rsidR="00412D43" w:rsidRPr="00412D43" w:rsidRDefault="00412D43" w:rsidP="003E7D9A">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iCs/>
                <w:color w:val="000000" w:themeColor="text1"/>
                <w:sz w:val="20"/>
                <w:szCs w:val="22"/>
                <w:lang w:eastAsia="es-ES"/>
              </w:rPr>
            </w:pPr>
            <w:r w:rsidRPr="00412D43">
              <w:rPr>
                <w:rFonts w:eastAsia="MS Mincho"/>
                <w:iCs/>
                <w:color w:val="000000" w:themeColor="text1"/>
                <w:sz w:val="20"/>
                <w:szCs w:val="22"/>
                <w:lang w:eastAsia="es-ES"/>
              </w:rPr>
              <w:t xml:space="preserve">A partir del 17 de setiembre de 2016, para las nuevas operaciones crediticias a partir del </w:t>
            </w:r>
            <w:r w:rsidR="003E7D9A">
              <w:rPr>
                <w:rFonts w:eastAsia="MS Mincho"/>
                <w:iCs/>
                <w:color w:val="000000" w:themeColor="text1"/>
                <w:sz w:val="20"/>
                <w:szCs w:val="22"/>
                <w:lang w:eastAsia="es-ES"/>
              </w:rPr>
              <w:t>esta última fecha</w:t>
            </w:r>
            <w:r w:rsidRPr="00412D43">
              <w:rPr>
                <w:rFonts w:eastAsia="MS Mincho"/>
                <w:iCs/>
                <w:color w:val="000000" w:themeColor="text1"/>
                <w:sz w:val="20"/>
                <w:szCs w:val="22"/>
                <w:lang w:eastAsia="es-ES"/>
              </w:rPr>
              <w:t xml:space="preserve"> </w:t>
            </w:r>
            <w:r w:rsidRPr="00412D43">
              <w:rPr>
                <w:rFonts w:ascii="Times New Roman" w:eastAsia="MS Mincho" w:hAnsi="Times New Roman"/>
                <w:sz w:val="20"/>
                <w:szCs w:val="22"/>
                <w:lang w:eastAsia="es-ES"/>
              </w:rPr>
              <w:t>y cuyo primer registro contable para la estimación genérica deberá efectuarse al cierre del mes de setiembre de 2016</w:t>
            </w:r>
            <w:r w:rsidRPr="00412D43">
              <w:rPr>
                <w:rFonts w:eastAsia="MS Mincho"/>
                <w:iCs/>
                <w:color w:val="000000" w:themeColor="text1"/>
                <w:sz w:val="20"/>
                <w:szCs w:val="22"/>
                <w:lang w:eastAsia="es-ES"/>
              </w:rPr>
              <w:t>.</w:t>
            </w:r>
          </w:p>
        </w:tc>
      </w:tr>
      <w:tr w:rsidR="00412D43" w:rsidRPr="00412D43" w14:paraId="7E0FA539" w14:textId="77777777" w:rsidTr="00750E5F">
        <w:tc>
          <w:tcPr>
            <w:cnfStyle w:val="001000000000" w:firstRow="0" w:lastRow="0" w:firstColumn="1" w:lastColumn="0" w:oddVBand="0" w:evenVBand="0" w:oddHBand="0" w:evenHBand="0" w:firstRowFirstColumn="0" w:firstRowLastColumn="0" w:lastRowFirstColumn="0" w:lastRowLastColumn="0"/>
            <w:tcW w:w="4272" w:type="dxa"/>
          </w:tcPr>
          <w:p w14:paraId="6BDFFBD5" w14:textId="77777777" w:rsidR="00412D43" w:rsidRPr="00412D43" w:rsidRDefault="00412D43" w:rsidP="00412D43">
            <w:pPr>
              <w:numPr>
                <w:ilvl w:val="0"/>
                <w:numId w:val="22"/>
              </w:numPr>
              <w:spacing w:line="240" w:lineRule="auto"/>
              <w:contextualSpacing/>
              <w:rPr>
                <w:rFonts w:eastAsia="MS Mincho"/>
                <w:iCs/>
                <w:color w:val="000000" w:themeColor="text1"/>
                <w:sz w:val="20"/>
                <w:szCs w:val="22"/>
                <w:lang w:eastAsia="es-ES"/>
              </w:rPr>
            </w:pPr>
            <w:r w:rsidRPr="00412D43">
              <w:rPr>
                <w:rFonts w:eastAsia="MS Mincho"/>
                <w:iCs/>
                <w:color w:val="000000" w:themeColor="text1"/>
                <w:sz w:val="20"/>
                <w:szCs w:val="22"/>
                <w:lang w:eastAsia="es-ES"/>
              </w:rPr>
              <w:t>Declaración Jurada del Impuesto sobre la Renta, para el deudor persona jurídica.</w:t>
            </w:r>
          </w:p>
        </w:tc>
        <w:tc>
          <w:tcPr>
            <w:tcW w:w="1960" w:type="dxa"/>
          </w:tcPr>
          <w:p w14:paraId="0ACD09CD"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sz w:val="20"/>
                <w:szCs w:val="22"/>
                <w:lang w:eastAsia="es-ES"/>
              </w:rPr>
            </w:pPr>
          </w:p>
        </w:tc>
        <w:tc>
          <w:tcPr>
            <w:tcW w:w="2835" w:type="dxa"/>
          </w:tcPr>
          <w:p w14:paraId="76FDB4D7"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iCs/>
                <w:color w:val="000000" w:themeColor="text1"/>
                <w:sz w:val="20"/>
                <w:szCs w:val="22"/>
                <w:lang w:eastAsia="es-ES"/>
              </w:rPr>
            </w:pPr>
            <w:r w:rsidRPr="00412D43">
              <w:rPr>
                <w:rFonts w:eastAsia="MS Mincho"/>
                <w:iCs/>
                <w:color w:val="000000" w:themeColor="text1"/>
                <w:sz w:val="20"/>
                <w:szCs w:val="22"/>
                <w:lang w:eastAsia="es-ES"/>
              </w:rPr>
              <w:t>A partir del primero de enero de 2017, para las nuevas solicitudes de operaciones de crédito.</w:t>
            </w:r>
          </w:p>
        </w:tc>
      </w:tr>
      <w:tr w:rsidR="00412D43" w:rsidRPr="00412D43" w14:paraId="75F9DB66" w14:textId="77777777" w:rsidTr="00750E5F">
        <w:tc>
          <w:tcPr>
            <w:cnfStyle w:val="001000000000" w:firstRow="0" w:lastRow="0" w:firstColumn="1" w:lastColumn="0" w:oddVBand="0" w:evenVBand="0" w:oddHBand="0" w:evenHBand="0" w:firstRowFirstColumn="0" w:firstRowLastColumn="0" w:lastRowFirstColumn="0" w:lastRowLastColumn="0"/>
            <w:tcW w:w="4272" w:type="dxa"/>
          </w:tcPr>
          <w:p w14:paraId="39426522" w14:textId="77777777" w:rsidR="00412D43" w:rsidRPr="00412D43" w:rsidRDefault="00412D43" w:rsidP="00412D43">
            <w:pPr>
              <w:numPr>
                <w:ilvl w:val="0"/>
                <w:numId w:val="22"/>
              </w:numPr>
              <w:spacing w:line="240" w:lineRule="auto"/>
              <w:contextualSpacing/>
              <w:rPr>
                <w:rFonts w:eastAsia="MS Mincho"/>
                <w:iCs/>
                <w:color w:val="000000" w:themeColor="text1"/>
                <w:sz w:val="20"/>
                <w:szCs w:val="22"/>
                <w:lang w:eastAsia="es-ES"/>
              </w:rPr>
            </w:pPr>
            <w:r w:rsidRPr="00412D43">
              <w:rPr>
                <w:rFonts w:eastAsia="MS Mincho"/>
                <w:iCs/>
                <w:color w:val="000000" w:themeColor="text1"/>
                <w:sz w:val="20"/>
                <w:szCs w:val="22"/>
                <w:lang w:eastAsia="es-ES"/>
              </w:rPr>
              <w:t>Corrección de las estimaciones genéricas para saldos no utilizados de tarjetas de crédito.</w:t>
            </w:r>
          </w:p>
        </w:tc>
        <w:tc>
          <w:tcPr>
            <w:tcW w:w="1960" w:type="dxa"/>
          </w:tcPr>
          <w:p w14:paraId="432E92B5"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sz w:val="20"/>
                <w:szCs w:val="22"/>
                <w:lang w:eastAsia="es-ES"/>
              </w:rPr>
            </w:pPr>
          </w:p>
        </w:tc>
        <w:tc>
          <w:tcPr>
            <w:tcW w:w="2835" w:type="dxa"/>
          </w:tcPr>
          <w:p w14:paraId="6CBEFCEC"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0"/>
                <w:szCs w:val="22"/>
                <w:lang w:eastAsia="es-ES"/>
              </w:rPr>
            </w:pPr>
            <w:r w:rsidRPr="00412D43">
              <w:rPr>
                <w:rFonts w:eastAsia="MS Mincho"/>
                <w:iCs/>
                <w:color w:val="000000" w:themeColor="text1"/>
                <w:sz w:val="20"/>
                <w:szCs w:val="22"/>
                <w:lang w:eastAsia="es-ES"/>
              </w:rPr>
              <w:t>A partir del 17 de setiembre de 2016, para el total de los saldos no utilizados de tarjetas de crédito.</w:t>
            </w:r>
          </w:p>
        </w:tc>
      </w:tr>
      <w:tr w:rsidR="00412D43" w:rsidRPr="00412D43" w14:paraId="202B6025" w14:textId="77777777" w:rsidTr="00750E5F">
        <w:tc>
          <w:tcPr>
            <w:cnfStyle w:val="001000000000" w:firstRow="0" w:lastRow="0" w:firstColumn="1" w:lastColumn="0" w:oddVBand="0" w:evenVBand="0" w:oddHBand="0" w:evenHBand="0" w:firstRowFirstColumn="0" w:firstRowLastColumn="0" w:lastRowFirstColumn="0" w:lastRowLastColumn="0"/>
            <w:tcW w:w="4272" w:type="dxa"/>
          </w:tcPr>
          <w:p w14:paraId="0D62C707" w14:textId="77777777" w:rsidR="00412D43" w:rsidRPr="00412D43" w:rsidRDefault="00412D43" w:rsidP="00412D43">
            <w:pPr>
              <w:numPr>
                <w:ilvl w:val="0"/>
                <w:numId w:val="22"/>
              </w:numPr>
              <w:spacing w:line="240" w:lineRule="auto"/>
              <w:contextualSpacing/>
              <w:rPr>
                <w:rFonts w:eastAsia="MS Mincho"/>
                <w:iCs/>
                <w:color w:val="000000" w:themeColor="text1"/>
                <w:sz w:val="20"/>
                <w:szCs w:val="22"/>
                <w:lang w:eastAsia="es-ES"/>
              </w:rPr>
            </w:pPr>
            <w:r w:rsidRPr="00412D43">
              <w:rPr>
                <w:rFonts w:eastAsia="MS Mincho"/>
                <w:iCs/>
                <w:color w:val="000000" w:themeColor="text1"/>
                <w:sz w:val="20"/>
                <w:szCs w:val="22"/>
                <w:lang w:eastAsia="es-ES"/>
              </w:rPr>
              <w:t>A discreción de la entidad, la valoración de seguros de protección crediticia en el análisis de capacidad de pago.</w:t>
            </w:r>
          </w:p>
        </w:tc>
        <w:tc>
          <w:tcPr>
            <w:tcW w:w="1960" w:type="dxa"/>
          </w:tcPr>
          <w:p w14:paraId="217A0B78"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sz w:val="20"/>
                <w:szCs w:val="22"/>
                <w:lang w:eastAsia="es-ES"/>
              </w:rPr>
            </w:pPr>
          </w:p>
        </w:tc>
        <w:tc>
          <w:tcPr>
            <w:tcW w:w="2835" w:type="dxa"/>
          </w:tcPr>
          <w:p w14:paraId="6216CFB6"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sz w:val="20"/>
                <w:szCs w:val="22"/>
                <w:lang w:eastAsia="es-ES"/>
              </w:rPr>
            </w:pPr>
            <w:r w:rsidRPr="00412D43">
              <w:rPr>
                <w:rFonts w:eastAsia="MS Mincho"/>
                <w:iCs/>
                <w:color w:val="000000" w:themeColor="text1"/>
                <w:sz w:val="20"/>
                <w:szCs w:val="22"/>
                <w:lang w:eastAsia="es-ES"/>
              </w:rPr>
              <w:t>A partir del 17 de junio de 2016, a discreción de la entidad.</w:t>
            </w:r>
          </w:p>
        </w:tc>
      </w:tr>
      <w:tr w:rsidR="00412D43" w:rsidRPr="00412D43" w14:paraId="31C7ACA9" w14:textId="77777777" w:rsidTr="00750E5F">
        <w:tc>
          <w:tcPr>
            <w:cnfStyle w:val="001000000000" w:firstRow="0" w:lastRow="0" w:firstColumn="1" w:lastColumn="0" w:oddVBand="0" w:evenVBand="0" w:oddHBand="0" w:evenHBand="0" w:firstRowFirstColumn="0" w:firstRowLastColumn="0" w:lastRowFirstColumn="0" w:lastRowLastColumn="0"/>
            <w:tcW w:w="4272" w:type="dxa"/>
          </w:tcPr>
          <w:p w14:paraId="3B143BEA" w14:textId="77777777" w:rsidR="00412D43" w:rsidRPr="00412D43" w:rsidRDefault="00412D43" w:rsidP="00412D43">
            <w:pPr>
              <w:rPr>
                <w:iCs/>
                <w:color w:val="000000" w:themeColor="text1"/>
                <w:sz w:val="20"/>
                <w:szCs w:val="22"/>
              </w:rPr>
            </w:pPr>
            <w:r w:rsidRPr="00412D43">
              <w:rPr>
                <w:sz w:val="20"/>
                <w:szCs w:val="22"/>
              </w:rPr>
              <w:t>Acuerdo SUGEF 19-16 “Reglamento para la determinación y el registro de estimaciones contracíclicas”</w:t>
            </w:r>
          </w:p>
        </w:tc>
        <w:tc>
          <w:tcPr>
            <w:tcW w:w="1960" w:type="dxa"/>
          </w:tcPr>
          <w:p w14:paraId="124B5CFF"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sz w:val="20"/>
                <w:szCs w:val="22"/>
                <w:lang w:eastAsia="es-ES"/>
              </w:rPr>
            </w:pPr>
            <w:r w:rsidRPr="00412D43">
              <w:rPr>
                <w:rFonts w:eastAsia="MS Mincho"/>
                <w:sz w:val="20"/>
                <w:szCs w:val="22"/>
                <w:lang w:eastAsia="es-ES"/>
              </w:rPr>
              <w:t>Alcance Nº 100 a La Gaceta Nº 117 del 17 de junio del 2016</w:t>
            </w:r>
          </w:p>
        </w:tc>
        <w:tc>
          <w:tcPr>
            <w:tcW w:w="2835" w:type="dxa"/>
          </w:tcPr>
          <w:p w14:paraId="703B6612"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sz w:val="20"/>
                <w:szCs w:val="22"/>
                <w:lang w:eastAsia="es-ES"/>
              </w:rPr>
            </w:pPr>
            <w:r w:rsidRPr="00412D43">
              <w:rPr>
                <w:rFonts w:eastAsia="MS Mincho"/>
                <w:sz w:val="20"/>
                <w:szCs w:val="22"/>
                <w:lang w:eastAsia="es-ES"/>
              </w:rPr>
              <w:t xml:space="preserve">A partir del 17 de junio de 2016, y cuyo primer registro contable para la estimación contracíclica debió </w:t>
            </w:r>
            <w:r w:rsidRPr="00412D43">
              <w:rPr>
                <w:rFonts w:eastAsia="MS Mincho"/>
                <w:sz w:val="20"/>
                <w:szCs w:val="22"/>
                <w:lang w:eastAsia="es-ES"/>
              </w:rPr>
              <w:lastRenderedPageBreak/>
              <w:t>efectuarse al cierre del mes de julio de 2016.</w:t>
            </w:r>
          </w:p>
        </w:tc>
      </w:tr>
      <w:tr w:rsidR="00412D43" w:rsidRPr="00412D43" w14:paraId="7C9FF533" w14:textId="77777777" w:rsidTr="00750E5F">
        <w:tc>
          <w:tcPr>
            <w:cnfStyle w:val="001000000000" w:firstRow="0" w:lastRow="0" w:firstColumn="1" w:lastColumn="0" w:oddVBand="0" w:evenVBand="0" w:oddHBand="0" w:evenHBand="0" w:firstRowFirstColumn="0" w:firstRowLastColumn="0" w:lastRowFirstColumn="0" w:lastRowLastColumn="0"/>
            <w:tcW w:w="4272" w:type="dxa"/>
          </w:tcPr>
          <w:p w14:paraId="5437AD6E" w14:textId="77777777" w:rsidR="00412D43" w:rsidRPr="00412D43" w:rsidRDefault="00412D43" w:rsidP="00412D43">
            <w:pPr>
              <w:rPr>
                <w:sz w:val="20"/>
                <w:szCs w:val="22"/>
              </w:rPr>
            </w:pPr>
            <w:r w:rsidRPr="00412D43">
              <w:rPr>
                <w:sz w:val="20"/>
                <w:szCs w:val="22"/>
              </w:rPr>
              <w:lastRenderedPageBreak/>
              <w:t>Acuerdo SUGEF 3-06 “Reglamento sobre suficiencia patrimonial de entidades”</w:t>
            </w:r>
          </w:p>
        </w:tc>
        <w:tc>
          <w:tcPr>
            <w:tcW w:w="1960" w:type="dxa"/>
          </w:tcPr>
          <w:p w14:paraId="77052D39"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sz w:val="20"/>
                <w:szCs w:val="22"/>
                <w:lang w:eastAsia="es-ES"/>
              </w:rPr>
            </w:pPr>
            <w:r w:rsidRPr="00412D43">
              <w:rPr>
                <w:rFonts w:eastAsia="MS Mincho"/>
                <w:sz w:val="20"/>
                <w:szCs w:val="22"/>
                <w:lang w:eastAsia="es-ES"/>
              </w:rPr>
              <w:t>Alcance Nº 100 a La Gaceta Nº 117 del 17 de junio del 2016</w:t>
            </w:r>
          </w:p>
        </w:tc>
        <w:tc>
          <w:tcPr>
            <w:tcW w:w="2835" w:type="dxa"/>
          </w:tcPr>
          <w:p w14:paraId="1CA4E2DD"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0"/>
                <w:szCs w:val="22"/>
                <w:lang w:eastAsia="es-ES"/>
              </w:rPr>
            </w:pPr>
          </w:p>
        </w:tc>
      </w:tr>
      <w:tr w:rsidR="00412D43" w:rsidRPr="00412D43" w14:paraId="126B5ABF" w14:textId="77777777" w:rsidTr="00750E5F">
        <w:tc>
          <w:tcPr>
            <w:cnfStyle w:val="001000000000" w:firstRow="0" w:lastRow="0" w:firstColumn="1" w:lastColumn="0" w:oddVBand="0" w:evenVBand="0" w:oddHBand="0" w:evenHBand="0" w:firstRowFirstColumn="0" w:firstRowLastColumn="0" w:lastRowFirstColumn="0" w:lastRowLastColumn="0"/>
            <w:tcW w:w="4272" w:type="dxa"/>
          </w:tcPr>
          <w:p w14:paraId="1F8E9938" w14:textId="77777777" w:rsidR="00412D43" w:rsidRPr="00412D43" w:rsidRDefault="00412D43" w:rsidP="00412D43">
            <w:pPr>
              <w:numPr>
                <w:ilvl w:val="0"/>
                <w:numId w:val="23"/>
              </w:numPr>
              <w:spacing w:line="240" w:lineRule="auto"/>
              <w:contextualSpacing/>
              <w:rPr>
                <w:rFonts w:ascii="Times New Roman" w:eastAsia="MS Mincho" w:hAnsi="Times New Roman"/>
                <w:sz w:val="20"/>
                <w:szCs w:val="22"/>
                <w:lang w:eastAsia="es-ES"/>
              </w:rPr>
            </w:pPr>
            <w:r w:rsidRPr="00412D43">
              <w:rPr>
                <w:sz w:val="20"/>
                <w:szCs w:val="22"/>
              </w:rPr>
              <w:t>Ponderador de riesgo para créditos hipotecarios residenciales para personas físicas, según la relación préstamo-valor.</w:t>
            </w:r>
          </w:p>
        </w:tc>
        <w:tc>
          <w:tcPr>
            <w:tcW w:w="1960" w:type="dxa"/>
          </w:tcPr>
          <w:p w14:paraId="3C98BE34"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sz w:val="20"/>
                <w:szCs w:val="22"/>
                <w:lang w:eastAsia="es-ES"/>
              </w:rPr>
            </w:pPr>
          </w:p>
        </w:tc>
        <w:tc>
          <w:tcPr>
            <w:tcW w:w="2835" w:type="dxa"/>
          </w:tcPr>
          <w:p w14:paraId="4AC5A7F5"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iCs/>
                <w:color w:val="000000" w:themeColor="text1"/>
                <w:sz w:val="20"/>
                <w:szCs w:val="22"/>
                <w:lang w:eastAsia="es-ES"/>
              </w:rPr>
            </w:pPr>
            <w:r w:rsidRPr="00412D43">
              <w:rPr>
                <w:rFonts w:eastAsia="MS Mincho"/>
                <w:iCs/>
                <w:color w:val="000000" w:themeColor="text1"/>
                <w:sz w:val="20"/>
                <w:szCs w:val="22"/>
                <w:lang w:eastAsia="es-ES"/>
              </w:rPr>
              <w:t xml:space="preserve">A partir del 17 de setiembre de 2016, para la cartera de </w:t>
            </w:r>
            <w:r w:rsidRPr="00412D43">
              <w:rPr>
                <w:sz w:val="20"/>
                <w:szCs w:val="22"/>
              </w:rPr>
              <w:t>créditos hipotecarios residenciales con personas físicas</w:t>
            </w:r>
            <w:r w:rsidRPr="00412D43">
              <w:rPr>
                <w:rFonts w:eastAsia="MS Mincho"/>
                <w:iCs/>
                <w:color w:val="000000" w:themeColor="text1"/>
                <w:sz w:val="20"/>
                <w:szCs w:val="22"/>
                <w:lang w:eastAsia="es-ES"/>
              </w:rPr>
              <w:t>.</w:t>
            </w:r>
          </w:p>
          <w:p w14:paraId="1BC93E65" w14:textId="77777777" w:rsidR="00412D43" w:rsidRPr="00412D43" w:rsidRDefault="00412D43" w:rsidP="00412D43">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0"/>
                <w:szCs w:val="22"/>
                <w:lang w:eastAsia="es-ES"/>
              </w:rPr>
            </w:pPr>
            <w:r w:rsidRPr="00412D43">
              <w:rPr>
                <w:rFonts w:eastAsia="MS Mincho"/>
                <w:iCs/>
                <w:color w:val="000000" w:themeColor="text1"/>
                <w:sz w:val="20"/>
                <w:szCs w:val="22"/>
                <w:lang w:eastAsia="es-ES"/>
              </w:rPr>
              <w:t>Para los efectos del cálculo del indicador LTV para operaciones constituidas antes de la fecha de entrada en vigencia de esta reforma, podrá utilizarse como valor del bien inmueble, el monto reportado en los campos “</w:t>
            </w:r>
            <w:r w:rsidRPr="00412D43">
              <w:rPr>
                <w:rFonts w:ascii="Times New Roman" w:eastAsia="MS Mincho" w:hAnsi="Times New Roman"/>
                <w:sz w:val="20"/>
                <w:szCs w:val="22"/>
                <w:lang w:eastAsia="es-ES"/>
              </w:rPr>
              <w:t>MontoUltimaTasacionTerreno” y “MontoUltimaTasaciónNoTerreno”</w:t>
            </w:r>
            <w:r w:rsidRPr="00412D43">
              <w:rPr>
                <w:rFonts w:eastAsia="MS Mincho"/>
                <w:iCs/>
                <w:color w:val="000000" w:themeColor="text1"/>
                <w:sz w:val="20"/>
                <w:szCs w:val="22"/>
                <w:lang w:eastAsia="es-ES"/>
              </w:rPr>
              <w:t>, del Bloque de información de Garantías Reales.</w:t>
            </w:r>
          </w:p>
        </w:tc>
      </w:tr>
    </w:tbl>
    <w:p w14:paraId="3B8511C0" w14:textId="77777777" w:rsidR="00412D43" w:rsidRPr="00412D43" w:rsidRDefault="00412D43" w:rsidP="00412D43">
      <w:pPr>
        <w:spacing w:line="240" w:lineRule="auto"/>
        <w:ind w:left="720"/>
        <w:contextualSpacing/>
        <w:rPr>
          <w:rFonts w:eastAsia="MS Mincho"/>
          <w:iCs/>
          <w:color w:val="000000" w:themeColor="text1"/>
          <w:sz w:val="24"/>
          <w:lang w:eastAsia="es-ES"/>
        </w:rPr>
      </w:pPr>
    </w:p>
    <w:p w14:paraId="7B06CDB6" w14:textId="77777777" w:rsidR="00412D43" w:rsidRPr="00412D43" w:rsidRDefault="00412D43" w:rsidP="00412D43">
      <w:pPr>
        <w:numPr>
          <w:ilvl w:val="0"/>
          <w:numId w:val="21"/>
        </w:numPr>
        <w:spacing w:line="240" w:lineRule="auto"/>
        <w:contextualSpacing/>
        <w:rPr>
          <w:rFonts w:eastAsia="Calibri"/>
          <w:color w:val="000000" w:themeColor="text1"/>
          <w:sz w:val="24"/>
          <w:lang w:val="es-CR"/>
        </w:rPr>
      </w:pPr>
      <w:r w:rsidRPr="00412D43">
        <w:rPr>
          <w:rFonts w:eastAsia="Calibri"/>
          <w:color w:val="000000" w:themeColor="text1"/>
          <w:sz w:val="24"/>
          <w:lang w:val="es-CR"/>
        </w:rPr>
        <w:t xml:space="preserve">Las entidades financieras deben establecer los mecanismos operativos y técnicos para que la información correspondiente a los nuevos campos asociados a estas reformas se identifique y mantenga a disposición en sus registros, para las nuevas operaciones crediticias a partir de las fechas de vigencia establecidas. </w:t>
      </w:r>
    </w:p>
    <w:p w14:paraId="4F0EAC96" w14:textId="77777777" w:rsidR="00412D43" w:rsidRPr="00412D43" w:rsidRDefault="00412D43" w:rsidP="00412D43">
      <w:pPr>
        <w:spacing w:line="240" w:lineRule="auto"/>
        <w:ind w:left="720"/>
        <w:contextualSpacing/>
        <w:rPr>
          <w:rFonts w:eastAsia="MS Mincho"/>
          <w:iCs/>
          <w:color w:val="000000" w:themeColor="text1"/>
          <w:sz w:val="24"/>
          <w:lang w:eastAsia="es-ES"/>
        </w:rPr>
      </w:pPr>
    </w:p>
    <w:p w14:paraId="00FFDEDF" w14:textId="6F11CABD" w:rsidR="00412D43" w:rsidRPr="00412D43" w:rsidRDefault="00412D43" w:rsidP="00412D43">
      <w:pPr>
        <w:numPr>
          <w:ilvl w:val="0"/>
          <w:numId w:val="21"/>
        </w:numPr>
        <w:spacing w:line="240" w:lineRule="auto"/>
        <w:contextualSpacing/>
        <w:rPr>
          <w:rFonts w:eastAsia="MS Mincho"/>
          <w:iCs/>
          <w:color w:val="000000" w:themeColor="text1"/>
          <w:sz w:val="24"/>
          <w:lang w:eastAsia="es-ES"/>
        </w:rPr>
      </w:pPr>
      <w:r w:rsidRPr="00412D43">
        <w:rPr>
          <w:rFonts w:eastAsia="MS Mincho"/>
          <w:iCs/>
          <w:color w:val="000000" w:themeColor="text1"/>
          <w:sz w:val="24"/>
          <w:lang w:eastAsia="es-ES"/>
        </w:rPr>
        <w:t xml:space="preserve">Que sin perjuicio de la entrada en vigencia de las reformas mencionadas, la incorporación de los campos nuevos en las estructuras de los archivos con </w:t>
      </w:r>
      <w:r w:rsidRPr="00412D43">
        <w:rPr>
          <w:rFonts w:eastAsia="MS Mincho"/>
          <w:iCs/>
          <w:color w:val="000000" w:themeColor="text1"/>
          <w:sz w:val="24"/>
          <w:lang w:eastAsia="es-ES"/>
        </w:rPr>
        <w:lastRenderedPageBreak/>
        <w:t xml:space="preserve">formato XML, así como las validaciones asociadas a estos cambios normativos, entrarán en vigencia a partir del periodo finalizado el </w:t>
      </w:r>
      <w:r w:rsidR="003E7D9A">
        <w:rPr>
          <w:rFonts w:eastAsia="MS Mincho"/>
          <w:b/>
          <w:iCs/>
          <w:color w:val="000000" w:themeColor="text1"/>
          <w:sz w:val="24"/>
          <w:lang w:eastAsia="es-ES"/>
        </w:rPr>
        <w:t>31</w:t>
      </w:r>
      <w:r w:rsidRPr="00412D43">
        <w:rPr>
          <w:rFonts w:eastAsia="MS Mincho"/>
          <w:b/>
          <w:iCs/>
          <w:color w:val="000000" w:themeColor="text1"/>
          <w:sz w:val="24"/>
          <w:lang w:eastAsia="es-ES"/>
        </w:rPr>
        <w:t xml:space="preserve"> de </w:t>
      </w:r>
      <w:r w:rsidR="003E7D9A">
        <w:rPr>
          <w:rFonts w:eastAsia="MS Mincho"/>
          <w:b/>
          <w:iCs/>
          <w:color w:val="000000" w:themeColor="text1"/>
          <w:sz w:val="24"/>
          <w:lang w:eastAsia="es-ES"/>
        </w:rPr>
        <w:t>marzo</w:t>
      </w:r>
      <w:r w:rsidRPr="00412D43">
        <w:rPr>
          <w:rFonts w:eastAsia="MS Mincho"/>
          <w:b/>
          <w:iCs/>
          <w:color w:val="000000" w:themeColor="text1"/>
          <w:sz w:val="24"/>
          <w:lang w:eastAsia="es-ES"/>
        </w:rPr>
        <w:t xml:space="preserve"> de 2017</w:t>
      </w:r>
      <w:r w:rsidRPr="00412D43">
        <w:rPr>
          <w:rFonts w:eastAsia="MS Mincho"/>
          <w:iCs/>
          <w:color w:val="000000" w:themeColor="text1"/>
          <w:sz w:val="24"/>
          <w:lang w:eastAsia="es-ES"/>
        </w:rPr>
        <w:t xml:space="preserve">, cuyos datos deben remitirse en </w:t>
      </w:r>
      <w:r w:rsidR="003E7D9A" w:rsidRPr="003E7D9A">
        <w:rPr>
          <w:rFonts w:eastAsia="MS Mincho"/>
          <w:b/>
          <w:iCs/>
          <w:color w:val="000000" w:themeColor="text1"/>
          <w:sz w:val="24"/>
          <w:lang w:eastAsia="es-ES"/>
        </w:rPr>
        <w:t>abril</w:t>
      </w:r>
      <w:r w:rsidRPr="00412D43">
        <w:rPr>
          <w:rFonts w:eastAsia="MS Mincho"/>
          <w:b/>
          <w:iCs/>
          <w:color w:val="000000" w:themeColor="text1"/>
          <w:sz w:val="24"/>
          <w:lang w:eastAsia="es-ES"/>
        </w:rPr>
        <w:t xml:space="preserve"> de 2017</w:t>
      </w:r>
      <w:r w:rsidRPr="00412D43">
        <w:rPr>
          <w:rFonts w:eastAsia="MS Mincho"/>
          <w:iCs/>
          <w:color w:val="000000" w:themeColor="text1"/>
          <w:sz w:val="24"/>
          <w:lang w:eastAsia="es-ES"/>
        </w:rPr>
        <w:t>.</w:t>
      </w:r>
    </w:p>
    <w:p w14:paraId="7315C575" w14:textId="77777777" w:rsidR="00412D43" w:rsidRPr="00412D43" w:rsidRDefault="00412D43" w:rsidP="00412D43">
      <w:pPr>
        <w:spacing w:line="240" w:lineRule="auto"/>
        <w:ind w:left="720"/>
        <w:contextualSpacing/>
        <w:rPr>
          <w:rFonts w:eastAsia="Calibri"/>
          <w:color w:val="000000" w:themeColor="text1"/>
          <w:sz w:val="24"/>
        </w:rPr>
      </w:pPr>
    </w:p>
    <w:p w14:paraId="25451F67" w14:textId="233A67F5" w:rsidR="00412D43" w:rsidRPr="00412D43" w:rsidRDefault="00412D43" w:rsidP="00412D43">
      <w:pPr>
        <w:numPr>
          <w:ilvl w:val="0"/>
          <w:numId w:val="21"/>
        </w:numPr>
        <w:spacing w:line="240" w:lineRule="auto"/>
        <w:contextualSpacing/>
        <w:rPr>
          <w:rFonts w:eastAsia="MS Mincho"/>
          <w:iCs/>
          <w:color w:val="000000" w:themeColor="text1"/>
          <w:sz w:val="24"/>
          <w:lang w:eastAsia="es-ES"/>
        </w:rPr>
      </w:pPr>
      <w:r w:rsidRPr="00412D43">
        <w:rPr>
          <w:rFonts w:eastAsia="Calibri"/>
          <w:color w:val="000000" w:themeColor="text1"/>
          <w:sz w:val="24"/>
          <w:lang w:val="es-CR"/>
        </w:rPr>
        <w:t xml:space="preserve">En lo que respecta al envío de la información sobre los nuevos campos, correspondientes a cada uno de los meses desde setiembre de 2016 hasta </w:t>
      </w:r>
      <w:r w:rsidR="003E7D9A">
        <w:rPr>
          <w:rFonts w:eastAsia="Calibri"/>
          <w:color w:val="000000" w:themeColor="text1"/>
          <w:sz w:val="24"/>
          <w:lang w:val="es-CR"/>
        </w:rPr>
        <w:t>febrero</w:t>
      </w:r>
      <w:r w:rsidRPr="00412D43">
        <w:rPr>
          <w:rFonts w:eastAsia="Calibri"/>
          <w:color w:val="000000" w:themeColor="text1"/>
          <w:sz w:val="24"/>
          <w:lang w:val="es-CR"/>
        </w:rPr>
        <w:t xml:space="preserve"> de 2017, para las nuevas operaciones que al cierre del mes de </w:t>
      </w:r>
      <w:r w:rsidR="003E7D9A">
        <w:rPr>
          <w:rFonts w:eastAsia="Calibri"/>
          <w:color w:val="000000" w:themeColor="text1"/>
          <w:sz w:val="24"/>
          <w:lang w:val="es-CR"/>
        </w:rPr>
        <w:t>marzo</w:t>
      </w:r>
      <w:r w:rsidRPr="00412D43">
        <w:rPr>
          <w:rFonts w:eastAsia="Calibri"/>
          <w:color w:val="000000" w:themeColor="text1"/>
          <w:sz w:val="24"/>
          <w:lang w:val="es-CR"/>
        </w:rPr>
        <w:t xml:space="preserve"> de 2017 ya no se mantengan en la cartera crediticia de la entidad, se procederá con su envío a la Superintendencia utilizando la misma estructura de datos </w:t>
      </w:r>
      <w:r w:rsidRPr="00412D43">
        <w:rPr>
          <w:rFonts w:eastAsia="MS Mincho"/>
          <w:iCs/>
          <w:color w:val="000000" w:themeColor="text1"/>
          <w:sz w:val="24"/>
          <w:lang w:eastAsia="es-ES"/>
        </w:rPr>
        <w:t xml:space="preserve">que entrará en vigencia a partir del periodo finalizado el </w:t>
      </w:r>
      <w:r w:rsidR="003E7D9A">
        <w:rPr>
          <w:rFonts w:eastAsia="MS Mincho"/>
          <w:b/>
          <w:iCs/>
          <w:color w:val="000000" w:themeColor="text1"/>
          <w:sz w:val="24"/>
          <w:lang w:eastAsia="es-ES"/>
        </w:rPr>
        <w:t>31</w:t>
      </w:r>
      <w:r w:rsidRPr="00412D43">
        <w:rPr>
          <w:rFonts w:eastAsia="MS Mincho"/>
          <w:b/>
          <w:iCs/>
          <w:color w:val="000000" w:themeColor="text1"/>
          <w:sz w:val="24"/>
          <w:lang w:eastAsia="es-ES"/>
        </w:rPr>
        <w:t xml:space="preserve"> de </w:t>
      </w:r>
      <w:r w:rsidR="003E7D9A">
        <w:rPr>
          <w:rFonts w:eastAsia="MS Mincho"/>
          <w:b/>
          <w:iCs/>
          <w:color w:val="000000" w:themeColor="text1"/>
          <w:sz w:val="24"/>
          <w:lang w:eastAsia="es-ES"/>
        </w:rPr>
        <w:t>marzo</w:t>
      </w:r>
      <w:r w:rsidRPr="00412D43">
        <w:rPr>
          <w:rFonts w:eastAsia="MS Mincho"/>
          <w:b/>
          <w:iCs/>
          <w:color w:val="000000" w:themeColor="text1"/>
          <w:sz w:val="24"/>
          <w:lang w:eastAsia="es-ES"/>
        </w:rPr>
        <w:t xml:space="preserve"> de 2017</w:t>
      </w:r>
      <w:r w:rsidRPr="00412D43">
        <w:rPr>
          <w:rFonts w:eastAsia="MS Mincho"/>
          <w:iCs/>
          <w:color w:val="000000" w:themeColor="text1"/>
          <w:sz w:val="24"/>
          <w:lang w:eastAsia="es-ES"/>
        </w:rPr>
        <w:t xml:space="preserve">. El envío de esta información complementaria se debe realizar mediante el Sistema de Notificaciones de SUGEF y en el transcurso del mes de </w:t>
      </w:r>
      <w:r w:rsidR="003E7D9A" w:rsidRPr="003E7D9A">
        <w:rPr>
          <w:rFonts w:eastAsia="MS Mincho"/>
          <w:b/>
          <w:iCs/>
          <w:color w:val="000000" w:themeColor="text1"/>
          <w:sz w:val="24"/>
          <w:lang w:eastAsia="es-ES"/>
        </w:rPr>
        <w:t>abril</w:t>
      </w:r>
      <w:r w:rsidRPr="003E7D9A">
        <w:rPr>
          <w:rFonts w:eastAsia="MS Mincho"/>
          <w:b/>
          <w:iCs/>
          <w:color w:val="000000" w:themeColor="text1"/>
          <w:sz w:val="24"/>
          <w:lang w:eastAsia="es-ES"/>
        </w:rPr>
        <w:t xml:space="preserve"> </w:t>
      </w:r>
      <w:r w:rsidRPr="00412D43">
        <w:rPr>
          <w:rFonts w:eastAsia="MS Mincho"/>
          <w:b/>
          <w:iCs/>
          <w:color w:val="000000" w:themeColor="text1"/>
          <w:sz w:val="24"/>
          <w:lang w:eastAsia="es-ES"/>
        </w:rPr>
        <w:t>de 2017</w:t>
      </w:r>
      <w:r w:rsidRPr="00412D43">
        <w:rPr>
          <w:rFonts w:eastAsia="MS Mincho"/>
          <w:iCs/>
          <w:color w:val="000000" w:themeColor="text1"/>
          <w:sz w:val="24"/>
          <w:lang w:eastAsia="es-ES"/>
        </w:rPr>
        <w:t>.</w:t>
      </w:r>
    </w:p>
    <w:p w14:paraId="67D28835" w14:textId="77777777" w:rsidR="00412D43" w:rsidRPr="00412D43" w:rsidRDefault="00412D43" w:rsidP="00412D43">
      <w:pPr>
        <w:spacing w:line="240" w:lineRule="auto"/>
        <w:ind w:left="720"/>
        <w:contextualSpacing/>
        <w:rPr>
          <w:rFonts w:eastAsia="Calibri"/>
          <w:color w:val="000000" w:themeColor="text1"/>
          <w:sz w:val="24"/>
          <w:lang w:val="es-CR"/>
        </w:rPr>
      </w:pPr>
    </w:p>
    <w:p w14:paraId="12C058A3" w14:textId="77777777" w:rsidR="00412D43" w:rsidRPr="00412D43" w:rsidRDefault="00412D43" w:rsidP="00412D43">
      <w:pPr>
        <w:numPr>
          <w:ilvl w:val="0"/>
          <w:numId w:val="21"/>
        </w:numPr>
        <w:spacing w:line="240" w:lineRule="auto"/>
        <w:contextualSpacing/>
        <w:rPr>
          <w:rFonts w:eastAsia="Calibri"/>
          <w:color w:val="000000" w:themeColor="text1"/>
          <w:sz w:val="24"/>
          <w:lang w:val="es-CR"/>
        </w:rPr>
      </w:pPr>
      <w:r w:rsidRPr="00412D43">
        <w:rPr>
          <w:rFonts w:eastAsia="Calibri"/>
          <w:color w:val="000000" w:themeColor="text1"/>
          <w:sz w:val="24"/>
          <w:lang w:val="es-CR"/>
        </w:rPr>
        <w:t xml:space="preserve">El documento Línea Base 1.10 de la Clase </w:t>
      </w:r>
      <w:bookmarkStart w:id="0" w:name="_GoBack"/>
      <w:bookmarkEnd w:id="0"/>
      <w:r w:rsidRPr="00412D43">
        <w:rPr>
          <w:rFonts w:eastAsia="Calibri"/>
          <w:color w:val="000000" w:themeColor="text1"/>
          <w:sz w:val="24"/>
          <w:lang w:val="es-CR"/>
        </w:rPr>
        <w:t>de Datos Operaciones Crediticias y Línea Base 1.6 de la Clase de Datos Garantía y las tablas correspondientes a las modificaciones, se publicaron el 19 de agosto del 2016, en el apartado Manuales/SICVECA Crediticio del sitio Web de esta Superintendencia.</w:t>
      </w:r>
    </w:p>
    <w:p w14:paraId="78151098" w14:textId="77777777" w:rsidR="00412D43" w:rsidRPr="00412D43" w:rsidRDefault="00412D43" w:rsidP="00412D43">
      <w:pPr>
        <w:spacing w:line="240" w:lineRule="auto"/>
        <w:ind w:left="720"/>
        <w:contextualSpacing/>
        <w:rPr>
          <w:rFonts w:eastAsia="Calibri"/>
          <w:color w:val="000000" w:themeColor="text1"/>
          <w:sz w:val="24"/>
          <w:lang w:val="es-CR"/>
        </w:rPr>
      </w:pPr>
    </w:p>
    <w:p w14:paraId="5B2A9DF0" w14:textId="77777777" w:rsidR="00412D43" w:rsidRPr="00412D43" w:rsidRDefault="00412D43" w:rsidP="00412D43">
      <w:pPr>
        <w:numPr>
          <w:ilvl w:val="0"/>
          <w:numId w:val="21"/>
        </w:numPr>
        <w:spacing w:line="240" w:lineRule="auto"/>
        <w:contextualSpacing/>
        <w:rPr>
          <w:rFonts w:eastAsia="Calibri"/>
          <w:color w:val="000000" w:themeColor="text1"/>
          <w:sz w:val="24"/>
          <w:lang w:val="es-CR"/>
        </w:rPr>
      </w:pPr>
      <w:r w:rsidRPr="00412D43">
        <w:rPr>
          <w:rFonts w:eastAsia="Calibri"/>
          <w:color w:val="000000" w:themeColor="text1"/>
          <w:sz w:val="24"/>
          <w:lang w:val="es-CR"/>
        </w:rPr>
        <w:t xml:space="preserve">Las pruebas de las entidades pueden realizarse durante </w:t>
      </w:r>
      <w:r w:rsidRPr="00412D43">
        <w:rPr>
          <w:rFonts w:eastAsia="Calibri"/>
          <w:b/>
          <w:color w:val="000000" w:themeColor="text1"/>
          <w:sz w:val="24"/>
          <w:lang w:val="es-CR"/>
        </w:rPr>
        <w:t>enero y febrero de 2017</w:t>
      </w:r>
      <w:r w:rsidRPr="00412D43">
        <w:rPr>
          <w:rFonts w:eastAsia="Calibri"/>
          <w:color w:val="000000" w:themeColor="text1"/>
          <w:sz w:val="24"/>
          <w:lang w:val="es-CR"/>
        </w:rPr>
        <w:t xml:space="preserve"> utilizando el período diciembre 2015 para las cargas de Crediticio y Garantías. Estas pruebas no deben venir firmadas.</w:t>
      </w:r>
    </w:p>
    <w:p w14:paraId="0CF9F0CF" w14:textId="77777777" w:rsidR="00412D43" w:rsidRPr="00412D43" w:rsidRDefault="00412D43" w:rsidP="00412D43">
      <w:pPr>
        <w:spacing w:line="240" w:lineRule="auto"/>
        <w:ind w:left="720"/>
        <w:contextualSpacing/>
        <w:rPr>
          <w:rFonts w:eastAsia="Calibri"/>
          <w:color w:val="000000" w:themeColor="text1"/>
          <w:sz w:val="24"/>
          <w:lang w:val="es-CR"/>
        </w:rPr>
      </w:pPr>
    </w:p>
    <w:p w14:paraId="6B97E8E6" w14:textId="77777777" w:rsidR="00412D43" w:rsidRPr="00412D43" w:rsidRDefault="00412D43" w:rsidP="00412D43">
      <w:pPr>
        <w:numPr>
          <w:ilvl w:val="0"/>
          <w:numId w:val="21"/>
        </w:numPr>
        <w:spacing w:line="240" w:lineRule="auto"/>
        <w:contextualSpacing/>
        <w:rPr>
          <w:rFonts w:eastAsia="Calibri"/>
          <w:color w:val="000000" w:themeColor="text1"/>
          <w:sz w:val="24"/>
          <w:lang w:val="es-CR"/>
        </w:rPr>
      </w:pPr>
      <w:r w:rsidRPr="00412D43">
        <w:rPr>
          <w:rFonts w:eastAsia="Calibri"/>
          <w:color w:val="000000" w:themeColor="text1"/>
          <w:sz w:val="24"/>
          <w:lang w:val="es-CR"/>
        </w:rPr>
        <w:t xml:space="preserve">La dirección de la extranet de SICVECA para las pruebas es: https://201.195.231.133/extranet/. Las entidades deben tramitar el acceso a esta dirección con el señor Osvaldo Sánchez Chaves al teléfono 22434930 o a la dirección de correo electrónico: </w:t>
      </w:r>
      <w:hyperlink r:id="rId12" w:history="1">
        <w:r w:rsidRPr="00412D43">
          <w:rPr>
            <w:rFonts w:eastAsia="Calibri"/>
            <w:color w:val="4F81BD" w:themeColor="hyperlink"/>
            <w:sz w:val="24"/>
            <w:u w:val="single"/>
            <w:lang w:val="es-CR"/>
          </w:rPr>
          <w:t>osanchez@sugef.fi.cr</w:t>
        </w:r>
      </w:hyperlink>
    </w:p>
    <w:p w14:paraId="3DCEA622" w14:textId="77777777" w:rsidR="00412D43" w:rsidRPr="00412D43" w:rsidRDefault="00412D43" w:rsidP="00412D43">
      <w:pPr>
        <w:spacing w:line="240" w:lineRule="auto"/>
        <w:ind w:left="720"/>
        <w:contextualSpacing/>
        <w:jc w:val="left"/>
        <w:rPr>
          <w:rFonts w:eastAsia="Calibri"/>
          <w:color w:val="000000" w:themeColor="text1"/>
          <w:sz w:val="24"/>
          <w:lang w:val="es-CR"/>
        </w:rPr>
      </w:pPr>
    </w:p>
    <w:p w14:paraId="3BC83374" w14:textId="77777777" w:rsidR="00412D43" w:rsidRPr="00412D43" w:rsidRDefault="00412D43" w:rsidP="00412D43">
      <w:pPr>
        <w:numPr>
          <w:ilvl w:val="0"/>
          <w:numId w:val="21"/>
        </w:numPr>
        <w:spacing w:line="240" w:lineRule="auto"/>
        <w:contextualSpacing/>
        <w:rPr>
          <w:rFonts w:eastAsia="Calibri"/>
          <w:color w:val="000000" w:themeColor="text1"/>
          <w:sz w:val="24"/>
          <w:lang w:val="es-CR"/>
        </w:rPr>
      </w:pPr>
      <w:r w:rsidRPr="00412D43">
        <w:rPr>
          <w:rFonts w:eastAsia="Calibri"/>
          <w:color w:val="000000" w:themeColor="text1"/>
          <w:sz w:val="24"/>
          <w:lang w:val="es-CR"/>
        </w:rPr>
        <w:lastRenderedPageBreak/>
        <w:t xml:space="preserve">Para consultas, comunicarse a la dirección de correo: es : </w:t>
      </w:r>
      <w:hyperlink r:id="rId13" w:history="1">
        <w:r w:rsidRPr="00412D43">
          <w:rPr>
            <w:rFonts w:eastAsia="Calibri"/>
            <w:color w:val="4F81BD" w:themeColor="hyperlink"/>
            <w:sz w:val="24"/>
            <w:u w:val="single"/>
            <w:lang w:val="es-CR"/>
          </w:rPr>
          <w:t>consultassicvecacredito@sugef.fi.cr</w:t>
        </w:r>
      </w:hyperlink>
    </w:p>
    <w:p w14:paraId="0A6ABF76" w14:textId="77777777" w:rsidR="00412D43" w:rsidRPr="00412D43" w:rsidRDefault="00412D43" w:rsidP="00412D43">
      <w:pPr>
        <w:rPr>
          <w:rFonts w:eastAsia="Calibri"/>
          <w:color w:val="000000" w:themeColor="text1"/>
          <w:lang w:val="es-CR"/>
        </w:rPr>
      </w:pPr>
    </w:p>
    <w:p w14:paraId="3C3FCEEF" w14:textId="77777777" w:rsidR="00412D43" w:rsidRPr="00412D43" w:rsidRDefault="00412D43" w:rsidP="00412D43">
      <w:pPr>
        <w:spacing w:line="240" w:lineRule="auto"/>
        <w:ind w:left="720"/>
        <w:contextualSpacing/>
        <w:rPr>
          <w:rFonts w:eastAsia="MS Mincho"/>
          <w:color w:val="000000" w:themeColor="text1"/>
          <w:sz w:val="24"/>
          <w:lang w:eastAsia="es-ES"/>
        </w:rPr>
      </w:pPr>
    </w:p>
    <w:p w14:paraId="76F28215" w14:textId="77777777" w:rsidR="00412D43" w:rsidRPr="00412D43" w:rsidRDefault="00412D43" w:rsidP="00412D43">
      <w:pPr>
        <w:spacing w:line="240" w:lineRule="auto"/>
        <w:rPr>
          <w:sz w:val="24"/>
        </w:rPr>
      </w:pPr>
      <w:r w:rsidRPr="00412D43">
        <w:rPr>
          <w:sz w:val="24"/>
        </w:rPr>
        <w:t>Atentamente,</w:t>
      </w:r>
    </w:p>
    <w:p w14:paraId="507568F9" w14:textId="77777777" w:rsidR="00412D43" w:rsidRPr="00412D43" w:rsidRDefault="00412D43" w:rsidP="00412D43">
      <w:pPr>
        <w:spacing w:line="240" w:lineRule="auto"/>
        <w:rPr>
          <w:sz w:val="24"/>
        </w:rPr>
      </w:pPr>
      <w:r w:rsidRPr="00412D43">
        <w:rPr>
          <w:noProof/>
          <w:sz w:val="24"/>
          <w:lang w:val="es-CR" w:eastAsia="es-CR"/>
        </w:rPr>
        <w:drawing>
          <wp:anchor distT="0" distB="0" distL="114300" distR="114300" simplePos="0" relativeHeight="251659264" behindDoc="1" locked="0" layoutInCell="1" allowOverlap="1" wp14:anchorId="1419F1A4" wp14:editId="4257EFA1">
            <wp:simplePos x="0" y="0"/>
            <wp:positionH relativeFrom="column">
              <wp:posOffset>-100390</wp:posOffset>
            </wp:positionH>
            <wp:positionV relativeFrom="paragraph">
              <wp:posOffset>152495</wp:posOffset>
            </wp:positionV>
            <wp:extent cx="2519680" cy="3905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348F059" w14:textId="77777777" w:rsidR="00412D43" w:rsidRPr="00412D43" w:rsidRDefault="00412D43" w:rsidP="00412D43">
      <w:pPr>
        <w:spacing w:line="240" w:lineRule="auto"/>
        <w:rPr>
          <w:sz w:val="24"/>
        </w:rPr>
      </w:pPr>
    </w:p>
    <w:p w14:paraId="603962A4" w14:textId="77777777" w:rsidR="00412D43" w:rsidRPr="00412D43" w:rsidRDefault="00412D43" w:rsidP="00412D43">
      <w:pPr>
        <w:spacing w:line="240" w:lineRule="auto"/>
        <w:rPr>
          <w:sz w:val="24"/>
        </w:rPr>
      </w:pPr>
    </w:p>
    <w:p w14:paraId="148A2564" w14:textId="77777777" w:rsidR="00412D43" w:rsidRPr="00412D43" w:rsidRDefault="00412D43" w:rsidP="00412D43">
      <w:pPr>
        <w:spacing w:line="240" w:lineRule="auto"/>
        <w:rPr>
          <w:sz w:val="24"/>
        </w:rPr>
      </w:pPr>
    </w:p>
    <w:p w14:paraId="12C931D1" w14:textId="77777777" w:rsidR="00412D43" w:rsidRPr="00412D43" w:rsidRDefault="00412D43" w:rsidP="00412D43">
      <w:pPr>
        <w:spacing w:line="240" w:lineRule="auto"/>
        <w:rPr>
          <w:b/>
          <w:sz w:val="24"/>
        </w:rPr>
      </w:pPr>
      <w:r w:rsidRPr="00412D43">
        <w:rPr>
          <w:b/>
          <w:sz w:val="24"/>
        </w:rPr>
        <w:t>Javier Cascante Elizondo</w:t>
      </w:r>
    </w:p>
    <w:p w14:paraId="4B88D327" w14:textId="77777777" w:rsidR="00412D43" w:rsidRPr="00412D43" w:rsidRDefault="00412D43" w:rsidP="00412D43">
      <w:pPr>
        <w:autoSpaceDE w:val="0"/>
        <w:autoSpaceDN w:val="0"/>
        <w:adjustRightInd w:val="0"/>
        <w:spacing w:line="240" w:lineRule="auto"/>
        <w:jc w:val="left"/>
        <w:rPr>
          <w:rFonts w:eastAsia="MS Mincho"/>
          <w:color w:val="000000"/>
          <w:sz w:val="24"/>
          <w:lang w:eastAsia="es-CR"/>
        </w:rPr>
      </w:pPr>
      <w:r w:rsidRPr="00412D43">
        <w:rPr>
          <w:rFonts w:eastAsia="MS Mincho"/>
          <w:color w:val="000000"/>
          <w:sz w:val="24"/>
          <w:lang w:val="es-CR" w:eastAsia="es-CR"/>
        </w:rPr>
        <w:t>Superintendente</w:t>
      </w:r>
    </w:p>
    <w:p w14:paraId="5B1949CC" w14:textId="77777777" w:rsidR="00412D43" w:rsidRPr="00412D43" w:rsidRDefault="00412D43" w:rsidP="00412D43">
      <w:pPr>
        <w:spacing w:line="240" w:lineRule="auto"/>
        <w:rPr>
          <w:sz w:val="24"/>
        </w:rPr>
      </w:pPr>
    </w:p>
    <w:p w14:paraId="7430EDA6" w14:textId="60E0A93C" w:rsidR="00412D43" w:rsidRPr="00412D43" w:rsidRDefault="005E3A70" w:rsidP="00412D43">
      <w:pPr>
        <w:spacing w:line="240" w:lineRule="auto"/>
        <w:rPr>
          <w:b/>
          <w:sz w:val="24"/>
        </w:rPr>
      </w:pPr>
      <w:r>
        <w:rPr>
          <w:b/>
          <w:sz w:val="24"/>
        </w:rPr>
        <w:t>GSC/GAA/nbm</w:t>
      </w:r>
      <w:r w:rsidR="00412D43" w:rsidRPr="00412D43">
        <w:rPr>
          <w:b/>
          <w:sz w:val="24"/>
        </w:rPr>
        <w:t>*</w:t>
      </w:r>
    </w:p>
    <w:p w14:paraId="2998002B" w14:textId="6A28E2F3" w:rsidR="00A26E9E" w:rsidRPr="00BC31CA" w:rsidRDefault="00A26E9E" w:rsidP="00412D43">
      <w:pPr>
        <w:spacing w:before="120" w:after="120" w:line="240" w:lineRule="auto"/>
        <w:ind w:left="33"/>
        <w:jc w:val="center"/>
        <w:rPr>
          <w:rFonts w:asciiTheme="majorHAnsi" w:hAnsiTheme="majorHAnsi"/>
          <w:b/>
          <w:sz w:val="24"/>
        </w:rPr>
      </w:pPr>
    </w:p>
    <w:sectPr w:rsidR="00A26E9E" w:rsidRPr="00BC31CA"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8491F" w14:textId="77777777" w:rsidR="00C04270" w:rsidRDefault="00C04270" w:rsidP="00D43D57">
      <w:r>
        <w:separator/>
      </w:r>
    </w:p>
  </w:endnote>
  <w:endnote w:type="continuationSeparator" w:id="0">
    <w:p w14:paraId="09D807C6" w14:textId="77777777" w:rsidR="00C04270" w:rsidRDefault="00C0427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0033" w14:textId="77777777" w:rsidR="00062300" w:rsidRDefault="00062300"/>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062300" w14:paraId="2998003B" w14:textId="77777777" w:rsidTr="008F1461">
      <w:trPr>
        <w:trHeight w:val="546"/>
      </w:trPr>
      <w:tc>
        <w:tcPr>
          <w:tcW w:w="3189" w:type="dxa"/>
          <w:shd w:val="clear" w:color="auto" w:fill="FFFFFF"/>
          <w:vAlign w:val="center"/>
        </w:tcPr>
        <w:p w14:paraId="29980034" w14:textId="77777777" w:rsidR="00062300" w:rsidRDefault="00062300" w:rsidP="000C62BB">
          <w:pPr>
            <w:pStyle w:val="Piepagina"/>
          </w:pPr>
          <w:r>
            <w:rPr>
              <w:b/>
              <w:bCs/>
            </w:rPr>
            <w:t>Teléfono</w:t>
          </w:r>
          <w:r>
            <w:t xml:space="preserve">   (506) 2243-4848</w:t>
          </w:r>
        </w:p>
        <w:p w14:paraId="29980035" w14:textId="77777777" w:rsidR="00062300" w:rsidRDefault="00062300" w:rsidP="000C62BB">
          <w:pPr>
            <w:pStyle w:val="Piepagina"/>
          </w:pPr>
          <w:r>
            <w:rPr>
              <w:b/>
              <w:bCs/>
            </w:rPr>
            <w:t>Facsímile</w:t>
          </w:r>
          <w:r>
            <w:t xml:space="preserve">  (506) 2243-4849</w:t>
          </w:r>
        </w:p>
      </w:tc>
      <w:tc>
        <w:tcPr>
          <w:tcW w:w="2835" w:type="dxa"/>
          <w:shd w:val="clear" w:color="auto" w:fill="FFFFFF"/>
          <w:vAlign w:val="center"/>
        </w:tcPr>
        <w:p w14:paraId="29980036" w14:textId="77777777" w:rsidR="00062300" w:rsidRDefault="00062300" w:rsidP="000C62BB">
          <w:pPr>
            <w:pStyle w:val="Piepagina"/>
          </w:pPr>
          <w:r>
            <w:rPr>
              <w:b/>
              <w:bCs/>
            </w:rPr>
            <w:t>Apartado</w:t>
          </w:r>
          <w:r>
            <w:t xml:space="preserve"> 2762-1000</w:t>
          </w:r>
        </w:p>
        <w:p w14:paraId="29980037" w14:textId="77777777" w:rsidR="00062300" w:rsidRDefault="00062300" w:rsidP="000C62BB">
          <w:pPr>
            <w:pStyle w:val="Piepagina"/>
          </w:pPr>
          <w:r>
            <w:t>San José, Costa Rica</w:t>
          </w:r>
        </w:p>
      </w:tc>
      <w:tc>
        <w:tcPr>
          <w:tcW w:w="2410" w:type="dxa"/>
          <w:shd w:val="clear" w:color="auto" w:fill="FFFFFF"/>
          <w:vAlign w:val="center"/>
        </w:tcPr>
        <w:p w14:paraId="29980038" w14:textId="77777777" w:rsidR="00062300" w:rsidRDefault="00062300" w:rsidP="000C62BB">
          <w:pPr>
            <w:pStyle w:val="Piepagina"/>
          </w:pPr>
          <w:r>
            <w:t>www.sugef.fi.cr</w:t>
          </w:r>
        </w:p>
        <w:p w14:paraId="29980039" w14:textId="77777777" w:rsidR="00062300" w:rsidRDefault="00062300" w:rsidP="000C62BB">
          <w:pPr>
            <w:pStyle w:val="Piepagina"/>
          </w:pPr>
          <w:r>
            <w:t>sugefcr@sugef.fi.cr</w:t>
          </w:r>
        </w:p>
      </w:tc>
      <w:tc>
        <w:tcPr>
          <w:tcW w:w="260" w:type="dxa"/>
          <w:shd w:val="clear" w:color="auto" w:fill="FFFFFF"/>
        </w:tcPr>
        <w:p w14:paraId="2998003A" w14:textId="77777777" w:rsidR="00062300" w:rsidRDefault="00062300" w:rsidP="000C62BB">
          <w:pPr>
            <w:pStyle w:val="Piepagina"/>
          </w:pPr>
          <w:r>
            <w:fldChar w:fldCharType="begin"/>
          </w:r>
          <w:r>
            <w:instrText>PAGE   \* MERGEFORMAT</w:instrText>
          </w:r>
          <w:r>
            <w:fldChar w:fldCharType="separate"/>
          </w:r>
          <w:r w:rsidR="003E7D9A">
            <w:rPr>
              <w:noProof/>
            </w:rPr>
            <w:t>3</w:t>
          </w:r>
          <w:r>
            <w:fldChar w:fldCharType="end"/>
          </w:r>
        </w:p>
      </w:tc>
    </w:tr>
  </w:tbl>
  <w:p w14:paraId="2998003C" w14:textId="77777777" w:rsidR="00062300" w:rsidRPr="000C62BB" w:rsidRDefault="00062300">
    <w:pPr>
      <w:pStyle w:val="Piedepgina"/>
      <w:jc w:val="right"/>
      <w:rPr>
        <w:color w:val="969696"/>
        <w:sz w:val="20"/>
        <w:szCs w:val="20"/>
      </w:rPr>
    </w:pPr>
  </w:p>
  <w:p w14:paraId="2998003D" w14:textId="77777777" w:rsidR="00062300" w:rsidRDefault="00062300"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0040" w14:textId="77777777" w:rsidR="00062300" w:rsidRDefault="00062300" w:rsidP="008C0BF0">
    <w:pPr>
      <w:pStyle w:val="Piepagina"/>
      <w:jc w:val="center"/>
    </w:pPr>
    <w:r>
      <w:rPr>
        <w:noProof/>
        <w:lang w:val="es-CR" w:eastAsia="es-CR"/>
      </w:rPr>
      <w:drawing>
        <wp:anchor distT="0" distB="0" distL="114300" distR="114300" simplePos="0" relativeHeight="251669504" behindDoc="1" locked="0" layoutInCell="1" allowOverlap="1" wp14:anchorId="29980047" wp14:editId="29980048">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mc:AlternateContent>
        <mc:Choice Requires="wps">
          <w:drawing>
            <wp:anchor distT="0" distB="0" distL="114300" distR="114300" simplePos="0" relativeHeight="251670528" behindDoc="0" locked="0" layoutInCell="1" allowOverlap="1" wp14:anchorId="29980049" wp14:editId="2998004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004B" w14:textId="77777777" w:rsidR="00062300" w:rsidRPr="00FA54DF" w:rsidRDefault="00062300">
                          <w:pPr>
                            <w:rPr>
                              <w:color w:val="003A68"/>
                              <w:sz w:val="14"/>
                              <w:szCs w:val="14"/>
                            </w:rPr>
                          </w:pPr>
                          <w:r w:rsidRPr="00FA54DF">
                            <w:rPr>
                              <w:color w:val="003A68"/>
                              <w:sz w:val="14"/>
                              <w:szCs w:val="14"/>
                            </w:rPr>
                            <w:t xml:space="preserve">T. (506) 2243-3631   </w:t>
                          </w:r>
                        </w:p>
                        <w:p w14:paraId="2998004C" w14:textId="77777777" w:rsidR="00062300" w:rsidRPr="00FA54DF" w:rsidRDefault="00062300">
                          <w:pPr>
                            <w:rPr>
                              <w:color w:val="003A68"/>
                              <w:sz w:val="14"/>
                              <w:szCs w:val="14"/>
                            </w:rPr>
                          </w:pPr>
                          <w:r w:rsidRPr="00FA54DF">
                            <w:rPr>
                              <w:color w:val="003A68"/>
                              <w:sz w:val="14"/>
                              <w:szCs w:val="14"/>
                            </w:rPr>
                            <w:t xml:space="preserve">F. (506) 2243-4579   </w:t>
                          </w:r>
                        </w:p>
                        <w:p w14:paraId="2998004D" w14:textId="77777777" w:rsidR="00062300" w:rsidRDefault="00062300">
                          <w:pPr>
                            <w:rPr>
                              <w:color w:val="003A68"/>
                              <w:sz w:val="14"/>
                              <w:szCs w:val="14"/>
                            </w:rPr>
                          </w:pPr>
                          <w:r w:rsidRPr="00FA54DF">
                            <w:rPr>
                              <w:color w:val="003A68"/>
                              <w:sz w:val="14"/>
                              <w:szCs w:val="14"/>
                            </w:rPr>
                            <w:t>Apdo. 10058-1000</w:t>
                          </w:r>
                        </w:p>
                        <w:p w14:paraId="2998004E" w14:textId="77777777" w:rsidR="00062300" w:rsidRDefault="00062300">
                          <w:pPr>
                            <w:rPr>
                              <w:color w:val="003A68"/>
                              <w:sz w:val="14"/>
                              <w:szCs w:val="14"/>
                            </w:rPr>
                          </w:pPr>
                          <w:r w:rsidRPr="00FA54DF">
                            <w:rPr>
                              <w:color w:val="003A68"/>
                              <w:sz w:val="14"/>
                              <w:szCs w:val="14"/>
                            </w:rPr>
                            <w:t>Av. 1 y Central, Calles 2 y 4</w:t>
                          </w:r>
                        </w:p>
                        <w:p w14:paraId="2998004F" w14:textId="77777777" w:rsidR="00062300" w:rsidRPr="00FA54DF" w:rsidRDefault="00062300">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80049"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2998004B" w14:textId="77777777" w:rsidR="00062300" w:rsidRPr="00FA54DF" w:rsidRDefault="00062300">
                    <w:pPr>
                      <w:rPr>
                        <w:color w:val="003A68"/>
                        <w:sz w:val="14"/>
                        <w:szCs w:val="14"/>
                      </w:rPr>
                    </w:pPr>
                    <w:r w:rsidRPr="00FA54DF">
                      <w:rPr>
                        <w:color w:val="003A68"/>
                        <w:sz w:val="14"/>
                        <w:szCs w:val="14"/>
                      </w:rPr>
                      <w:t xml:space="preserve">T. (506) 2243-3631   </w:t>
                    </w:r>
                  </w:p>
                  <w:p w14:paraId="2998004C" w14:textId="77777777" w:rsidR="00062300" w:rsidRPr="00FA54DF" w:rsidRDefault="00062300">
                    <w:pPr>
                      <w:rPr>
                        <w:color w:val="003A68"/>
                        <w:sz w:val="14"/>
                        <w:szCs w:val="14"/>
                      </w:rPr>
                    </w:pPr>
                    <w:r w:rsidRPr="00FA54DF">
                      <w:rPr>
                        <w:color w:val="003A68"/>
                        <w:sz w:val="14"/>
                        <w:szCs w:val="14"/>
                      </w:rPr>
                      <w:t xml:space="preserve">F. (506) 2243-4579   </w:t>
                    </w:r>
                  </w:p>
                  <w:p w14:paraId="2998004D" w14:textId="77777777" w:rsidR="00062300" w:rsidRDefault="00062300">
                    <w:pPr>
                      <w:rPr>
                        <w:color w:val="003A68"/>
                        <w:sz w:val="14"/>
                        <w:szCs w:val="14"/>
                      </w:rPr>
                    </w:pPr>
                    <w:r w:rsidRPr="00FA54DF">
                      <w:rPr>
                        <w:color w:val="003A68"/>
                        <w:sz w:val="14"/>
                        <w:szCs w:val="14"/>
                      </w:rPr>
                      <w:t>Apdo. 10058-1000</w:t>
                    </w:r>
                  </w:p>
                  <w:p w14:paraId="2998004E" w14:textId="77777777" w:rsidR="00062300" w:rsidRDefault="00062300">
                    <w:pPr>
                      <w:rPr>
                        <w:color w:val="003A68"/>
                        <w:sz w:val="14"/>
                        <w:szCs w:val="14"/>
                      </w:rPr>
                    </w:pPr>
                    <w:r w:rsidRPr="00FA54DF">
                      <w:rPr>
                        <w:color w:val="003A68"/>
                        <w:sz w:val="14"/>
                        <w:szCs w:val="14"/>
                      </w:rPr>
                      <w:t>Av. 1 y Central, Calles 2 y 4</w:t>
                    </w:r>
                  </w:p>
                  <w:p w14:paraId="2998004F" w14:textId="77777777" w:rsidR="00062300" w:rsidRPr="00FA54DF" w:rsidRDefault="00062300">
                    <w:pPr>
                      <w:rPr>
                        <w:color w:val="003A68"/>
                        <w:sz w:val="14"/>
                        <w:szCs w:val="14"/>
                      </w:rPr>
                    </w:pPr>
                  </w:p>
                </w:txbxContent>
              </v:textbox>
            </v:shape>
          </w:pict>
        </mc:Fallback>
      </mc:AlternateContent>
    </w:r>
  </w:p>
  <w:p w14:paraId="29980041" w14:textId="77777777" w:rsidR="00062300" w:rsidRPr="00D43D57" w:rsidRDefault="00062300" w:rsidP="008C0BF0">
    <w:pPr>
      <w:pStyle w:val="Piepagina"/>
      <w:jc w:val="center"/>
    </w:pPr>
  </w:p>
  <w:p w14:paraId="29980042" w14:textId="77777777" w:rsidR="00062300" w:rsidRDefault="000623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522C1" w14:textId="77777777" w:rsidR="00C04270" w:rsidRDefault="00C04270" w:rsidP="00D43D57">
      <w:r>
        <w:separator/>
      </w:r>
    </w:p>
  </w:footnote>
  <w:footnote w:type="continuationSeparator" w:id="0">
    <w:p w14:paraId="7D8E99D1" w14:textId="77777777" w:rsidR="00C04270" w:rsidRDefault="00C04270"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0032" w14:textId="77777777" w:rsidR="00062300" w:rsidRDefault="00062300" w:rsidP="001327EB">
    <w:pPr>
      <w:pStyle w:val="Piedepgina"/>
      <w:jc w:val="center"/>
    </w:pPr>
    <w:r>
      <w:rPr>
        <w:noProof/>
        <w:lang w:val="es-CR" w:eastAsia="es-CR"/>
      </w:rPr>
      <w:drawing>
        <wp:inline distT="0" distB="0" distL="0" distR="0" wp14:anchorId="29980043" wp14:editId="2998004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003E" w14:textId="77777777" w:rsidR="00062300" w:rsidRPr="00D96D0A" w:rsidRDefault="00062300" w:rsidP="00D96D0A">
    <w:pPr>
      <w:pStyle w:val="Encabezado"/>
      <w:pBdr>
        <w:bottom w:val="single" w:sz="4" w:space="3" w:color="auto"/>
      </w:pBdr>
      <w:ind w:right="-1"/>
      <w:rPr>
        <w:b/>
        <w:sz w:val="20"/>
        <w:szCs w:val="20"/>
      </w:rPr>
    </w:pPr>
    <w:r>
      <w:rPr>
        <w:noProof/>
        <w:lang w:val="es-CR" w:eastAsia="es-CR"/>
      </w:rPr>
      <w:drawing>
        <wp:inline distT="0" distB="0" distL="0" distR="0" wp14:anchorId="29980045" wp14:editId="29980046">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2998003F" w14:textId="77777777" w:rsidR="00062300" w:rsidRDefault="00062300"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6182"/>
    <w:multiLevelType w:val="hybridMultilevel"/>
    <w:tmpl w:val="0440636C"/>
    <w:lvl w:ilvl="0" w:tplc="5CCEDCF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16EA3CE7"/>
    <w:multiLevelType w:val="hybridMultilevel"/>
    <w:tmpl w:val="5498A64A"/>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3" w15:restartNumberingAfterBreak="0">
    <w:nsid w:val="28086DA3"/>
    <w:multiLevelType w:val="hybridMultilevel"/>
    <w:tmpl w:val="C34CD8DA"/>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4" w15:restartNumberingAfterBreak="0">
    <w:nsid w:val="2EBF077D"/>
    <w:multiLevelType w:val="hybridMultilevel"/>
    <w:tmpl w:val="DBAE51B6"/>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5" w15:restartNumberingAfterBreak="0">
    <w:nsid w:val="32825460"/>
    <w:multiLevelType w:val="hybridMultilevel"/>
    <w:tmpl w:val="1B5CE85E"/>
    <w:lvl w:ilvl="0" w:tplc="E1A04128">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3B4930B6"/>
    <w:multiLevelType w:val="hybridMultilevel"/>
    <w:tmpl w:val="0440636C"/>
    <w:lvl w:ilvl="0" w:tplc="5CCEDCF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3C4C6E91"/>
    <w:multiLevelType w:val="hybridMultilevel"/>
    <w:tmpl w:val="730CF818"/>
    <w:lvl w:ilvl="0" w:tplc="6032EDBC">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000CC3"/>
    <w:multiLevelType w:val="hybridMultilevel"/>
    <w:tmpl w:val="7626261E"/>
    <w:lvl w:ilvl="0" w:tplc="AA92489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6450CFC"/>
    <w:multiLevelType w:val="hybridMultilevel"/>
    <w:tmpl w:val="AAC6E598"/>
    <w:lvl w:ilvl="0" w:tplc="90A69870">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0"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1" w15:restartNumberingAfterBreak="0">
    <w:nsid w:val="6C317192"/>
    <w:multiLevelType w:val="hybridMultilevel"/>
    <w:tmpl w:val="ECF052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0926971"/>
    <w:multiLevelType w:val="hybridMultilevel"/>
    <w:tmpl w:val="2B363BAA"/>
    <w:lvl w:ilvl="0" w:tplc="D9DC51B6">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11"/>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22"/>
  </w:num>
  <w:num w:numId="16">
    <w:abstractNumId w:val="13"/>
  </w:num>
  <w:num w:numId="17">
    <w:abstractNumId w:val="19"/>
  </w:num>
  <w:num w:numId="18">
    <w:abstractNumId w:val="14"/>
  </w:num>
  <w:num w:numId="19">
    <w:abstractNumId w:val="15"/>
  </w:num>
  <w:num w:numId="20">
    <w:abstractNumId w:val="21"/>
  </w:num>
  <w:num w:numId="21">
    <w:abstractNumId w:val="17"/>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8C"/>
    <w:rsid w:val="000064A4"/>
    <w:rsid w:val="000235B5"/>
    <w:rsid w:val="00026C85"/>
    <w:rsid w:val="00041BDD"/>
    <w:rsid w:val="000439A6"/>
    <w:rsid w:val="00060C03"/>
    <w:rsid w:val="00062300"/>
    <w:rsid w:val="000646DD"/>
    <w:rsid w:val="00081865"/>
    <w:rsid w:val="00082968"/>
    <w:rsid w:val="000C62BB"/>
    <w:rsid w:val="000E0AC6"/>
    <w:rsid w:val="000F34AE"/>
    <w:rsid w:val="00117501"/>
    <w:rsid w:val="001322B4"/>
    <w:rsid w:val="001327EB"/>
    <w:rsid w:val="0016220C"/>
    <w:rsid w:val="001653C6"/>
    <w:rsid w:val="001946F4"/>
    <w:rsid w:val="001A6574"/>
    <w:rsid w:val="001A6B06"/>
    <w:rsid w:val="001C075B"/>
    <w:rsid w:val="001C2504"/>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26F19"/>
    <w:rsid w:val="003312B8"/>
    <w:rsid w:val="003503A2"/>
    <w:rsid w:val="003554C5"/>
    <w:rsid w:val="00365794"/>
    <w:rsid w:val="00373B22"/>
    <w:rsid w:val="003824FF"/>
    <w:rsid w:val="00385CC2"/>
    <w:rsid w:val="003C4C71"/>
    <w:rsid w:val="003E4EDB"/>
    <w:rsid w:val="003E7D9A"/>
    <w:rsid w:val="00410551"/>
    <w:rsid w:val="00412D43"/>
    <w:rsid w:val="00414B77"/>
    <w:rsid w:val="00427002"/>
    <w:rsid w:val="00447A41"/>
    <w:rsid w:val="004822E6"/>
    <w:rsid w:val="00492FE3"/>
    <w:rsid w:val="004D711F"/>
    <w:rsid w:val="004D7F44"/>
    <w:rsid w:val="004F74E7"/>
    <w:rsid w:val="005105C4"/>
    <w:rsid w:val="0053623F"/>
    <w:rsid w:val="00550D78"/>
    <w:rsid w:val="00557369"/>
    <w:rsid w:val="005706D1"/>
    <w:rsid w:val="005739A8"/>
    <w:rsid w:val="005751FC"/>
    <w:rsid w:val="00577A95"/>
    <w:rsid w:val="00582874"/>
    <w:rsid w:val="005852CF"/>
    <w:rsid w:val="00590F07"/>
    <w:rsid w:val="0059392E"/>
    <w:rsid w:val="005B448F"/>
    <w:rsid w:val="005C173B"/>
    <w:rsid w:val="005D430B"/>
    <w:rsid w:val="005E07F2"/>
    <w:rsid w:val="005E39BB"/>
    <w:rsid w:val="005E3A70"/>
    <w:rsid w:val="005E3F1D"/>
    <w:rsid w:val="006033C4"/>
    <w:rsid w:val="00603B3F"/>
    <w:rsid w:val="00604A3D"/>
    <w:rsid w:val="0060703F"/>
    <w:rsid w:val="00611DCE"/>
    <w:rsid w:val="00614D68"/>
    <w:rsid w:val="00620B23"/>
    <w:rsid w:val="0062633F"/>
    <w:rsid w:val="00630B5C"/>
    <w:rsid w:val="00635AC4"/>
    <w:rsid w:val="00640202"/>
    <w:rsid w:val="00662901"/>
    <w:rsid w:val="00671C11"/>
    <w:rsid w:val="00681F7A"/>
    <w:rsid w:val="00692661"/>
    <w:rsid w:val="006C1D26"/>
    <w:rsid w:val="006C2059"/>
    <w:rsid w:val="006C2934"/>
    <w:rsid w:val="006E3610"/>
    <w:rsid w:val="006E6F58"/>
    <w:rsid w:val="0071134B"/>
    <w:rsid w:val="00714DC4"/>
    <w:rsid w:val="00733C80"/>
    <w:rsid w:val="0074397B"/>
    <w:rsid w:val="007455FF"/>
    <w:rsid w:val="00755896"/>
    <w:rsid w:val="00765619"/>
    <w:rsid w:val="007736D4"/>
    <w:rsid w:val="0079518D"/>
    <w:rsid w:val="007B18D6"/>
    <w:rsid w:val="007B51DD"/>
    <w:rsid w:val="007D1328"/>
    <w:rsid w:val="007F1723"/>
    <w:rsid w:val="007F327D"/>
    <w:rsid w:val="007F32E1"/>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D7BF6"/>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26E9E"/>
    <w:rsid w:val="00A300C2"/>
    <w:rsid w:val="00A34523"/>
    <w:rsid w:val="00A71EBE"/>
    <w:rsid w:val="00A76A2E"/>
    <w:rsid w:val="00A84CDB"/>
    <w:rsid w:val="00A906DD"/>
    <w:rsid w:val="00AC5138"/>
    <w:rsid w:val="00AC5E12"/>
    <w:rsid w:val="00AE3929"/>
    <w:rsid w:val="00AE628C"/>
    <w:rsid w:val="00AF45B7"/>
    <w:rsid w:val="00AF4C03"/>
    <w:rsid w:val="00B079EC"/>
    <w:rsid w:val="00B1318C"/>
    <w:rsid w:val="00B4300E"/>
    <w:rsid w:val="00B43C40"/>
    <w:rsid w:val="00B464F6"/>
    <w:rsid w:val="00B77CF0"/>
    <w:rsid w:val="00B80284"/>
    <w:rsid w:val="00B84E87"/>
    <w:rsid w:val="00B90216"/>
    <w:rsid w:val="00B94DE2"/>
    <w:rsid w:val="00BA112E"/>
    <w:rsid w:val="00BA711C"/>
    <w:rsid w:val="00BB0F2F"/>
    <w:rsid w:val="00BB3CE5"/>
    <w:rsid w:val="00BB470C"/>
    <w:rsid w:val="00BC03D6"/>
    <w:rsid w:val="00BC31CA"/>
    <w:rsid w:val="00BE119A"/>
    <w:rsid w:val="00BE6A0B"/>
    <w:rsid w:val="00BE7B10"/>
    <w:rsid w:val="00C0079F"/>
    <w:rsid w:val="00C039CE"/>
    <w:rsid w:val="00C04270"/>
    <w:rsid w:val="00C1795E"/>
    <w:rsid w:val="00C22C6C"/>
    <w:rsid w:val="00C414C9"/>
    <w:rsid w:val="00C42047"/>
    <w:rsid w:val="00C5093E"/>
    <w:rsid w:val="00C60480"/>
    <w:rsid w:val="00C64425"/>
    <w:rsid w:val="00C809BA"/>
    <w:rsid w:val="00C9305E"/>
    <w:rsid w:val="00CA3FA8"/>
    <w:rsid w:val="00CB07CA"/>
    <w:rsid w:val="00CD68D0"/>
    <w:rsid w:val="00CF05B7"/>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24FA7"/>
    <w:rsid w:val="00E5185D"/>
    <w:rsid w:val="00E75AC8"/>
    <w:rsid w:val="00E82177"/>
    <w:rsid w:val="00E9422E"/>
    <w:rsid w:val="00EB4E27"/>
    <w:rsid w:val="00EB71D8"/>
    <w:rsid w:val="00EC2E48"/>
    <w:rsid w:val="00ED0FDD"/>
    <w:rsid w:val="00EE00D4"/>
    <w:rsid w:val="00EE3A47"/>
    <w:rsid w:val="00EF0C8B"/>
    <w:rsid w:val="00F10AFE"/>
    <w:rsid w:val="00F1102D"/>
    <w:rsid w:val="00F1297C"/>
    <w:rsid w:val="00F12A97"/>
    <w:rsid w:val="00F43B32"/>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9980008"/>
  <w15:docId w15:val="{9866D7DB-0B9D-4680-BA23-3FA70914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582874"/>
    <w:rPr>
      <w:color w:val="808080"/>
    </w:rPr>
  </w:style>
  <w:style w:type="paragraph" w:styleId="Prrafodelista">
    <w:name w:val="List Paragraph"/>
    <w:basedOn w:val="Normal"/>
    <w:link w:val="PrrafodelistaCar"/>
    <w:uiPriority w:val="34"/>
    <w:qFormat/>
    <w:locked/>
    <w:rsid w:val="00AE628C"/>
    <w:pPr>
      <w:spacing w:after="200" w:line="276" w:lineRule="auto"/>
      <w:ind w:left="720"/>
      <w:contextualSpacing/>
      <w:jc w:val="left"/>
    </w:pPr>
    <w:rPr>
      <w:rFonts w:ascii="Calibri" w:eastAsia="Calibri" w:hAnsi="Calibri"/>
      <w:szCs w:val="22"/>
      <w:lang w:val="es-CR"/>
    </w:rPr>
  </w:style>
  <w:style w:type="character" w:customStyle="1" w:styleId="PrrafodelistaCar">
    <w:name w:val="Párrafo de lista Car"/>
    <w:link w:val="Prrafodelista"/>
    <w:uiPriority w:val="34"/>
    <w:locked/>
    <w:rsid w:val="00AE628C"/>
    <w:rPr>
      <w:rFonts w:ascii="Calibri" w:hAnsi="Calibri"/>
      <w:sz w:val="22"/>
      <w:szCs w:val="22"/>
      <w:lang w:eastAsia="en-US"/>
    </w:rPr>
  </w:style>
  <w:style w:type="table" w:styleId="Tabladecuadrcula1clara">
    <w:name w:val="Grid Table 1 Light"/>
    <w:basedOn w:val="Tablanormal"/>
    <w:uiPriority w:val="46"/>
    <w:rsid w:val="00412D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sicvecacredito@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sanchez@sugef.fi.c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368103C803482B8CB65284B5A114B8"/>
        <w:category>
          <w:name w:val="General"/>
          <w:gallery w:val="placeholder"/>
        </w:category>
        <w:types>
          <w:type w:val="bbPlcHdr"/>
        </w:types>
        <w:behaviors>
          <w:behavior w:val="content"/>
        </w:behaviors>
        <w:guid w:val="{E558ED8E-E5DE-4DB7-8F7E-A65FE3E3F305}"/>
      </w:docPartPr>
      <w:docPartBody>
        <w:p w:rsidR="00933782" w:rsidRDefault="00E66792" w:rsidP="00E66792">
          <w:pPr>
            <w:pStyle w:val="45368103C803482B8CB65284B5A114B8"/>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E1"/>
    <w:rsid w:val="004B1132"/>
    <w:rsid w:val="00824ECC"/>
    <w:rsid w:val="00933782"/>
    <w:rsid w:val="00BD3AE1"/>
    <w:rsid w:val="00CD4506"/>
    <w:rsid w:val="00E331F4"/>
    <w:rsid w:val="00E667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66792"/>
    <w:rPr>
      <w:color w:val="808080"/>
    </w:rPr>
  </w:style>
  <w:style w:type="paragraph" w:customStyle="1" w:styleId="9A4073069C9F4E0CA109991A57A5FDC7">
    <w:name w:val="9A4073069C9F4E0CA109991A57A5FDC7"/>
  </w:style>
  <w:style w:type="paragraph" w:customStyle="1" w:styleId="45368103C803482B8CB65284B5A114B8">
    <w:name w:val="45368103C803482B8CB65284B5A114B8"/>
    <w:rsid w:val="00E66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8MHbogkQxFn62cBCLtHQZJkPJuI=</DigestValue>
    </Reference>
    <Reference Type="http://www.w3.org/2000/09/xmldsig#Object" URI="#idOfficeObject">
      <DigestMethod Algorithm="http://www.w3.org/2000/09/xmldsig#sha1"/>
      <DigestValue>qhjtdAEGm2gDLejAabJoF86DgFM=</DigestValue>
    </Reference>
    <Reference Type="http://uri.etsi.org/01903#SignedProperties" URI="#idSignedProperties">
      <Transforms>
        <Transform Algorithm="http://www.w3.org/TR/2001/REC-xml-c14n-20010315"/>
      </Transforms>
      <DigestMethod Algorithm="http://www.w3.org/2000/09/xmldsig#sha1"/>
      <DigestValue>SQ6t/b4+8v5ygDSBzPMZ8ZSBAHc=</DigestValue>
    </Reference>
  </SignedInfo>
  <SignatureValue>aMG1f7/iwPFoz+B92U1GyEkF7iiojd4lJn6tXnJTOcjWaqnPMsYBwF9Quhu92RVkbCqCbmYolhn/
mwR4MoOysRKsrkXNALnP+sK4HYeJqOQZXYR+Hs7xYaAd12/LuYbny5mLnNya8dct842+LHP9Haij
5PSTnwtrMyVHPUzoFvPglOdETVGPEZfbJNkeJi1PdOuFXYOIRJLBdmsSTNUr/3mZ/pt67QgKSme4
9TU9BayeIwQR+z+Du3vpK/uY792+taueMOzBoH/Batv4J4YrECV07NrJdcx2wucAirYFBjRof9oW
/CrhqINwKV+qjKJcOnpCybrWajabSQlPM9TayA==</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0/09/xmldsig#sha1"/>
        <DigestValue>xWMw2U0YQ+OycnW0kJwmKBo+9xA=</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I2lIyeeZ9uoYIWnj0fkwJ+JUOu4=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+DWasIt46J9kWGyxoP3pos6rwyo=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/ZT7lzkBKjGpbWyeQ2JFoWG14aQ=</DigestValue>
      </Reference>
      <Reference URI="/word/document.xml?ContentType=application/vnd.openxmlformats-officedocument.wordprocessingml.document.main+xml">
        <DigestMethod Algorithm="http://www.w3.org/2000/09/xmldsig#sha1"/>
        <DigestValue>cnEBayFGMfQQl/txOhF69fJuS7A=</DigestValue>
      </Reference>
      <Reference URI="/word/endnotes.xml?ContentType=application/vnd.openxmlformats-officedocument.wordprocessingml.endnotes+xml">
        <DigestMethod Algorithm="http://www.w3.org/2000/09/xmldsig#sha1"/>
        <DigestValue>MswooDpaXwaboGazXcSJkoziZQ8=</DigestValue>
      </Reference>
      <Reference URI="/word/fontTable.xml?ContentType=application/vnd.openxmlformats-officedocument.wordprocessingml.fontTable+xml">
        <DigestMethod Algorithm="http://www.w3.org/2000/09/xmldsig#sha1"/>
        <DigestValue>m5ZfXiyZW25veUcBq/IenDATI4c=</DigestValue>
      </Reference>
      <Reference URI="/word/footer1.xml?ContentType=application/vnd.openxmlformats-officedocument.wordprocessingml.footer+xml">
        <DigestMethod Algorithm="http://www.w3.org/2000/09/xmldsig#sha1"/>
        <DigestValue>KvRojyTvqfeLaKkruD+tEv2o8lA=</DigestValue>
      </Reference>
      <Reference URI="/word/footer2.xml?ContentType=application/vnd.openxmlformats-officedocument.wordprocessingml.footer+xml">
        <DigestMethod Algorithm="http://www.w3.org/2000/09/xmldsig#sha1"/>
        <DigestValue>shVAUAWS9ui4m6gaWC/U92rMbIQ=</DigestValue>
      </Reference>
      <Reference URI="/word/footnotes.xml?ContentType=application/vnd.openxmlformats-officedocument.wordprocessingml.footnotes+xml">
        <DigestMethod Algorithm="http://www.w3.org/2000/09/xmldsig#sha1"/>
        <DigestValue>qxGVcy2lzAsKk9L5LLIQMkZ06wA=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B9g+QZK2e//NddysAFJtQhozHWk=</DigestValue>
      </Reference>
      <Reference URI="/word/glossary/fontTable.xml?ContentType=application/vnd.openxmlformats-officedocument.wordprocessingml.fontTable+xml">
        <DigestMethod Algorithm="http://www.w3.org/2000/09/xmldsig#sha1"/>
        <DigestValue>Uj+NVjNDZxNUOJzSlKp7dzioNPA=</DigestValue>
      </Reference>
      <Reference URI="/word/glossary/settings.xml?ContentType=application/vnd.openxmlformats-officedocument.wordprocessingml.settings+xml">
        <DigestMethod Algorithm="http://www.w3.org/2000/09/xmldsig#sha1"/>
        <DigestValue>Q1aUsB6UB+KvWj/vdxU/2eGabrA=</DigestValue>
      </Reference>
      <Reference URI="/word/glossary/styles.xml?ContentType=application/vnd.openxmlformats-officedocument.wordprocessingml.styles+xml">
        <DigestMethod Algorithm="http://www.w3.org/2000/09/xmldsig#sha1"/>
        <DigestValue>DyOIL28sckrAfOXZFShbmxYwWDw=</DigestValue>
      </Reference>
      <Reference URI="/word/glossary/webSettings.xml?ContentType=application/vnd.openxmlformats-officedocument.wordprocessingml.webSettings+xml">
        <DigestMethod Algorithm="http://www.w3.org/2000/09/xmldsig#sha1"/>
        <DigestValue>3JVOoTdOm/LdH4Es4itMnJhpqeU=</DigestValue>
      </Reference>
      <Reference URI="/word/header1.xml?ContentType=application/vnd.openxmlformats-officedocument.wordprocessingml.header+xml">
        <DigestMethod Algorithm="http://www.w3.org/2000/09/xmldsig#sha1"/>
        <DigestValue>FYR/uA/ryfGW6JFudU2KmJXjJ9s=</DigestValue>
      </Reference>
      <Reference URI="/word/header2.xml?ContentType=application/vnd.openxmlformats-officedocument.wordprocessingml.header+xml">
        <DigestMethod Algorithm="http://www.w3.org/2000/09/xmldsig#sha1"/>
        <DigestValue>Exc8M5bLDuz6W6bIlDUh2TTtt98=</DigestValue>
      </Reference>
      <Reference URI="/word/media/image1.jpg?ContentType=image/jpeg">
        <DigestMethod Algorithm="http://www.w3.org/2000/09/xmldsig#sha1"/>
        <DigestValue>WBE2fsmHVGwcKKBQxbSMrwxyzd0=</DigestValue>
      </Reference>
      <Reference URI="/word/media/image2.png?ContentType=image/png">
        <DigestMethod Algorithm="http://www.w3.org/2000/09/xmldsig#sha1"/>
        <DigestValue>xqOBhFuPeqMghHzp2yf95n6b0Eo=</DigestValue>
      </Reference>
      <Reference URI="/word/media/image3.png?ContentType=image/png">
        <DigestMethod Algorithm="http://www.w3.org/2000/09/xmldsig#sha1"/>
        <DigestValue>ugf502F9OWENCRXzhnDZtkblBVw=</DigestValue>
      </Reference>
      <Reference URI="/word/media/image4.emf?ContentType=image/x-emf">
        <DigestMethod Algorithm="http://www.w3.org/2000/09/xmldsig#sha1"/>
        <DigestValue>GoPcGkLSV4myQ+cl82LPPkibvG0=</DigestValue>
      </Reference>
      <Reference URI="/word/numbering.xml?ContentType=application/vnd.openxmlformats-officedocument.wordprocessingml.numbering+xml">
        <DigestMethod Algorithm="http://www.w3.org/2000/09/xmldsig#sha1"/>
        <DigestValue>Fwg2h2yyRYzl5dUjSXuddyEzi5A=</DigestValue>
      </Reference>
      <Reference URI="/word/settings.xml?ContentType=application/vnd.openxmlformats-officedocument.wordprocessingml.settings+xml">
        <DigestMethod Algorithm="http://www.w3.org/2000/09/xmldsig#sha1"/>
        <DigestValue>39uuhTVvDSxGSnBKOkoTbn8/2g4=</DigestValue>
      </Reference>
      <Reference URI="/word/styles.xml?ContentType=application/vnd.openxmlformats-officedocument.wordprocessingml.styles+xml">
        <DigestMethod Algorithm="http://www.w3.org/2000/09/xmldsig#sha1"/>
        <DigestValue>5vFuebE6tHu5CInykNyE0CpHXHI=</DigestValue>
      </Reference>
      <Reference URI="/word/theme/theme1.xml?ContentType=application/vnd.openxmlformats-officedocument.theme+xml">
        <DigestMethod Algorithm="http://www.w3.org/2000/09/xmldsig#sha1"/>
        <DigestValue>afn6CthWEUwqtPMX5ImY3jwVifM=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2016-09-01T13:27:06Z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2016-09-01T13:27:06Z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nfidencialidad xmlns="b875e23b-67d9-4b2e-bdec-edacbf90b326">SGF-PUBLICO</Confidencialidad>
    <Situación_x0020_actual xmlns="b875e23b-67d9-4b2e-bdec-edacbf90b326">Copiar a SALIENTE NORMAS y Directores de Supervisión a Informatica</Situación_x0020_actual>
    <Dependencia xmlns="b875e23b-67d9-4b2e-bdec-edacbf90b326">
      <Value>SUGEF Borradores Despacho</Value>
    </Dependencia>
    <Enviado_x0020_por1 xmlns="b875e23b-67d9-4b2e-bdec-edacbf90b326">Normas</Enviado_x0020_por1>
    <KpiDescription xmlns="http://schemas.microsoft.com/sharepoint/v3">SGF-2838-2016
Nancy favor agregar la fecha debajo del nùmero Sugef, no me lo permitiò hacer. Gracias.Envio de informacion a Sugef, excepto a Artìculo 15</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Nancy Johanna Badilla Mora</DisplayName>
        <AccountId>117</AccountId>
        <AccountType/>
      </UserInfo>
    </Secretaria>
    <N_x00b0_Referencia xmlns="b875e23b-67d9-4b2e-bdec-edacbf90b326">No responde a ningún numero de referencia</N_x00b0_Referencia>
    <Año xmlns="b875e23b-67d9-4b2e-bdec-edacbf90b326">2016</Año>
    <Entidad_x0020_Financiera xmlns="b875e23b-67d9-4b2e-bdec-edacbf90b326">A todas las entidades supervisadas</Entidad_x0020_Financiera>
    <Enviado_x0020_por xmlns="b875e23b-67d9-4b2e-bdec-edacbf90b326">i:0#.w|sugef\nbadilla</Enviado_x0020_por>
    <Externo_x003f_ xmlns="b875e23b-67d9-4b2e-bdec-edacbf90b326">true</Externo_x003f_>
    <Fecha_x0020_notificación xmlns="b875e23b-67d9-4b2e-bdec-edacbf90b326" xsi:nil="true"/>
    <N_x00b0_Oficio xmlns="b875e23b-67d9-4b2e-bdec-edacbf90b326">SGF-2838-2016 CIRCULAR EXTERNA ENVIO DE INFORMACIO</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SALIENTE NORMAS</DisplayName>
        <AccountId>360</AccountId>
        <AccountType/>
      </UserInfo>
      <UserInfo>
        <DisplayName>SALIENTE DIRECTORES DE SUPERVISIÓN</DisplayName>
        <AccountId>383</AccountId>
        <AccountType/>
      </UserInfo>
      <UserInfo>
        <DisplayName>SALIENTE INFORMÁTICA</DisplayName>
        <AccountId>422</AccountId>
        <AccountType/>
      </UserInfo>
    </Con_x0020_copia>
  </documentManagement>
</p:properties>
</file>

<file path=customXml/item3.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5" ma:contentTypeDescription="" ma:contentTypeScope="" ma:versionID="04c9cefe9b633a7a0e34643461f94d3b">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99280a7234a1071fbd7e4692912878e"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GRUPO BNS DE COSTA RICA"/>
              <xsd:enumeration value="GRUPO DE FINANZAS CATHAY"/>
              <xsd:enumeration value="GRUPO FINANCIERO CITIBANK DE COSTA RICA"/>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2.xml><?xml version="1.0" encoding="utf-8"?>
<ds:datastoreItem xmlns:ds="http://schemas.openxmlformats.org/officeDocument/2006/customXml" ds:itemID="{283BF82E-1A70-4392-8CF2-7DEAFF1953AE}">
  <ds:schemaRefs>
    <ds:schemaRef ds:uri="http://schemas.microsoft.com/sharepoint/v3"/>
    <ds:schemaRef ds:uri="http://purl.org/dc/terms/"/>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C9455241-AB74-4AE6-A3E8-CE49A9901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EAED6-502B-44EC-BE61-BA8EEABD62B1}">
  <ds:schemaRefs>
    <ds:schemaRef ds:uri="Microsoft.SharePoint.Taxonomy.ContentTypeSync"/>
  </ds:schemaRefs>
</ds:datastoreItem>
</file>

<file path=customXml/itemProps5.xml><?xml version="1.0" encoding="utf-8"?>
<ds:datastoreItem xmlns:ds="http://schemas.openxmlformats.org/officeDocument/2006/customXml" ds:itemID="{9257ACD4-8F79-45A2-AAF6-04C989CC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plantilla-SGF-13.dotm</Template>
  <TotalTime>9</TotalTime>
  <Pages>4</Pages>
  <Words>1088</Words>
  <Characters>5989</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Alonso Segura Calderón</dc:creator>
  <cp:keywords/>
  <dc:description/>
  <cp:lastModifiedBy>Javier Cascante Elizondo</cp:lastModifiedBy>
  <cp:revision>5</cp:revision>
  <cp:lastPrinted>2015-07-30T22:36:00Z</cp:lastPrinted>
  <dcterms:created xsi:type="dcterms:W3CDTF">2016-08-31T00:35:00Z</dcterms:created>
  <dcterms:modified xsi:type="dcterms:W3CDTF">2016-09-01T13:26:00Z</dcterms:modified>
  <cp:category/>
  <cp:contentStatus>Para tramitar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Trámite">
    <vt:lpwstr>Correspondencia saliente</vt:lpwstr>
  </property>
  <property fmtid="{D5CDD505-2E9C-101B-9397-08002B2CF9AE}" pid="4" name="Enviado por">
    <vt:lpwstr>Genaro Segura</vt:lpwstr>
  </property>
  <property fmtid="{D5CDD505-2E9C-101B-9397-08002B2CF9AE}" pid="5" name="%Avance">
    <vt:r8>1</vt:r8>
  </property>
  <property fmtid="{D5CDD505-2E9C-101B-9397-08002B2CF9AE}" pid="6" name="Copiado a">
    <vt:lpwstr/>
  </property>
  <property fmtid="{D5CDD505-2E9C-101B-9397-08002B2CF9AE}" pid="7" name="Externo?">
    <vt:bool>true</vt:bool>
  </property>
  <property fmtid="{D5CDD505-2E9C-101B-9397-08002B2CF9AE}" pid="8" name="Con copia">
    <vt:lpwstr/>
  </property>
  <property fmtid="{D5CDD505-2E9C-101B-9397-08002B2CF9AE}" pid="9" name="Días seguimiento">
    <vt:lpwstr/>
  </property>
  <property fmtid="{D5CDD505-2E9C-101B-9397-08002B2CF9AE}" pid="10" name="Tipo de envío">
    <vt:lpwstr/>
  </property>
  <property fmtid="{D5CDD505-2E9C-101B-9397-08002B2CF9AE}" pid="11" name="Fecha Notificado">
    <vt:lpwstr/>
  </property>
  <property fmtid="{D5CDD505-2E9C-101B-9397-08002B2CF9AE}" pid="12" name="N°Oficio">
    <vt:lpwstr>SGF-2838-2016 CIRCULAR EXTERNA ENVIO DE INFORMACIO</vt:lpwstr>
  </property>
  <property fmtid="{D5CDD505-2E9C-101B-9397-08002B2CF9AE}" pid="13" name="Firmantes">
    <vt:lpwstr/>
  </property>
  <property fmtid="{D5CDD505-2E9C-101B-9397-08002B2CF9AE}" pid="14" name="Seguimiento?">
    <vt:lpwstr>false</vt:lpwstr>
  </property>
  <property fmtid="{D5CDD505-2E9C-101B-9397-08002B2CF9AE}" pid="15" name="WorkflowChangePath">
    <vt:lpwstr>1c253867-ac34-4960-aa2c-c9fbb72b596d,3;bf97597f-2fd9-4f6d-8418-7b4c4bfb96ff,3;bf97597f-2fd9-4f6d-8418-7b4c4bfb96ff,3;</vt:lpwstr>
  </property>
  <property fmtid="{D5CDD505-2E9C-101B-9397-08002B2CF9AE}" pid="16" name="Sin Copiar?">
    <vt:lpwstr>Sí</vt:lpwstr>
  </property>
</Properties>
</file>