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908E" w14:textId="77777777" w:rsidR="003554C5" w:rsidRPr="002E2B0A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2E2B0A">
        <w:rPr>
          <w:sz w:val="24"/>
        </w:rPr>
        <w:tab/>
      </w:r>
    </w:p>
    <w:p w14:paraId="558E698E" w14:textId="312227F0" w:rsidR="00A2164A" w:rsidRPr="0009195B" w:rsidRDefault="005B0463" w:rsidP="00A2164A">
      <w:pPr>
        <w:pStyle w:val="Texto0"/>
        <w:spacing w:before="0" w:after="0" w:line="240" w:lineRule="auto"/>
        <w:rPr>
          <w:b/>
          <w:sz w:val="24"/>
        </w:rPr>
      </w:pPr>
      <w:r>
        <w:rPr>
          <w:b/>
          <w:sz w:val="24"/>
        </w:rPr>
        <w:t>SGF-</w:t>
      </w:r>
      <w:bookmarkStart w:id="0" w:name="_Hlk456361075"/>
      <w:bookmarkStart w:id="1" w:name="_GoBack"/>
      <w:r w:rsidR="0020115D">
        <w:rPr>
          <w:b/>
          <w:sz w:val="24"/>
        </w:rPr>
        <w:t>2455-2016</w:t>
      </w:r>
      <w:r w:rsidR="00A2164A" w:rsidRPr="0009195B">
        <w:rPr>
          <w:b/>
          <w:sz w:val="24"/>
        </w:rPr>
        <w:t xml:space="preserve">  </w:t>
      </w:r>
      <w:bookmarkEnd w:id="0"/>
      <w:bookmarkEnd w:id="1"/>
      <w:sdt>
        <w:sdtPr>
          <w:rPr>
            <w:b/>
            <w:sz w:val="24"/>
          </w:rPr>
          <w:id w:val="1685474128"/>
          <w:placeholder>
            <w:docPart w:val="BD643D584B5840ED941614CDD3515FA1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A2164A" w:rsidRPr="0009195B">
            <w:rPr>
              <w:b/>
              <w:sz w:val="24"/>
            </w:rPr>
            <w:t>SGF-PUBLICO</w:t>
          </w:r>
        </w:sdtContent>
      </w:sdt>
    </w:p>
    <w:p w14:paraId="537461D9" w14:textId="77777777" w:rsidR="00A2164A" w:rsidRPr="002E2B0A" w:rsidRDefault="00A2164A" w:rsidP="00A2164A">
      <w:pPr>
        <w:pStyle w:val="Texto0"/>
        <w:spacing w:before="0" w:after="0" w:line="240" w:lineRule="auto"/>
        <w:rPr>
          <w:sz w:val="24"/>
        </w:rPr>
      </w:pPr>
      <w:r>
        <w:rPr>
          <w:sz w:val="24"/>
        </w:rPr>
        <w:t>15 de julio del 2016</w:t>
      </w:r>
    </w:p>
    <w:p w14:paraId="32DAA5F0" w14:textId="77777777" w:rsidR="00A2164A" w:rsidRPr="002E2B0A" w:rsidRDefault="00A2164A" w:rsidP="00A2164A">
      <w:pPr>
        <w:tabs>
          <w:tab w:val="left" w:pos="2843"/>
        </w:tabs>
        <w:spacing w:line="240" w:lineRule="auto"/>
        <w:rPr>
          <w:sz w:val="24"/>
        </w:rPr>
      </w:pPr>
      <w:r w:rsidRPr="002E2B0A">
        <w:rPr>
          <w:sz w:val="24"/>
        </w:rPr>
        <w:tab/>
      </w:r>
    </w:p>
    <w:p w14:paraId="091CB571" w14:textId="77777777" w:rsidR="00A2164A" w:rsidRDefault="00A2164A" w:rsidP="00A2164A">
      <w:pPr>
        <w:widowControl w:val="0"/>
        <w:ind w:left="34" w:right="86"/>
        <w:jc w:val="center"/>
        <w:rPr>
          <w:b/>
        </w:rPr>
      </w:pPr>
    </w:p>
    <w:p w14:paraId="2D696DF1" w14:textId="77777777" w:rsidR="00A2164A" w:rsidRPr="000237EB" w:rsidRDefault="00A2164A" w:rsidP="00A2164A">
      <w:pPr>
        <w:widowControl w:val="0"/>
        <w:ind w:left="34" w:right="86"/>
        <w:jc w:val="center"/>
        <w:rPr>
          <w:b/>
        </w:rPr>
      </w:pPr>
      <w:r w:rsidRPr="000237EB">
        <w:rPr>
          <w:b/>
        </w:rPr>
        <w:t>A LAS ENTIDADES FINANCIERAS SUPERVISADAS POR LA</w:t>
      </w:r>
    </w:p>
    <w:p w14:paraId="40AB91BD" w14:textId="0D485936" w:rsidR="00A2164A" w:rsidRPr="000237EB" w:rsidRDefault="00A2164A" w:rsidP="00A2164A">
      <w:pPr>
        <w:widowControl w:val="0"/>
        <w:ind w:left="34" w:right="86"/>
        <w:jc w:val="center"/>
        <w:rPr>
          <w:b/>
        </w:rPr>
      </w:pPr>
      <w:r w:rsidRPr="000237EB">
        <w:rPr>
          <w:b/>
        </w:rPr>
        <w:t>SUPERINTENDENCIA GE</w:t>
      </w:r>
      <w:r w:rsidR="00DF6183">
        <w:rPr>
          <w:b/>
        </w:rPr>
        <w:t>NERAL DE ENTIDADES FINANCIERAS</w:t>
      </w:r>
    </w:p>
    <w:p w14:paraId="1102DBAD" w14:textId="77777777" w:rsidR="00A2164A" w:rsidRDefault="00A2164A" w:rsidP="00A2164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35B2316C" w14:textId="77777777" w:rsidR="00A2164A" w:rsidRPr="0074578A" w:rsidRDefault="00A2164A" w:rsidP="00A2164A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</w:t>
      </w:r>
      <w:r w:rsidRPr="0074578A">
        <w:rPr>
          <w:rFonts w:ascii="Cambria" w:hAnsi="Cambria"/>
          <w:b/>
          <w:sz w:val="22"/>
          <w:szCs w:val="22"/>
        </w:rPr>
        <w:t>sunto:</w:t>
      </w:r>
      <w:r w:rsidRPr="0074578A">
        <w:rPr>
          <w:rFonts w:ascii="Cambria" w:hAnsi="Cambria"/>
          <w:sz w:val="22"/>
          <w:szCs w:val="22"/>
        </w:rPr>
        <w:t xml:space="preserve"> Cambios en la Clase de datos Operaciones Crediticias a través del sistema para la Captura, Verificación y Carga de Datos (SICVECA).</w:t>
      </w:r>
    </w:p>
    <w:p w14:paraId="101ED135" w14:textId="77777777" w:rsidR="00A2164A" w:rsidRPr="0074578A" w:rsidRDefault="00A2164A" w:rsidP="00A2164A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094C90FC" w14:textId="77777777" w:rsidR="00A2164A" w:rsidRPr="0074578A" w:rsidRDefault="00A2164A" w:rsidP="00A2164A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</w:rPr>
      </w:pPr>
      <w:r w:rsidRPr="0074578A">
        <w:rPr>
          <w:rFonts w:ascii="Cambria" w:hAnsi="Cambria"/>
          <w:b/>
          <w:sz w:val="22"/>
          <w:szCs w:val="22"/>
        </w:rPr>
        <w:t>El Superintendente General de Entidades Financieras</w:t>
      </w:r>
    </w:p>
    <w:p w14:paraId="5962C5E6" w14:textId="77777777" w:rsidR="00A2164A" w:rsidRPr="0074578A" w:rsidRDefault="00A2164A" w:rsidP="00A2164A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3D4EE4CB" w14:textId="77777777" w:rsidR="00A2164A" w:rsidRPr="0074578A" w:rsidRDefault="00A2164A" w:rsidP="00A2164A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74578A">
        <w:rPr>
          <w:rFonts w:ascii="Cambria" w:hAnsi="Cambria"/>
          <w:b/>
          <w:bCs/>
          <w:sz w:val="22"/>
          <w:szCs w:val="22"/>
        </w:rPr>
        <w:t>Considerando que:</w:t>
      </w:r>
    </w:p>
    <w:p w14:paraId="16AC0A3A" w14:textId="77777777" w:rsidR="00A2164A" w:rsidRPr="0074578A" w:rsidRDefault="00A2164A" w:rsidP="00A2164A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61111BAD" w14:textId="77777777" w:rsidR="00A2164A" w:rsidRDefault="00A2164A" w:rsidP="00DF6183">
      <w:pPr>
        <w:pStyle w:val="Prrafodelista"/>
        <w:widowControl w:val="0"/>
        <w:tabs>
          <w:tab w:val="left" w:pos="0"/>
        </w:tabs>
        <w:ind w:left="207"/>
        <w:jc w:val="both"/>
        <w:rPr>
          <w:rFonts w:ascii="Cambria" w:hAnsi="Cambria"/>
          <w:sz w:val="22"/>
          <w:szCs w:val="22"/>
        </w:rPr>
      </w:pPr>
      <w:r w:rsidRPr="0074578A">
        <w:rPr>
          <w:rFonts w:ascii="Cambria" w:hAnsi="Cambria"/>
          <w:sz w:val="22"/>
          <w:szCs w:val="22"/>
        </w:rPr>
        <w:t>El Consejo Nacional de Supervisión del Sistema Financiera, mediante</w:t>
      </w:r>
      <w:r>
        <w:rPr>
          <w:rFonts w:ascii="Cambria" w:hAnsi="Cambria"/>
          <w:sz w:val="22"/>
          <w:szCs w:val="22"/>
        </w:rPr>
        <w:t>:</w:t>
      </w:r>
    </w:p>
    <w:p w14:paraId="685F960F" w14:textId="77777777" w:rsidR="00A2164A" w:rsidRDefault="00A2164A" w:rsidP="00DF6183">
      <w:pPr>
        <w:pStyle w:val="Prrafodelista"/>
        <w:widowControl w:val="0"/>
        <w:tabs>
          <w:tab w:val="left" w:pos="0"/>
        </w:tabs>
        <w:ind w:left="207"/>
        <w:jc w:val="both"/>
        <w:rPr>
          <w:rFonts w:ascii="Cambria" w:hAnsi="Cambria"/>
          <w:sz w:val="22"/>
          <w:szCs w:val="22"/>
        </w:rPr>
      </w:pPr>
    </w:p>
    <w:p w14:paraId="360CB1F7" w14:textId="77777777" w:rsidR="00A2164A" w:rsidRDefault="00A2164A" w:rsidP="00DF6183">
      <w:pPr>
        <w:pStyle w:val="Prrafodelista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FC5241">
        <w:rPr>
          <w:rFonts w:ascii="Cambria" w:hAnsi="Cambria"/>
          <w:sz w:val="22"/>
          <w:szCs w:val="22"/>
        </w:rPr>
        <w:t xml:space="preserve">Artículo 12, del acta de la sesión 1251-2016, celebrada el 10 de mayo del 2016. Publicado en el Alcance No. 97 del 14 de junio del 2016, del Diario Oficial La Gaceta No.114, aprobó el ACUERDO SUGEF 15-16 </w:t>
      </w:r>
      <w:r>
        <w:rPr>
          <w:rFonts w:ascii="Cambria" w:hAnsi="Cambria"/>
          <w:sz w:val="22"/>
          <w:szCs w:val="22"/>
        </w:rPr>
        <w:t>R</w:t>
      </w:r>
      <w:r w:rsidRPr="00FC5241">
        <w:rPr>
          <w:rFonts w:ascii="Cambria" w:hAnsi="Cambria"/>
          <w:sz w:val="22"/>
          <w:szCs w:val="22"/>
        </w:rPr>
        <w:t xml:space="preserve">eglamento sobre </w:t>
      </w:r>
      <w:r>
        <w:rPr>
          <w:rFonts w:ascii="Cambria" w:hAnsi="Cambria"/>
          <w:sz w:val="22"/>
          <w:szCs w:val="22"/>
        </w:rPr>
        <w:t>G</w:t>
      </w:r>
      <w:r w:rsidRPr="00FC5241">
        <w:rPr>
          <w:rFonts w:ascii="Cambria" w:hAnsi="Cambria"/>
          <w:sz w:val="22"/>
          <w:szCs w:val="22"/>
        </w:rPr>
        <w:t xml:space="preserve">estión y </w:t>
      </w:r>
      <w:r>
        <w:rPr>
          <w:rFonts w:ascii="Cambria" w:hAnsi="Cambria"/>
          <w:sz w:val="22"/>
          <w:szCs w:val="22"/>
        </w:rPr>
        <w:t>E</w:t>
      </w:r>
      <w:r w:rsidRPr="00FC5241">
        <w:rPr>
          <w:rFonts w:ascii="Cambria" w:hAnsi="Cambria"/>
          <w:sz w:val="22"/>
          <w:szCs w:val="22"/>
        </w:rPr>
        <w:t xml:space="preserve">valuación del </w:t>
      </w:r>
      <w:r>
        <w:rPr>
          <w:rFonts w:ascii="Cambria" w:hAnsi="Cambria"/>
          <w:sz w:val="22"/>
          <w:szCs w:val="22"/>
        </w:rPr>
        <w:t>R</w:t>
      </w:r>
      <w:r w:rsidRPr="00FC5241">
        <w:rPr>
          <w:rFonts w:ascii="Cambria" w:hAnsi="Cambria"/>
          <w:sz w:val="22"/>
          <w:szCs w:val="22"/>
        </w:rPr>
        <w:t xml:space="preserve">iesgo de </w:t>
      </w:r>
      <w:r>
        <w:rPr>
          <w:rFonts w:ascii="Cambria" w:hAnsi="Cambria"/>
          <w:sz w:val="22"/>
          <w:szCs w:val="22"/>
        </w:rPr>
        <w:t>C</w:t>
      </w:r>
      <w:r w:rsidRPr="00FC5241">
        <w:rPr>
          <w:rFonts w:ascii="Cambria" w:hAnsi="Cambria"/>
          <w:sz w:val="22"/>
          <w:szCs w:val="22"/>
        </w:rPr>
        <w:t xml:space="preserve">rédito para el </w:t>
      </w:r>
      <w:r>
        <w:rPr>
          <w:rFonts w:ascii="Cambria" w:hAnsi="Cambria"/>
          <w:sz w:val="22"/>
          <w:szCs w:val="22"/>
        </w:rPr>
        <w:t>S</w:t>
      </w:r>
      <w:r w:rsidRPr="00FC5241">
        <w:rPr>
          <w:rFonts w:ascii="Cambria" w:hAnsi="Cambria"/>
          <w:sz w:val="22"/>
          <w:szCs w:val="22"/>
        </w:rPr>
        <w:t xml:space="preserve">istema de </w:t>
      </w:r>
      <w:r>
        <w:rPr>
          <w:rFonts w:ascii="Cambria" w:hAnsi="Cambria"/>
          <w:sz w:val="22"/>
          <w:szCs w:val="22"/>
        </w:rPr>
        <w:t>B</w:t>
      </w:r>
      <w:r w:rsidRPr="00FC5241">
        <w:rPr>
          <w:rFonts w:ascii="Cambria" w:hAnsi="Cambria"/>
          <w:sz w:val="22"/>
          <w:szCs w:val="22"/>
        </w:rPr>
        <w:t xml:space="preserve">anca para el </w:t>
      </w:r>
      <w:r>
        <w:rPr>
          <w:rFonts w:ascii="Cambria" w:hAnsi="Cambria"/>
          <w:sz w:val="22"/>
          <w:szCs w:val="22"/>
        </w:rPr>
        <w:t>D</w:t>
      </w:r>
      <w:r w:rsidRPr="00FC5241">
        <w:rPr>
          <w:rFonts w:ascii="Cambria" w:hAnsi="Cambria"/>
          <w:sz w:val="22"/>
          <w:szCs w:val="22"/>
        </w:rPr>
        <w:t>esarrollo</w:t>
      </w:r>
      <w:r>
        <w:rPr>
          <w:rFonts w:ascii="Cambria" w:hAnsi="Cambria"/>
          <w:sz w:val="22"/>
          <w:szCs w:val="22"/>
        </w:rPr>
        <w:t>.</w:t>
      </w:r>
    </w:p>
    <w:p w14:paraId="20141584" w14:textId="77777777" w:rsidR="00A2164A" w:rsidRDefault="00A2164A" w:rsidP="00DF6183">
      <w:pPr>
        <w:pStyle w:val="Prrafodelista"/>
        <w:widowControl w:val="0"/>
        <w:tabs>
          <w:tab w:val="left" w:pos="0"/>
        </w:tabs>
        <w:ind w:left="633"/>
        <w:jc w:val="both"/>
        <w:rPr>
          <w:rFonts w:ascii="Cambria" w:hAnsi="Cambria"/>
          <w:sz w:val="22"/>
          <w:szCs w:val="22"/>
        </w:rPr>
      </w:pPr>
    </w:p>
    <w:p w14:paraId="3D8A390D" w14:textId="77777777" w:rsidR="00A2164A" w:rsidRDefault="00A2164A" w:rsidP="00DF6183">
      <w:pPr>
        <w:pStyle w:val="Prrafodelista"/>
        <w:numPr>
          <w:ilvl w:val="0"/>
          <w:numId w:val="15"/>
        </w:numPr>
        <w:jc w:val="both"/>
        <w:rPr>
          <w:rFonts w:ascii="Cambria" w:hAnsi="Cambria"/>
          <w:sz w:val="22"/>
          <w:szCs w:val="22"/>
        </w:rPr>
      </w:pPr>
      <w:r w:rsidRPr="0047788E">
        <w:rPr>
          <w:rFonts w:ascii="Cambria" w:hAnsi="Cambria"/>
          <w:sz w:val="22"/>
          <w:szCs w:val="22"/>
        </w:rPr>
        <w:t>Artículo 6 del acta de la sesión 1258-2016, del 7 de junio del 2016,</w:t>
      </w:r>
      <w:r w:rsidRPr="00675506">
        <w:rPr>
          <w:rFonts w:ascii="Cambria" w:hAnsi="Cambria"/>
          <w:sz w:val="22"/>
          <w:szCs w:val="22"/>
        </w:rPr>
        <w:t xml:space="preserve"> </w:t>
      </w:r>
      <w:r w:rsidRPr="00FC5241">
        <w:rPr>
          <w:rFonts w:ascii="Cambria" w:hAnsi="Cambria"/>
          <w:sz w:val="22"/>
          <w:szCs w:val="22"/>
        </w:rPr>
        <w:t xml:space="preserve">Publicado en el Alcance No. </w:t>
      </w:r>
      <w:r>
        <w:rPr>
          <w:rFonts w:ascii="Cambria" w:hAnsi="Cambria"/>
          <w:sz w:val="22"/>
          <w:szCs w:val="22"/>
        </w:rPr>
        <w:t>100</w:t>
      </w:r>
      <w:r w:rsidRPr="00FC5241">
        <w:rPr>
          <w:rFonts w:ascii="Cambria" w:hAnsi="Cambria"/>
          <w:sz w:val="22"/>
          <w:szCs w:val="22"/>
        </w:rPr>
        <w:t xml:space="preserve"> del </w:t>
      </w:r>
      <w:r w:rsidRPr="003D40A2">
        <w:rPr>
          <w:rFonts w:ascii="Cambria" w:hAnsi="Cambria"/>
          <w:sz w:val="22"/>
          <w:szCs w:val="22"/>
        </w:rPr>
        <w:t>17 de junio del 2016</w:t>
      </w:r>
      <w:r w:rsidRPr="00FC5241">
        <w:rPr>
          <w:rFonts w:ascii="Cambria" w:hAnsi="Cambria"/>
          <w:sz w:val="22"/>
          <w:szCs w:val="22"/>
        </w:rPr>
        <w:t>, del Diario Oficial La Gaceta No.11</w:t>
      </w:r>
      <w:r>
        <w:rPr>
          <w:rFonts w:ascii="Cambria" w:hAnsi="Cambria"/>
          <w:sz w:val="22"/>
          <w:szCs w:val="22"/>
        </w:rPr>
        <w:t xml:space="preserve">7, </w:t>
      </w:r>
      <w:r w:rsidRPr="0047788E">
        <w:rPr>
          <w:rFonts w:ascii="Cambria" w:hAnsi="Cambria"/>
          <w:sz w:val="22"/>
          <w:szCs w:val="22"/>
        </w:rPr>
        <w:t>con base en lo expuesto por la Superintendencia General de Entidades Financieras en su oficio SGF-1729-2016, del 26 de mayo del 2016, aprobó</w:t>
      </w:r>
      <w:r>
        <w:rPr>
          <w:rFonts w:ascii="Cambria" w:hAnsi="Cambria"/>
          <w:sz w:val="22"/>
          <w:szCs w:val="22"/>
        </w:rPr>
        <w:t>:</w:t>
      </w:r>
    </w:p>
    <w:p w14:paraId="60ADC206" w14:textId="77777777" w:rsidR="00DF6183" w:rsidRPr="00DF6183" w:rsidRDefault="00DF6183" w:rsidP="00DF6183">
      <w:pPr>
        <w:pStyle w:val="Prrafodelista"/>
        <w:jc w:val="both"/>
        <w:rPr>
          <w:rFonts w:ascii="Cambria" w:hAnsi="Cambria"/>
          <w:sz w:val="22"/>
          <w:szCs w:val="22"/>
        </w:rPr>
      </w:pPr>
    </w:p>
    <w:p w14:paraId="7ABB883A" w14:textId="77777777" w:rsidR="00A2164A" w:rsidRDefault="00A2164A" w:rsidP="00DF6183">
      <w:pPr>
        <w:pStyle w:val="Prrafodelista"/>
        <w:jc w:val="both"/>
        <w:rPr>
          <w:rFonts w:ascii="Cambria" w:hAnsi="Cambria"/>
          <w:sz w:val="22"/>
          <w:szCs w:val="22"/>
        </w:rPr>
      </w:pPr>
      <w:r w:rsidRPr="003D40A2">
        <w:rPr>
          <w:rFonts w:ascii="Cambria" w:hAnsi="Cambria"/>
          <w:sz w:val="22"/>
          <w:szCs w:val="22"/>
        </w:rPr>
        <w:t>Modificar el Acuerdo SUGEF 1-05, Reglamento sobre Calificación de Deudores</w:t>
      </w:r>
      <w:r>
        <w:rPr>
          <w:rFonts w:ascii="Cambria" w:hAnsi="Cambria"/>
          <w:sz w:val="22"/>
          <w:szCs w:val="22"/>
        </w:rPr>
        <w:t xml:space="preserve">, de la siguiente forma: </w:t>
      </w:r>
    </w:p>
    <w:p w14:paraId="0766177A" w14:textId="77777777" w:rsidR="00A2164A" w:rsidRPr="0047788E" w:rsidRDefault="00A2164A" w:rsidP="00DF61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170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Pr="0047788E">
        <w:rPr>
          <w:rFonts w:ascii="Cambria" w:hAnsi="Cambria"/>
          <w:sz w:val="22"/>
          <w:szCs w:val="22"/>
        </w:rPr>
        <w:t>dicionar un párrafo penúltimo al artículo 7. Análisis de la capacidad de pago</w:t>
      </w:r>
      <w:r>
        <w:rPr>
          <w:rFonts w:ascii="Cambria" w:hAnsi="Cambria"/>
          <w:sz w:val="22"/>
          <w:szCs w:val="22"/>
        </w:rPr>
        <w:t>.</w:t>
      </w:r>
    </w:p>
    <w:p w14:paraId="729F6747" w14:textId="77777777" w:rsidR="00A2164A" w:rsidRPr="00675506" w:rsidRDefault="00A2164A" w:rsidP="00DF61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1701"/>
        <w:jc w:val="both"/>
        <w:rPr>
          <w:rFonts w:ascii="Cambria" w:hAnsi="Cambria"/>
          <w:sz w:val="22"/>
          <w:szCs w:val="22"/>
        </w:rPr>
      </w:pPr>
      <w:r w:rsidRPr="00675506">
        <w:rPr>
          <w:rFonts w:ascii="Cambria" w:hAnsi="Cambria"/>
          <w:sz w:val="22"/>
          <w:szCs w:val="22"/>
        </w:rPr>
        <w:t>Modificar el párrafo segundo del artículo 7bis. Análisis de la capacidad de pago para deudores del Grupo 2</w:t>
      </w:r>
      <w:r>
        <w:rPr>
          <w:rFonts w:ascii="Cambria" w:hAnsi="Cambria"/>
          <w:sz w:val="22"/>
          <w:szCs w:val="22"/>
        </w:rPr>
        <w:t>.</w:t>
      </w:r>
    </w:p>
    <w:p w14:paraId="684A0554" w14:textId="77777777" w:rsidR="00A2164A" w:rsidRDefault="00A2164A" w:rsidP="00DF61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1701"/>
        <w:jc w:val="both"/>
        <w:rPr>
          <w:rFonts w:ascii="Cambria" w:hAnsi="Cambria"/>
          <w:sz w:val="22"/>
          <w:szCs w:val="22"/>
        </w:rPr>
      </w:pPr>
      <w:r w:rsidRPr="00675506">
        <w:rPr>
          <w:rFonts w:ascii="Cambria" w:hAnsi="Cambria"/>
          <w:sz w:val="22"/>
          <w:szCs w:val="22"/>
        </w:rPr>
        <w:t>Modificar el artículo 11bis. Estimación Genérica</w:t>
      </w:r>
    </w:p>
    <w:p w14:paraId="7ABB4EFD" w14:textId="77777777" w:rsidR="00A2164A" w:rsidRDefault="00A2164A" w:rsidP="00DF61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1701"/>
        <w:jc w:val="both"/>
        <w:rPr>
          <w:rFonts w:ascii="Cambria" w:hAnsi="Cambria"/>
          <w:sz w:val="22"/>
          <w:szCs w:val="22"/>
        </w:rPr>
      </w:pPr>
      <w:r w:rsidRPr="003D40A2">
        <w:rPr>
          <w:rFonts w:ascii="Cambria" w:hAnsi="Cambria"/>
          <w:sz w:val="22"/>
          <w:szCs w:val="22"/>
        </w:rPr>
        <w:t>Modificar el inciso b) del artículo 16. Condiciones generales de la garantía</w:t>
      </w:r>
      <w:r>
        <w:rPr>
          <w:rFonts w:ascii="Cambria" w:hAnsi="Cambria"/>
          <w:sz w:val="22"/>
          <w:szCs w:val="22"/>
        </w:rPr>
        <w:t>.</w:t>
      </w:r>
    </w:p>
    <w:p w14:paraId="7ED23A31" w14:textId="77777777" w:rsidR="00A2164A" w:rsidRDefault="00A2164A" w:rsidP="00DF61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1701"/>
        <w:jc w:val="both"/>
        <w:rPr>
          <w:rFonts w:ascii="Cambria" w:hAnsi="Cambria"/>
          <w:sz w:val="22"/>
          <w:szCs w:val="22"/>
        </w:rPr>
      </w:pPr>
      <w:r w:rsidRPr="00675506">
        <w:rPr>
          <w:rFonts w:ascii="Cambria" w:hAnsi="Cambria"/>
          <w:sz w:val="22"/>
          <w:szCs w:val="22"/>
        </w:rPr>
        <w:t>Adicionar un Transitorio XIII</w:t>
      </w:r>
      <w:r>
        <w:rPr>
          <w:rFonts w:ascii="Cambria" w:hAnsi="Cambria"/>
          <w:sz w:val="22"/>
          <w:szCs w:val="22"/>
        </w:rPr>
        <w:t>.</w:t>
      </w:r>
    </w:p>
    <w:p w14:paraId="620F546C" w14:textId="77777777" w:rsidR="00A2164A" w:rsidRDefault="00A2164A" w:rsidP="00DF6183">
      <w:pPr>
        <w:pStyle w:val="Prrafodelista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1269F5C" w14:textId="77777777" w:rsidR="00A2164A" w:rsidRDefault="00A2164A" w:rsidP="00DF6183">
      <w:pPr>
        <w:pStyle w:val="Prrafodelista"/>
        <w:ind w:left="720"/>
        <w:jc w:val="both"/>
        <w:rPr>
          <w:rFonts w:ascii="Cambria" w:hAnsi="Cambria"/>
          <w:sz w:val="22"/>
          <w:szCs w:val="22"/>
        </w:rPr>
      </w:pPr>
      <w:r w:rsidRPr="001B485E">
        <w:rPr>
          <w:rFonts w:ascii="Cambria" w:hAnsi="Cambria"/>
          <w:sz w:val="22"/>
          <w:szCs w:val="22"/>
        </w:rPr>
        <w:t>Modificar Acuerdo SUGEF 3-06,</w:t>
      </w:r>
      <w:r>
        <w:rPr>
          <w:rFonts w:ascii="Cambria" w:hAnsi="Cambria"/>
          <w:sz w:val="22"/>
          <w:szCs w:val="22"/>
        </w:rPr>
        <w:t xml:space="preserve"> </w:t>
      </w:r>
      <w:r w:rsidRPr="001B485E">
        <w:rPr>
          <w:rFonts w:ascii="Cambria" w:hAnsi="Cambria"/>
          <w:sz w:val="22"/>
          <w:szCs w:val="22"/>
        </w:rPr>
        <w:t>Reglamento sobre la suficiencia patrimonial de entidades financieras</w:t>
      </w:r>
      <w:r>
        <w:rPr>
          <w:rFonts w:ascii="Cambria" w:hAnsi="Cambria"/>
          <w:sz w:val="22"/>
          <w:szCs w:val="22"/>
        </w:rPr>
        <w:t xml:space="preserve"> de la siguiente forma:</w:t>
      </w:r>
    </w:p>
    <w:p w14:paraId="41BC4405" w14:textId="77777777" w:rsidR="00A2164A" w:rsidRPr="001B485E" w:rsidRDefault="00A2164A" w:rsidP="00DF61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170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</w:t>
      </w:r>
      <w:r w:rsidRPr="001B485E">
        <w:rPr>
          <w:rFonts w:ascii="Cambria" w:hAnsi="Cambria"/>
          <w:sz w:val="22"/>
          <w:szCs w:val="22"/>
        </w:rPr>
        <w:t>l artículo 15. Ponderación al cincuenta por ciento</w:t>
      </w:r>
      <w:r>
        <w:rPr>
          <w:rFonts w:ascii="Cambria" w:hAnsi="Cambria"/>
          <w:sz w:val="22"/>
          <w:szCs w:val="22"/>
        </w:rPr>
        <w:t>.</w:t>
      </w:r>
    </w:p>
    <w:p w14:paraId="6E8A451D" w14:textId="77777777" w:rsidR="00A2164A" w:rsidRDefault="00A2164A" w:rsidP="00DF6183">
      <w:pPr>
        <w:pStyle w:val="Prrafodelista"/>
        <w:widowControl w:val="0"/>
        <w:tabs>
          <w:tab w:val="left" w:pos="0"/>
        </w:tabs>
        <w:ind w:left="207"/>
        <w:jc w:val="both"/>
        <w:rPr>
          <w:rFonts w:ascii="Cambria" w:hAnsi="Cambria"/>
          <w:sz w:val="22"/>
          <w:szCs w:val="22"/>
        </w:rPr>
      </w:pPr>
    </w:p>
    <w:p w14:paraId="498A51E9" w14:textId="77777777" w:rsidR="00A2164A" w:rsidRDefault="00A2164A" w:rsidP="00DF6183">
      <w:pPr>
        <w:pStyle w:val="Prrafodelista"/>
        <w:numPr>
          <w:ilvl w:val="0"/>
          <w:numId w:val="15"/>
        </w:numPr>
        <w:jc w:val="both"/>
        <w:rPr>
          <w:rFonts w:ascii="Cambria" w:hAnsi="Cambria"/>
          <w:sz w:val="22"/>
          <w:szCs w:val="22"/>
        </w:rPr>
      </w:pPr>
      <w:r w:rsidRPr="0074578A">
        <w:rPr>
          <w:rFonts w:ascii="Cambria" w:hAnsi="Cambria"/>
          <w:sz w:val="22"/>
          <w:szCs w:val="22"/>
        </w:rPr>
        <w:t>Mediante el Sistema de Captura, Verificación y Carga de Datos (SICVECA), las entidades supervisadas remiten la información de la clase de datos Crediticio a esta Superintendencia.</w:t>
      </w:r>
    </w:p>
    <w:p w14:paraId="5A753288" w14:textId="77777777" w:rsidR="00A2164A" w:rsidRPr="0074578A" w:rsidRDefault="00A2164A" w:rsidP="00DF6183">
      <w:pPr>
        <w:pStyle w:val="Prrafodelista"/>
        <w:ind w:left="0"/>
        <w:jc w:val="both"/>
        <w:rPr>
          <w:rFonts w:ascii="Cambria" w:hAnsi="Cambria"/>
          <w:sz w:val="22"/>
          <w:szCs w:val="22"/>
        </w:rPr>
      </w:pPr>
    </w:p>
    <w:p w14:paraId="5D2071E8" w14:textId="77777777" w:rsidR="00A2164A" w:rsidRPr="0074578A" w:rsidRDefault="00A2164A" w:rsidP="00DF6183">
      <w:pPr>
        <w:pStyle w:val="Prrafodelista"/>
        <w:widowControl w:val="0"/>
        <w:tabs>
          <w:tab w:val="left" w:pos="0"/>
        </w:tabs>
        <w:ind w:left="567"/>
        <w:jc w:val="both"/>
        <w:rPr>
          <w:rFonts w:ascii="Cambria" w:hAnsi="Cambria"/>
          <w:sz w:val="22"/>
          <w:szCs w:val="22"/>
        </w:rPr>
      </w:pPr>
    </w:p>
    <w:p w14:paraId="40BEBDB4" w14:textId="77777777" w:rsidR="00A2164A" w:rsidRDefault="00A2164A" w:rsidP="00DF6183">
      <w:pPr>
        <w:pStyle w:val="Prrafodelista"/>
        <w:numPr>
          <w:ilvl w:val="0"/>
          <w:numId w:val="15"/>
        </w:numPr>
        <w:jc w:val="both"/>
        <w:rPr>
          <w:rFonts w:ascii="Cambria" w:hAnsi="Cambria"/>
          <w:sz w:val="22"/>
          <w:szCs w:val="22"/>
        </w:rPr>
      </w:pPr>
      <w:r w:rsidRPr="0074578A">
        <w:rPr>
          <w:rFonts w:ascii="Cambria" w:hAnsi="Cambria"/>
          <w:sz w:val="22"/>
          <w:szCs w:val="22"/>
        </w:rPr>
        <w:t>Es necesario realizar cambios en los descriptores de los campos incluidos en los archivos que conforman Clases de Datos del Sistema de Captura, Verificación y Carga de Datos (SICVECA-Crediticio, Tablas</w:t>
      </w:r>
      <w:r>
        <w:rPr>
          <w:rFonts w:ascii="Cambria" w:hAnsi="Cambria"/>
          <w:sz w:val="22"/>
          <w:szCs w:val="22"/>
        </w:rPr>
        <w:t xml:space="preserve"> y Garantías</w:t>
      </w:r>
      <w:r w:rsidRPr="0074578A">
        <w:rPr>
          <w:rFonts w:ascii="Cambria" w:hAnsi="Cambria"/>
          <w:sz w:val="22"/>
          <w:szCs w:val="22"/>
        </w:rPr>
        <w:t xml:space="preserve">), implementar </w:t>
      </w:r>
      <w:r>
        <w:rPr>
          <w:rFonts w:ascii="Cambria" w:hAnsi="Cambria"/>
          <w:sz w:val="22"/>
          <w:szCs w:val="22"/>
        </w:rPr>
        <w:t xml:space="preserve">campos nuevos </w:t>
      </w:r>
      <w:r w:rsidRPr="0074578A">
        <w:rPr>
          <w:rFonts w:ascii="Cambria" w:hAnsi="Cambria"/>
          <w:sz w:val="22"/>
          <w:szCs w:val="22"/>
        </w:rPr>
        <w:t>y modificar validaciones específicas para algunos archivos</w:t>
      </w:r>
      <w:r>
        <w:rPr>
          <w:rFonts w:ascii="Cambria" w:hAnsi="Cambria"/>
          <w:sz w:val="22"/>
          <w:szCs w:val="22"/>
        </w:rPr>
        <w:t>,</w:t>
      </w:r>
      <w:r w:rsidRPr="0074578A">
        <w:rPr>
          <w:rFonts w:ascii="Cambria" w:hAnsi="Cambria"/>
          <w:sz w:val="22"/>
          <w:szCs w:val="22"/>
        </w:rPr>
        <w:t xml:space="preserve"> y modificar e incluir códigos de las tablas utilizadas, en la documentación de datos de envío.</w:t>
      </w:r>
    </w:p>
    <w:p w14:paraId="1A8D452F" w14:textId="77777777" w:rsidR="00BE1EAA" w:rsidRPr="0074578A" w:rsidRDefault="00BE1EAA" w:rsidP="00BE1EAA">
      <w:pPr>
        <w:pStyle w:val="Prrafodelista"/>
        <w:ind w:left="360"/>
        <w:jc w:val="both"/>
        <w:rPr>
          <w:rFonts w:ascii="Cambria" w:hAnsi="Cambria"/>
          <w:sz w:val="22"/>
          <w:szCs w:val="22"/>
        </w:rPr>
      </w:pPr>
    </w:p>
    <w:p w14:paraId="708075DC" w14:textId="35EBE970" w:rsidR="00A2164A" w:rsidRPr="0074578A" w:rsidRDefault="00BE1EAA" w:rsidP="00DF6183">
      <w:pPr>
        <w:pStyle w:val="NormalWeb"/>
        <w:spacing w:before="150" w:beforeAutospacing="0" w:after="150" w:afterAutospacing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Dispone</w:t>
      </w:r>
      <w:r w:rsidR="00A2164A" w:rsidRPr="0074578A">
        <w:rPr>
          <w:rFonts w:ascii="Cambria" w:hAnsi="Cambria"/>
          <w:b/>
          <w:bCs/>
          <w:sz w:val="22"/>
          <w:szCs w:val="22"/>
        </w:rPr>
        <w:t>:</w:t>
      </w:r>
    </w:p>
    <w:p w14:paraId="40117D91" w14:textId="77777777" w:rsidR="00A2164A" w:rsidRPr="0095670D" w:rsidRDefault="00A2164A" w:rsidP="00DF6183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Cambria" w:hAnsi="Cambria"/>
          <w:color w:val="auto"/>
          <w:sz w:val="22"/>
          <w:szCs w:val="22"/>
        </w:rPr>
      </w:pPr>
      <w:r w:rsidRPr="0095670D">
        <w:rPr>
          <w:rFonts w:ascii="Cambria" w:hAnsi="Cambria"/>
          <w:color w:val="auto"/>
          <w:sz w:val="22"/>
          <w:szCs w:val="22"/>
        </w:rPr>
        <w:t xml:space="preserve">Comunicar a las entidades financieras supervisadas que a partir del </w:t>
      </w:r>
      <w:r>
        <w:rPr>
          <w:rFonts w:ascii="Cambria" w:hAnsi="Cambria"/>
          <w:color w:val="auto"/>
          <w:sz w:val="22"/>
          <w:szCs w:val="22"/>
        </w:rPr>
        <w:t>19</w:t>
      </w:r>
      <w:r w:rsidRPr="0095670D">
        <w:rPr>
          <w:rFonts w:ascii="Cambria" w:hAnsi="Cambria"/>
          <w:color w:val="auto"/>
          <w:sz w:val="22"/>
          <w:szCs w:val="22"/>
        </w:rPr>
        <w:t xml:space="preserve"> de julio del 2016, en el Manual de Información SICVECA, en el apartado de “</w:t>
      </w:r>
      <w:r w:rsidRPr="0095670D">
        <w:rPr>
          <w:rFonts w:ascii="Cambria" w:hAnsi="Cambria"/>
          <w:i/>
          <w:color w:val="auto"/>
          <w:sz w:val="22"/>
          <w:szCs w:val="22"/>
        </w:rPr>
        <w:t>Documentación</w:t>
      </w:r>
      <w:r w:rsidRPr="0095670D">
        <w:rPr>
          <w:rFonts w:ascii="Cambria" w:hAnsi="Cambria"/>
          <w:color w:val="auto"/>
          <w:sz w:val="22"/>
          <w:szCs w:val="22"/>
        </w:rPr>
        <w:t>”, de la clase de datos Operaciones Crediticias, se encontrarán a su disposición los cambios y que entran en vigencia de conformidad con lo estipulado en las respectivas normativas</w:t>
      </w:r>
      <w:r>
        <w:rPr>
          <w:rFonts w:ascii="Cambria" w:hAnsi="Cambria"/>
          <w:color w:val="auto"/>
          <w:sz w:val="22"/>
          <w:szCs w:val="22"/>
        </w:rPr>
        <w:t>.</w:t>
      </w:r>
    </w:p>
    <w:p w14:paraId="7A0AFF63" w14:textId="77777777" w:rsidR="00A2164A" w:rsidRPr="0074578A" w:rsidRDefault="00A2164A" w:rsidP="00DF6183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Cambria" w:hAnsi="Cambria"/>
          <w:color w:val="auto"/>
          <w:sz w:val="22"/>
          <w:szCs w:val="22"/>
        </w:rPr>
      </w:pPr>
    </w:p>
    <w:p w14:paraId="12F45F65" w14:textId="24CED792" w:rsidR="00A2164A" w:rsidRPr="0074578A" w:rsidRDefault="00A2164A" w:rsidP="00DF6183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Cambria" w:hAnsi="Cambria"/>
          <w:color w:val="auto"/>
          <w:sz w:val="22"/>
          <w:szCs w:val="22"/>
        </w:rPr>
      </w:pPr>
      <w:r w:rsidRPr="0074578A">
        <w:rPr>
          <w:rFonts w:ascii="Cambria" w:hAnsi="Cambria"/>
          <w:color w:val="auto"/>
          <w:sz w:val="22"/>
          <w:szCs w:val="22"/>
        </w:rPr>
        <w:t>Que con el propósito de dar a conocer los detalles de la aplicación de los cambios a implementar en los campos, validaciones y tablas, la SUGEF estará brindando charlas a los funcionarios de todas las entidades financieras e</w:t>
      </w:r>
      <w:r>
        <w:rPr>
          <w:rFonts w:ascii="Cambria" w:hAnsi="Cambria"/>
          <w:color w:val="auto"/>
          <w:sz w:val="22"/>
          <w:szCs w:val="22"/>
        </w:rPr>
        <w:t xml:space="preserve">l </w:t>
      </w:r>
      <w:r w:rsidRPr="0074578A">
        <w:rPr>
          <w:rFonts w:ascii="Cambria" w:hAnsi="Cambria"/>
          <w:color w:val="auto"/>
          <w:sz w:val="22"/>
          <w:szCs w:val="22"/>
        </w:rPr>
        <w:t xml:space="preserve">día </w:t>
      </w:r>
      <w:r w:rsidRPr="00B10E32">
        <w:rPr>
          <w:rFonts w:ascii="Cambria" w:hAnsi="Cambria"/>
          <w:b/>
          <w:color w:val="auto"/>
          <w:sz w:val="22"/>
          <w:szCs w:val="22"/>
        </w:rPr>
        <w:t xml:space="preserve">21 de julio del </w:t>
      </w:r>
      <w:r w:rsidR="00BE1EAA">
        <w:rPr>
          <w:rFonts w:ascii="Cambria" w:hAnsi="Cambria"/>
          <w:b/>
          <w:color w:val="auto"/>
          <w:sz w:val="22"/>
          <w:szCs w:val="22"/>
        </w:rPr>
        <w:t>2016</w:t>
      </w:r>
      <w:r>
        <w:rPr>
          <w:rFonts w:ascii="Cambria" w:hAnsi="Cambria"/>
          <w:color w:val="auto"/>
          <w:sz w:val="22"/>
          <w:szCs w:val="22"/>
        </w:rPr>
        <w:t>,</w:t>
      </w:r>
      <w:r w:rsidRPr="0074578A">
        <w:rPr>
          <w:rFonts w:ascii="Cambria" w:hAnsi="Cambria"/>
          <w:color w:val="auto"/>
          <w:sz w:val="22"/>
          <w:szCs w:val="22"/>
        </w:rPr>
        <w:t xml:space="preserve"> en el Auditorio del Colegio de Profesionales en Ciencias Económicas, cita en la 400 metros norte del Mall San Pedro, San José, según distribución que se indica en el Anexo 1.</w:t>
      </w:r>
    </w:p>
    <w:p w14:paraId="43FC64DB" w14:textId="77777777" w:rsidR="00A2164A" w:rsidRPr="0074578A" w:rsidRDefault="00A2164A" w:rsidP="00DF6183">
      <w:pPr>
        <w:pStyle w:val="Prrafodelista"/>
        <w:jc w:val="both"/>
        <w:rPr>
          <w:rFonts w:ascii="Cambria" w:hAnsi="Cambria"/>
          <w:sz w:val="22"/>
          <w:szCs w:val="22"/>
        </w:rPr>
      </w:pPr>
    </w:p>
    <w:p w14:paraId="44B6041E" w14:textId="77777777" w:rsidR="00A2164A" w:rsidRPr="0074578A" w:rsidRDefault="00A2164A" w:rsidP="00DF6183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Cambria" w:hAnsi="Cambria"/>
          <w:color w:val="auto"/>
          <w:sz w:val="22"/>
          <w:szCs w:val="22"/>
        </w:rPr>
      </w:pPr>
      <w:r w:rsidRPr="0074578A">
        <w:rPr>
          <w:rFonts w:ascii="Cambria" w:hAnsi="Cambria"/>
          <w:color w:val="auto"/>
          <w:sz w:val="22"/>
          <w:szCs w:val="22"/>
        </w:rPr>
        <w:t xml:space="preserve">Que cada entidad debe designar un máximo de </w:t>
      </w:r>
      <w:r>
        <w:rPr>
          <w:rFonts w:ascii="Cambria" w:hAnsi="Cambria"/>
          <w:color w:val="auto"/>
          <w:sz w:val="22"/>
          <w:szCs w:val="22"/>
        </w:rPr>
        <w:t>cuatro</w:t>
      </w:r>
      <w:r w:rsidRPr="0074578A">
        <w:rPr>
          <w:rFonts w:ascii="Cambria" w:hAnsi="Cambria"/>
          <w:color w:val="auto"/>
          <w:sz w:val="22"/>
          <w:szCs w:val="22"/>
        </w:rPr>
        <w:t xml:space="preserve"> participantes en la reunión, </w:t>
      </w:r>
      <w:r>
        <w:rPr>
          <w:rFonts w:ascii="Cambria" w:hAnsi="Cambria"/>
          <w:color w:val="auto"/>
          <w:sz w:val="22"/>
          <w:szCs w:val="22"/>
        </w:rPr>
        <w:t xml:space="preserve">para lo cual </w:t>
      </w:r>
      <w:r w:rsidRPr="0074578A">
        <w:rPr>
          <w:rFonts w:ascii="Cambria" w:hAnsi="Cambria"/>
          <w:color w:val="auto"/>
          <w:sz w:val="22"/>
          <w:szCs w:val="22"/>
        </w:rPr>
        <w:t>recomienda</w:t>
      </w:r>
      <w:r>
        <w:rPr>
          <w:rFonts w:ascii="Cambria" w:hAnsi="Cambria"/>
          <w:color w:val="auto"/>
          <w:sz w:val="22"/>
          <w:szCs w:val="22"/>
        </w:rPr>
        <w:t xml:space="preserve"> que sean</w:t>
      </w:r>
      <w:r w:rsidRPr="0074578A">
        <w:rPr>
          <w:rFonts w:ascii="Cambria" w:hAnsi="Cambria"/>
          <w:color w:val="auto"/>
          <w:sz w:val="22"/>
          <w:szCs w:val="22"/>
        </w:rPr>
        <w:t xml:space="preserve"> los encargados d</w:t>
      </w:r>
      <w:r>
        <w:rPr>
          <w:rFonts w:ascii="Cambria" w:hAnsi="Cambria"/>
          <w:color w:val="auto"/>
          <w:sz w:val="22"/>
          <w:szCs w:val="22"/>
        </w:rPr>
        <w:t>el área crediticia, de sistemas</w:t>
      </w:r>
      <w:r w:rsidRPr="0074578A">
        <w:rPr>
          <w:rFonts w:ascii="Cambria" w:hAnsi="Cambria"/>
          <w:color w:val="auto"/>
          <w:sz w:val="22"/>
          <w:szCs w:val="22"/>
        </w:rPr>
        <w:t xml:space="preserve"> y d</w:t>
      </w:r>
      <w:r>
        <w:rPr>
          <w:rFonts w:ascii="Cambria" w:hAnsi="Cambria"/>
          <w:color w:val="auto"/>
          <w:sz w:val="22"/>
          <w:szCs w:val="22"/>
        </w:rPr>
        <w:t xml:space="preserve">e </w:t>
      </w:r>
      <w:r w:rsidRPr="0074578A">
        <w:rPr>
          <w:rFonts w:ascii="Cambria" w:hAnsi="Cambria"/>
          <w:color w:val="auto"/>
          <w:sz w:val="22"/>
          <w:szCs w:val="22"/>
        </w:rPr>
        <w:t>e</w:t>
      </w:r>
      <w:r>
        <w:rPr>
          <w:rFonts w:ascii="Cambria" w:hAnsi="Cambria"/>
          <w:color w:val="auto"/>
          <w:sz w:val="22"/>
          <w:szCs w:val="22"/>
        </w:rPr>
        <w:t>nvío de la información requerida</w:t>
      </w:r>
      <w:r w:rsidRPr="0074578A">
        <w:rPr>
          <w:rFonts w:ascii="Cambria" w:hAnsi="Cambria"/>
          <w:color w:val="auto"/>
          <w:sz w:val="22"/>
          <w:szCs w:val="22"/>
        </w:rPr>
        <w:t xml:space="preserve"> por SICVECA-Crediticio; para lo cual, en un plazo de cinco días hábiles a partir</w:t>
      </w:r>
      <w:r>
        <w:rPr>
          <w:rFonts w:ascii="Cambria" w:hAnsi="Cambria"/>
          <w:color w:val="auto"/>
          <w:sz w:val="22"/>
          <w:szCs w:val="22"/>
        </w:rPr>
        <w:t xml:space="preserve"> del recibo de este comunicado</w:t>
      </w:r>
      <w:r w:rsidRPr="0074578A">
        <w:rPr>
          <w:rFonts w:ascii="Cambria" w:hAnsi="Cambria"/>
          <w:color w:val="auto"/>
          <w:sz w:val="22"/>
          <w:szCs w:val="22"/>
        </w:rPr>
        <w:t xml:space="preserve"> deben remitir al correo electrónico </w:t>
      </w:r>
      <w:hyperlink r:id="rId12" w:history="1">
        <w:r w:rsidRPr="0074578A">
          <w:rPr>
            <w:rStyle w:val="Hipervnculo"/>
            <w:rFonts w:ascii="Cambria" w:hAnsi="Cambria"/>
            <w:sz w:val="22"/>
            <w:szCs w:val="22"/>
          </w:rPr>
          <w:t>capacitacion@sugef.fi.cr</w:t>
        </w:r>
      </w:hyperlink>
      <w:r w:rsidRPr="0074578A">
        <w:rPr>
          <w:rFonts w:ascii="Cambria" w:hAnsi="Cambria"/>
          <w:color w:val="auto"/>
          <w:sz w:val="22"/>
          <w:szCs w:val="22"/>
        </w:rPr>
        <w:t xml:space="preserve"> del Área de Capacitación de esta Superintendencia, el nombre e identificación de las personas designadas, las direcciones electrónicas y números telefónicos, según el formato indicado en el Anexo 2.</w:t>
      </w:r>
    </w:p>
    <w:p w14:paraId="15C8D595" w14:textId="77777777" w:rsidR="00A2164A" w:rsidRPr="0074578A" w:rsidRDefault="00A2164A" w:rsidP="00DF6183">
      <w:pPr>
        <w:pStyle w:val="NormalWeb"/>
        <w:spacing w:before="0" w:beforeAutospacing="0" w:after="0" w:afterAutospacing="0"/>
        <w:ind w:left="502"/>
        <w:contextualSpacing/>
        <w:jc w:val="both"/>
        <w:rPr>
          <w:rFonts w:ascii="Cambria" w:hAnsi="Cambria"/>
          <w:b/>
          <w:color w:val="FF0000"/>
          <w:sz w:val="22"/>
          <w:szCs w:val="22"/>
          <w:highlight w:val="yellow"/>
        </w:rPr>
      </w:pPr>
    </w:p>
    <w:p w14:paraId="54B67112" w14:textId="77777777" w:rsidR="00A2164A" w:rsidRPr="0074578A" w:rsidRDefault="00A2164A" w:rsidP="00DF6183">
      <w:pPr>
        <w:pStyle w:val="NormalWeb"/>
        <w:numPr>
          <w:ilvl w:val="0"/>
          <w:numId w:val="13"/>
        </w:numPr>
        <w:spacing w:before="150" w:beforeAutospacing="0" w:after="150" w:afterAutospacing="0"/>
        <w:contextualSpacing/>
        <w:jc w:val="both"/>
        <w:rPr>
          <w:rFonts w:ascii="Cambria" w:hAnsi="Cambria"/>
          <w:sz w:val="22"/>
          <w:szCs w:val="22"/>
        </w:rPr>
      </w:pPr>
      <w:r w:rsidRPr="0074578A">
        <w:rPr>
          <w:rFonts w:ascii="Cambria" w:hAnsi="Cambria"/>
          <w:color w:val="auto"/>
          <w:sz w:val="22"/>
          <w:szCs w:val="22"/>
        </w:rPr>
        <w:t>Que en caso de consulta</w:t>
      </w:r>
      <w:r>
        <w:rPr>
          <w:rFonts w:ascii="Cambria" w:hAnsi="Cambria"/>
          <w:color w:val="auto"/>
          <w:sz w:val="22"/>
          <w:szCs w:val="22"/>
        </w:rPr>
        <w:t xml:space="preserve"> favor</w:t>
      </w:r>
      <w:r w:rsidRPr="0074578A">
        <w:rPr>
          <w:rFonts w:ascii="Cambria" w:hAnsi="Cambria"/>
          <w:color w:val="auto"/>
          <w:sz w:val="22"/>
          <w:szCs w:val="22"/>
        </w:rPr>
        <w:t xml:space="preserve"> comunicar</w:t>
      </w:r>
      <w:r>
        <w:rPr>
          <w:rFonts w:ascii="Cambria" w:hAnsi="Cambria"/>
          <w:color w:val="auto"/>
          <w:sz w:val="22"/>
          <w:szCs w:val="22"/>
        </w:rPr>
        <w:t>se</w:t>
      </w:r>
      <w:r w:rsidRPr="0074578A">
        <w:rPr>
          <w:rFonts w:ascii="Cambria" w:hAnsi="Cambria"/>
          <w:color w:val="auto"/>
          <w:sz w:val="22"/>
          <w:szCs w:val="22"/>
        </w:rPr>
        <w:t xml:space="preserve"> con los Usuarios Responsables del módulo SICVECA Crediticio:</w:t>
      </w:r>
    </w:p>
    <w:p w14:paraId="761CA55D" w14:textId="77777777" w:rsidR="00A2164A" w:rsidRPr="0074578A" w:rsidRDefault="00A2164A" w:rsidP="00DF6183">
      <w:pPr>
        <w:pStyle w:val="NormalWeb"/>
        <w:spacing w:before="0" w:beforeAutospacing="0" w:after="0" w:afterAutospacing="0"/>
        <w:ind w:left="708"/>
        <w:contextualSpacing/>
        <w:jc w:val="both"/>
        <w:rPr>
          <w:rFonts w:ascii="Cambria" w:hAnsi="Cambria"/>
          <w:color w:val="auto"/>
          <w:sz w:val="22"/>
          <w:szCs w:val="22"/>
        </w:rPr>
      </w:pPr>
    </w:p>
    <w:p w14:paraId="4400DB38" w14:textId="77777777" w:rsidR="00A2164A" w:rsidRPr="0074578A" w:rsidRDefault="00A2164A" w:rsidP="00DF6183">
      <w:pPr>
        <w:pStyle w:val="NormalWeb"/>
        <w:spacing w:before="0" w:beforeAutospacing="0" w:after="0" w:afterAutospacing="0"/>
        <w:ind w:left="708"/>
        <w:contextualSpacing/>
        <w:jc w:val="both"/>
        <w:rPr>
          <w:rFonts w:ascii="Cambria" w:hAnsi="Cambria"/>
          <w:sz w:val="22"/>
          <w:szCs w:val="22"/>
        </w:rPr>
      </w:pPr>
      <w:r w:rsidRPr="0074578A">
        <w:rPr>
          <w:rFonts w:ascii="Cambria" w:hAnsi="Cambria"/>
          <w:color w:val="auto"/>
          <w:sz w:val="22"/>
          <w:szCs w:val="22"/>
        </w:rPr>
        <w:t xml:space="preserve">Javier Vega Zúñiga, </w:t>
      </w:r>
      <w:hyperlink r:id="rId13" w:history="1">
        <w:r w:rsidRPr="0074578A">
          <w:rPr>
            <w:rStyle w:val="Hipervnculo"/>
            <w:rFonts w:ascii="Cambria" w:hAnsi="Cambria"/>
            <w:sz w:val="22"/>
            <w:szCs w:val="22"/>
          </w:rPr>
          <w:t>jvega@sugef.fi.cr</w:t>
        </w:r>
      </w:hyperlink>
      <w:r w:rsidRPr="0074578A">
        <w:rPr>
          <w:rStyle w:val="Hipervnculo"/>
          <w:rFonts w:ascii="Cambria" w:hAnsi="Cambria"/>
          <w:sz w:val="22"/>
          <w:szCs w:val="22"/>
        </w:rPr>
        <w:t xml:space="preserve">, </w:t>
      </w:r>
      <w:r w:rsidRPr="0074578A">
        <w:rPr>
          <w:rFonts w:ascii="Cambria" w:hAnsi="Cambria"/>
          <w:color w:val="auto"/>
          <w:sz w:val="22"/>
          <w:szCs w:val="22"/>
        </w:rPr>
        <w:t xml:space="preserve">teléfono 2243-5015; </w:t>
      </w:r>
    </w:p>
    <w:p w14:paraId="6FE6C58A" w14:textId="77777777" w:rsidR="00A2164A" w:rsidRPr="0074578A" w:rsidRDefault="00A2164A" w:rsidP="00DF6183">
      <w:pPr>
        <w:pStyle w:val="NormalWeb"/>
        <w:spacing w:before="0" w:beforeAutospacing="0" w:after="0" w:afterAutospacing="0"/>
        <w:ind w:left="708"/>
        <w:contextualSpacing/>
        <w:jc w:val="both"/>
        <w:rPr>
          <w:rFonts w:ascii="Cambria" w:hAnsi="Cambria"/>
          <w:sz w:val="22"/>
          <w:szCs w:val="22"/>
        </w:rPr>
      </w:pPr>
      <w:r w:rsidRPr="0074578A">
        <w:rPr>
          <w:rFonts w:ascii="Cambria" w:hAnsi="Cambria"/>
          <w:color w:val="auto"/>
          <w:sz w:val="22"/>
          <w:szCs w:val="22"/>
        </w:rPr>
        <w:t xml:space="preserve">Pablo Sequeira Dittel, </w:t>
      </w:r>
      <w:hyperlink r:id="rId14" w:history="1">
        <w:r w:rsidRPr="0074578A">
          <w:rPr>
            <w:rStyle w:val="Hipervnculo"/>
            <w:rFonts w:ascii="Cambria" w:hAnsi="Cambria"/>
            <w:sz w:val="22"/>
            <w:szCs w:val="22"/>
          </w:rPr>
          <w:t>psequeira@sugef.fi.cr</w:t>
        </w:r>
      </w:hyperlink>
      <w:r w:rsidRPr="0074578A">
        <w:rPr>
          <w:rFonts w:ascii="Cambria" w:hAnsi="Cambria"/>
          <w:color w:val="auto"/>
          <w:sz w:val="22"/>
          <w:szCs w:val="22"/>
        </w:rPr>
        <w:t>, teléfono 2243-4970;</w:t>
      </w:r>
    </w:p>
    <w:p w14:paraId="033522F1" w14:textId="77777777" w:rsidR="00A2164A" w:rsidRDefault="00A2164A" w:rsidP="00DF6183">
      <w:pPr>
        <w:pStyle w:val="Texto0"/>
        <w:spacing w:before="0" w:after="0" w:line="240" w:lineRule="auto"/>
        <w:rPr>
          <w:sz w:val="24"/>
        </w:rPr>
      </w:pPr>
    </w:p>
    <w:p w14:paraId="288A28EE" w14:textId="77777777" w:rsidR="0071134B" w:rsidRPr="002E2B0A" w:rsidRDefault="0071134B" w:rsidP="00DF6183">
      <w:pPr>
        <w:pStyle w:val="Texto0"/>
        <w:spacing w:before="0" w:after="0" w:line="240" w:lineRule="auto"/>
        <w:rPr>
          <w:sz w:val="24"/>
        </w:rPr>
      </w:pPr>
      <w:r w:rsidRPr="002E2B0A">
        <w:rPr>
          <w:sz w:val="24"/>
        </w:rPr>
        <w:t>Atentamente,</w:t>
      </w:r>
    </w:p>
    <w:p w14:paraId="599A026F" w14:textId="77777777" w:rsidR="00577A95" w:rsidRDefault="00E13C47" w:rsidP="00DF6183">
      <w:pPr>
        <w:pStyle w:val="Negrita"/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7567BB20" wp14:editId="2782A4A6">
            <wp:simplePos x="0" y="0"/>
            <wp:positionH relativeFrom="column">
              <wp:posOffset>-163830</wp:posOffset>
            </wp:positionH>
            <wp:positionV relativeFrom="paragraph">
              <wp:posOffset>24765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AF3BA" w14:textId="77777777" w:rsidR="00BE1EAA" w:rsidRDefault="00BE1EAA" w:rsidP="00DF6183">
      <w:pPr>
        <w:pStyle w:val="Negrita"/>
        <w:spacing w:line="240" w:lineRule="auto"/>
        <w:rPr>
          <w:sz w:val="24"/>
        </w:rPr>
      </w:pPr>
    </w:p>
    <w:p w14:paraId="6BF5CB5A" w14:textId="77777777" w:rsidR="00A2164A" w:rsidRPr="002E2B0A" w:rsidRDefault="00A2164A" w:rsidP="00DF6183">
      <w:pPr>
        <w:pStyle w:val="Negrita"/>
        <w:spacing w:line="240" w:lineRule="auto"/>
        <w:rPr>
          <w:sz w:val="24"/>
        </w:rPr>
      </w:pPr>
      <w:r w:rsidRPr="002E2B0A">
        <w:rPr>
          <w:sz w:val="24"/>
        </w:rPr>
        <w:t>Javier Cascante Elizondo</w:t>
      </w:r>
    </w:p>
    <w:p w14:paraId="4F872DE3" w14:textId="77777777" w:rsidR="00A2164A" w:rsidRPr="00F12A97" w:rsidRDefault="00A2164A" w:rsidP="00DF6183">
      <w:pPr>
        <w:spacing w:line="240" w:lineRule="auto"/>
      </w:pPr>
      <w:r w:rsidRPr="002E2B0A">
        <w:rPr>
          <w:sz w:val="24"/>
        </w:rPr>
        <w:t>Superintendente</w:t>
      </w:r>
      <w:r w:rsidRPr="00F12A97">
        <w:tab/>
      </w:r>
    </w:p>
    <w:p w14:paraId="2AC2FD96" w14:textId="77777777" w:rsidR="00BE1EAA" w:rsidRDefault="00BE1EAA" w:rsidP="00DF6183">
      <w:pPr>
        <w:pStyle w:val="CC"/>
      </w:pPr>
    </w:p>
    <w:p w14:paraId="4870812D" w14:textId="268CFA53" w:rsidR="00A26E9E" w:rsidRPr="00BE1EAA" w:rsidRDefault="00A2164A" w:rsidP="00DF6183">
      <w:pPr>
        <w:pStyle w:val="CC"/>
        <w:rPr>
          <w:b/>
        </w:rPr>
      </w:pPr>
      <w:r w:rsidRPr="00BE1EAA">
        <w:rPr>
          <w:b/>
        </w:rPr>
        <w:t>GSC/JFVZ/PSD/gvl</w:t>
      </w:r>
      <w:r w:rsidR="00BE1EAA">
        <w:rPr>
          <w:b/>
        </w:rPr>
        <w:t>*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259"/>
        <w:gridCol w:w="3391"/>
      </w:tblGrid>
      <w:tr w:rsidR="00A2164A" w:rsidRPr="00830E04" w14:paraId="528AC714" w14:textId="77777777" w:rsidTr="001903EA">
        <w:trPr>
          <w:trHeight w:val="28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A3E0" w14:textId="77777777" w:rsidR="00A2164A" w:rsidRPr="00830E04" w:rsidRDefault="00A2164A" w:rsidP="00830E0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  <w:r w:rsidRPr="00830E04">
              <w:rPr>
                <w:rFonts w:ascii="Calibri" w:hAnsi="Calibri"/>
                <w:b/>
                <w:bCs/>
                <w:color w:val="000000"/>
                <w:sz w:val="24"/>
                <w:lang w:eastAsia="es-CR"/>
              </w:rPr>
              <w:t>Anexo No. 1</w:t>
            </w:r>
          </w:p>
        </w:tc>
      </w:tr>
      <w:tr w:rsidR="00A2164A" w:rsidRPr="00830E04" w14:paraId="07CFE723" w14:textId="77777777" w:rsidTr="001903EA">
        <w:trPr>
          <w:trHeight w:val="28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2A1A" w14:textId="77777777" w:rsidR="00A2164A" w:rsidRPr="00830E04" w:rsidRDefault="00A2164A" w:rsidP="00DF6183">
            <w:pPr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  <w:r w:rsidRPr="00830E04">
              <w:rPr>
                <w:rFonts w:ascii="Calibri" w:hAnsi="Calibri"/>
                <w:b/>
                <w:bCs/>
                <w:color w:val="000000"/>
                <w:sz w:val="24"/>
                <w:lang w:eastAsia="es-CR"/>
              </w:rPr>
              <w:t>Distribución de Entidades para Capacitación</w:t>
            </w:r>
          </w:p>
        </w:tc>
      </w:tr>
      <w:tr w:rsidR="00A2164A" w:rsidRPr="00830E04" w14:paraId="1591185A" w14:textId="77777777" w:rsidTr="001903EA">
        <w:trPr>
          <w:trHeight w:val="28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EC53" w14:textId="77777777" w:rsidR="00A2164A" w:rsidRPr="00830E04" w:rsidRDefault="00A2164A" w:rsidP="00DF6183">
            <w:pPr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  <w:r w:rsidRPr="00830E04">
              <w:rPr>
                <w:rFonts w:ascii="Calibri" w:hAnsi="Calibri"/>
                <w:b/>
                <w:bCs/>
                <w:color w:val="000000"/>
                <w:sz w:val="24"/>
                <w:lang w:eastAsia="es-CR"/>
              </w:rPr>
              <w:t>21-jul-16</w:t>
            </w:r>
          </w:p>
        </w:tc>
      </w:tr>
      <w:tr w:rsidR="00A2164A" w:rsidRPr="00830E04" w14:paraId="7BD18277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F342" w14:textId="77777777" w:rsidR="00A2164A" w:rsidRPr="00830E04" w:rsidRDefault="00A2164A" w:rsidP="00DF6183">
            <w:pPr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  <w:r w:rsidRPr="00830E04">
              <w:rPr>
                <w:rFonts w:ascii="Calibri" w:hAnsi="Calibri"/>
                <w:b/>
                <w:bCs/>
                <w:color w:val="000000"/>
                <w:sz w:val="24"/>
                <w:lang w:eastAsia="es-CR"/>
              </w:rPr>
              <w:t>Grupo 1: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1E84" w14:textId="77777777" w:rsidR="00A2164A" w:rsidRPr="00830E04" w:rsidRDefault="00A2164A" w:rsidP="00DF6183">
            <w:pPr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8B3E" w14:textId="77777777" w:rsidR="00A2164A" w:rsidRPr="00830E04" w:rsidRDefault="00A2164A" w:rsidP="00DF6183">
            <w:pPr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  <w:r w:rsidRPr="00830E04">
              <w:rPr>
                <w:rFonts w:ascii="Calibri" w:hAnsi="Calibri"/>
                <w:b/>
                <w:bCs/>
                <w:color w:val="000000"/>
                <w:sz w:val="24"/>
                <w:lang w:eastAsia="es-CR"/>
              </w:rPr>
              <w:t>Grupo 2:</w:t>
            </w:r>
          </w:p>
        </w:tc>
      </w:tr>
      <w:tr w:rsidR="00A2164A" w:rsidRPr="00830E04" w14:paraId="71CA2F86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113B" w14:textId="77777777" w:rsidR="00A2164A" w:rsidRPr="00830E04" w:rsidRDefault="00A2164A" w:rsidP="00DF6183">
            <w:pPr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  <w:r w:rsidRPr="00830E04">
              <w:rPr>
                <w:rFonts w:ascii="Calibri" w:hAnsi="Calibri"/>
                <w:b/>
                <w:bCs/>
                <w:color w:val="000000"/>
                <w:sz w:val="24"/>
                <w:lang w:eastAsia="es-CR"/>
              </w:rPr>
              <w:t>Horario: 9 am a 12 md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E3F7" w14:textId="77777777" w:rsidR="00A2164A" w:rsidRPr="00830E04" w:rsidRDefault="00A2164A" w:rsidP="00DF6183">
            <w:pPr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6B45" w14:textId="77777777" w:rsidR="00A2164A" w:rsidRPr="00830E04" w:rsidRDefault="00A2164A" w:rsidP="00DF6183">
            <w:pPr>
              <w:rPr>
                <w:rFonts w:ascii="Calibri" w:hAnsi="Calibri"/>
                <w:b/>
                <w:bCs/>
                <w:color w:val="000000"/>
                <w:sz w:val="24"/>
                <w:lang w:val="es-CR" w:eastAsia="es-CR"/>
              </w:rPr>
            </w:pPr>
            <w:r w:rsidRPr="00830E04">
              <w:rPr>
                <w:rFonts w:ascii="Calibri" w:hAnsi="Calibri"/>
                <w:b/>
                <w:bCs/>
                <w:color w:val="000000"/>
                <w:sz w:val="24"/>
                <w:lang w:eastAsia="es-CR"/>
              </w:rPr>
              <w:t>Horario: 1 pm a 4 pm</w:t>
            </w:r>
          </w:p>
        </w:tc>
      </w:tr>
      <w:tr w:rsidR="00A2164A" w:rsidRPr="00830E04" w14:paraId="70D788B0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1260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Crédito Agrícola de Cartago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FE5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00C6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Cathay de Costa Rica, S.A.</w:t>
            </w:r>
          </w:p>
        </w:tc>
      </w:tr>
      <w:tr w:rsidR="00A2164A" w:rsidRPr="00830E04" w14:paraId="7B0200CF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C333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de Costa Rica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75D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D839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General</w:t>
            </w:r>
          </w:p>
        </w:tc>
      </w:tr>
      <w:tr w:rsidR="00A2164A" w:rsidRPr="00830E04" w14:paraId="330F3881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0568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Nacional de Costa Rica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22B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7B59E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Scotiabank de Costa Rica, S.A.</w:t>
            </w:r>
          </w:p>
        </w:tc>
      </w:tr>
      <w:tr w:rsidR="00A2164A" w:rsidRPr="00830E04" w14:paraId="640E2802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78FD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Popular y de Desarrollo Comunal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0BA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8235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Promérica, S.A.</w:t>
            </w:r>
          </w:p>
        </w:tc>
      </w:tr>
      <w:tr w:rsidR="00A2164A" w:rsidRPr="00830E04" w14:paraId="76E77971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BF34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Hipotecario de la Vivienda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5A3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7D74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Lafise Sociedad Anónima</w:t>
            </w:r>
          </w:p>
        </w:tc>
      </w:tr>
      <w:tr w:rsidR="00A2164A" w:rsidRPr="00830E04" w14:paraId="47333459" w14:textId="77777777" w:rsidTr="001903EA">
        <w:trPr>
          <w:trHeight w:val="5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EDFF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BAC San José, S.A.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0C8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8DFE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Banco Davivienda (Costa Rica) S.A.</w:t>
            </w:r>
          </w:p>
        </w:tc>
      </w:tr>
      <w:tr w:rsidR="00A2164A" w:rsidRPr="00830E04" w14:paraId="72D6233D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0377" w14:textId="77777777" w:rsidR="00A2164A" w:rsidRPr="00830E04" w:rsidRDefault="00A2164A" w:rsidP="00DF6183">
            <w:pPr>
              <w:rPr>
                <w:rFonts w:ascii="Calibri" w:hAnsi="Calibri"/>
                <w:color w:val="000000"/>
                <w:sz w:val="24"/>
                <w:lang w:val="es-CR" w:eastAsia="es-CR"/>
              </w:rPr>
            </w:pPr>
            <w:r w:rsidRPr="00830E04">
              <w:rPr>
                <w:rFonts w:ascii="Calibri" w:hAnsi="Calibri"/>
                <w:color w:val="000000"/>
                <w:sz w:val="24"/>
                <w:lang w:val="es-CR" w:eastAsia="es-CR"/>
              </w:rPr>
              <w:t>Banco BCT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A7F" w14:textId="77777777" w:rsidR="00A2164A" w:rsidRPr="00830E04" w:rsidRDefault="00A2164A" w:rsidP="00DF6183">
            <w:pPr>
              <w:rPr>
                <w:rFonts w:ascii="Calibri" w:hAnsi="Calibri"/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A1CD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 xml:space="preserve">Banco CMB Costa rica, S.A. </w:t>
            </w:r>
          </w:p>
        </w:tc>
      </w:tr>
      <w:tr w:rsidR="00A2164A" w:rsidRPr="00830E04" w14:paraId="67F28141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DF69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Banco Improsa S.A.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898D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A7DD" w14:textId="77777777" w:rsidR="00A2164A" w:rsidRPr="00830E04" w:rsidRDefault="00A2164A" w:rsidP="00DF6183">
            <w:pPr>
              <w:rPr>
                <w:color w:val="000000"/>
                <w:sz w:val="24"/>
                <w:lang w:val="en-US" w:eastAsia="es-CR"/>
              </w:rPr>
            </w:pPr>
            <w:r w:rsidRPr="00830E04">
              <w:rPr>
                <w:color w:val="000000"/>
                <w:sz w:val="24"/>
                <w:lang w:val="en-US" w:eastAsia="es-CR"/>
              </w:rPr>
              <w:t>The Bank of Nova Scotia (Costa Rica) S.A.</w:t>
            </w:r>
          </w:p>
        </w:tc>
      </w:tr>
      <w:tr w:rsidR="00A2164A" w:rsidRPr="00830E04" w14:paraId="5D111909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58EC0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Financiera CAFSA, S. A.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24A6C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DCF94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Prival Bank (Costa Rica) S.A.</w:t>
            </w:r>
          </w:p>
        </w:tc>
      </w:tr>
      <w:tr w:rsidR="00A2164A" w:rsidRPr="00830E04" w14:paraId="19637ECE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57EA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Financiera DESYFIN S.A.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08E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1DDC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Financiera COMECA S.A.</w:t>
            </w:r>
          </w:p>
        </w:tc>
      </w:tr>
      <w:tr w:rsidR="00A2164A" w:rsidRPr="00830E04" w14:paraId="4A0A8562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5E4F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Financiera G&amp;T Continental Costa Rica S.A.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C63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0AF1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COOPEANDE N° 1 R.L.</w:t>
            </w:r>
          </w:p>
        </w:tc>
      </w:tr>
      <w:tr w:rsidR="00A2164A" w:rsidRPr="00830E04" w14:paraId="2B7225D1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BE588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Financiera FlexiCredi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5F95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B46A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COOPEAYA R.L.</w:t>
            </w:r>
          </w:p>
        </w:tc>
      </w:tr>
      <w:tr w:rsidR="00A2164A" w:rsidRPr="00830E04" w14:paraId="7701F04B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9E90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COOCIQUE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D9C6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4425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COOPEBANPO R.L.</w:t>
            </w:r>
          </w:p>
        </w:tc>
      </w:tr>
      <w:tr w:rsidR="00A2164A" w:rsidRPr="00830E04" w14:paraId="72D12587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C5792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COOPAVEGRA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4C49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7AF6" w14:textId="77777777" w:rsidR="00A2164A" w:rsidRPr="00830E04" w:rsidRDefault="00A2164A" w:rsidP="00DF6183">
            <w:pPr>
              <w:rPr>
                <w:color w:val="000000"/>
                <w:sz w:val="24"/>
                <w:lang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COOPEGRECIA R.L</w:t>
            </w:r>
          </w:p>
        </w:tc>
      </w:tr>
      <w:tr w:rsidR="00A2164A" w:rsidRPr="00830E04" w14:paraId="6BE1E18A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971D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COOPEALIANZA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31B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880B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COOPECAJA R.L.</w:t>
            </w:r>
          </w:p>
        </w:tc>
      </w:tr>
      <w:tr w:rsidR="00A2164A" w:rsidRPr="00830E04" w14:paraId="61030369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5947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COOPEAMISTAD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D315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BF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COPECO R.L.</w:t>
            </w:r>
          </w:p>
        </w:tc>
      </w:tr>
      <w:tr w:rsidR="00A2164A" w:rsidRPr="00830E04" w14:paraId="6AF10B31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CA0E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COOPELECHEROS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5F0A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4E84F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COOPEFYL R.L.</w:t>
            </w:r>
          </w:p>
        </w:tc>
      </w:tr>
      <w:tr w:rsidR="00A2164A" w:rsidRPr="00830E04" w14:paraId="0A06A223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579A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COOPEMAPRO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9214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C8A8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COOPEJUDICIAL R.L.</w:t>
            </w:r>
          </w:p>
        </w:tc>
      </w:tr>
      <w:tr w:rsidR="00A2164A" w:rsidRPr="00830E04" w14:paraId="4CB5C707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C8AB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COOPENAE R,L.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B8D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9B7D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COOPEMEDICOS R.L.</w:t>
            </w:r>
          </w:p>
        </w:tc>
      </w:tr>
      <w:tr w:rsidR="00A2164A" w:rsidRPr="00830E04" w14:paraId="7EA42CE8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2F5B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COOPESANRAMON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1C3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A81DA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COOPEMEP R.L.</w:t>
            </w:r>
          </w:p>
        </w:tc>
      </w:tr>
      <w:tr w:rsidR="00A2164A" w:rsidRPr="00830E04" w14:paraId="586EC830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C0A1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COOPESANMARCOS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E68A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DEDF6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COOPESERVIDORES R.L.</w:t>
            </w:r>
          </w:p>
        </w:tc>
      </w:tr>
      <w:tr w:rsidR="00A2164A" w:rsidRPr="00830E04" w14:paraId="3C77987C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2C0C4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val="es-CR" w:eastAsia="es-CR"/>
              </w:rPr>
              <w:t>CREDECOOP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E52F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A2EF0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COOPEUNA R.L.</w:t>
            </w:r>
          </w:p>
        </w:tc>
      </w:tr>
      <w:tr w:rsidR="00A2164A" w:rsidRPr="00830E04" w14:paraId="2A016164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1AB15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COOPECAR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1CE5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A55FC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SERVICOOP R.L.</w:t>
            </w:r>
          </w:p>
        </w:tc>
      </w:tr>
      <w:tr w:rsidR="00A2164A" w:rsidRPr="00830E04" w14:paraId="4620BECC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1FFB0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COOPESPARTA R.L.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CBEA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CD11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Caja de Ahorro y Préstamos de la ANDE</w:t>
            </w:r>
          </w:p>
        </w:tc>
      </w:tr>
      <w:tr w:rsidR="00A2164A" w:rsidRPr="00830E04" w14:paraId="3B3E1C2B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465BB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Mutual Cartago de Ahorro y Préstamo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E07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FF90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</w:tr>
      <w:tr w:rsidR="00A2164A" w:rsidRPr="00830E04" w14:paraId="25A2ABC8" w14:textId="77777777" w:rsidTr="001903EA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63D4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  <w:r w:rsidRPr="00830E04">
              <w:rPr>
                <w:color w:val="000000"/>
                <w:sz w:val="24"/>
                <w:lang w:eastAsia="es-CR"/>
              </w:rPr>
              <w:t>Grupo Mutual Alajuela La Vivienda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9D6D" w14:textId="77777777" w:rsidR="00A2164A" w:rsidRPr="00830E04" w:rsidRDefault="00A2164A" w:rsidP="00DF6183">
            <w:pPr>
              <w:rPr>
                <w:color w:val="000000"/>
                <w:sz w:val="24"/>
                <w:lang w:val="es-CR" w:eastAsia="es-CR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72B" w14:textId="77777777" w:rsidR="00A2164A" w:rsidRPr="00830E04" w:rsidRDefault="00A2164A" w:rsidP="00DF6183">
            <w:pPr>
              <w:rPr>
                <w:color w:val="FF0000"/>
                <w:sz w:val="24"/>
                <w:lang w:val="es-CR" w:eastAsia="es-CR"/>
              </w:rPr>
            </w:pPr>
          </w:p>
        </w:tc>
      </w:tr>
    </w:tbl>
    <w:p w14:paraId="6CA4E55B" w14:textId="77777777" w:rsidR="00A2164A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sz w:val="24"/>
          <w:szCs w:val="24"/>
        </w:rPr>
      </w:pPr>
    </w:p>
    <w:p w14:paraId="0CFFBBC3" w14:textId="77777777" w:rsidR="00A2164A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sz w:val="24"/>
          <w:szCs w:val="24"/>
        </w:rPr>
      </w:pPr>
    </w:p>
    <w:p w14:paraId="49D2EA4D" w14:textId="77777777" w:rsidR="00A2164A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sz w:val="24"/>
          <w:szCs w:val="24"/>
        </w:rPr>
      </w:pPr>
    </w:p>
    <w:p w14:paraId="3B736A3C" w14:textId="77777777" w:rsidR="00A2164A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sz w:val="24"/>
          <w:szCs w:val="24"/>
        </w:rPr>
      </w:pPr>
    </w:p>
    <w:p w14:paraId="55BF469A" w14:textId="77777777" w:rsidR="00A2164A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sz w:val="24"/>
          <w:szCs w:val="24"/>
        </w:rPr>
      </w:pPr>
    </w:p>
    <w:p w14:paraId="260474BD" w14:textId="77777777" w:rsidR="00A2164A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sz w:val="24"/>
          <w:szCs w:val="24"/>
        </w:rPr>
      </w:pPr>
    </w:p>
    <w:p w14:paraId="58E7620C" w14:textId="77777777" w:rsidR="00A2164A" w:rsidRPr="00A951B8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sz w:val="24"/>
          <w:szCs w:val="24"/>
        </w:rPr>
      </w:pPr>
    </w:p>
    <w:p w14:paraId="3FA942AC" w14:textId="0CD5B542" w:rsidR="00A2164A" w:rsidRPr="00A951B8" w:rsidRDefault="00830E04" w:rsidP="00830E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Anexo</w:t>
      </w:r>
      <w:r w:rsidR="00A2164A">
        <w:rPr>
          <w:b/>
          <w:bCs/>
          <w:color w:val="000000"/>
        </w:rPr>
        <w:t xml:space="preserve"> 2</w:t>
      </w:r>
    </w:p>
    <w:p w14:paraId="5B6F91EE" w14:textId="77777777" w:rsidR="00A2164A" w:rsidRPr="00A951B8" w:rsidRDefault="00A2164A" w:rsidP="00DF6183">
      <w:pPr>
        <w:rPr>
          <w:rFonts w:cs="Arial"/>
          <w:b/>
          <w:bCs/>
          <w:color w:val="000000"/>
        </w:rPr>
      </w:pPr>
    </w:p>
    <w:p w14:paraId="623E424F" w14:textId="77777777" w:rsidR="00A2164A" w:rsidRPr="00A951B8" w:rsidRDefault="00A2164A" w:rsidP="00DF6183">
      <w:pPr>
        <w:rPr>
          <w:rFonts w:cs="Arial"/>
          <w:b/>
          <w:bCs/>
          <w:color w:val="000000"/>
        </w:rPr>
      </w:pPr>
      <w:r w:rsidRPr="00A951B8">
        <w:rPr>
          <w:rFonts w:cs="Arial"/>
          <w:b/>
          <w:bCs/>
          <w:color w:val="000000"/>
        </w:rPr>
        <w:t>Formato para la remisión de la información de los participantes</w:t>
      </w:r>
    </w:p>
    <w:p w14:paraId="0982AB4B" w14:textId="77777777" w:rsidR="00A2164A" w:rsidRPr="00A951B8" w:rsidRDefault="00A2164A" w:rsidP="00DF6183">
      <w:pPr>
        <w:rPr>
          <w:rFonts w:cs="Arial"/>
          <w:b/>
          <w:bCs/>
          <w:color w:val="000000"/>
        </w:rPr>
      </w:pPr>
    </w:p>
    <w:p w14:paraId="74F20082" w14:textId="77777777" w:rsidR="00A2164A" w:rsidRPr="00A951B8" w:rsidRDefault="00A2164A" w:rsidP="00DF6183">
      <w:pPr>
        <w:rPr>
          <w:rFonts w:cs="Arial"/>
          <w:b/>
          <w:bCs/>
          <w:color w:val="000000"/>
        </w:rPr>
      </w:pPr>
      <w:r w:rsidRPr="00A951B8">
        <w:rPr>
          <w:rFonts w:cs="Arial"/>
          <w:b/>
          <w:bCs/>
          <w:color w:val="000000"/>
        </w:rPr>
        <w:t>Deben indicar en el asunto del correo electrónico lo siguiente:</w:t>
      </w:r>
    </w:p>
    <w:p w14:paraId="030A7823" w14:textId="77777777" w:rsidR="00A2164A" w:rsidRPr="00A951B8" w:rsidRDefault="00A2164A" w:rsidP="00DF6183">
      <w:pPr>
        <w:rPr>
          <w:rFonts w:cs="Arial"/>
          <w:b/>
          <w:bCs/>
          <w:color w:val="000000"/>
        </w:rPr>
      </w:pPr>
    </w:p>
    <w:p w14:paraId="43AF8266" w14:textId="77777777" w:rsidR="00A2164A" w:rsidRPr="00A951B8" w:rsidRDefault="00A2164A" w:rsidP="00DF6183">
      <w:pPr>
        <w:rPr>
          <w:rFonts w:cs="Arial"/>
          <w:b/>
          <w:bCs/>
          <w:color w:val="000000"/>
        </w:rPr>
      </w:pPr>
      <w:r w:rsidRPr="00A951B8">
        <w:rPr>
          <w:rFonts w:cs="Arial"/>
          <w:b/>
          <w:bCs/>
          <w:color w:val="000000"/>
        </w:rPr>
        <w:t>ASUNTO: CAMBIOS SICVECA CREDITICIO</w:t>
      </w:r>
    </w:p>
    <w:p w14:paraId="3F2A58ED" w14:textId="77777777" w:rsidR="00A2164A" w:rsidRDefault="00A2164A" w:rsidP="00DF6183">
      <w:pPr>
        <w:rPr>
          <w:rFonts w:cs="Arial"/>
          <w:b/>
          <w:bCs/>
          <w:color w:val="000000"/>
        </w:rPr>
      </w:pPr>
    </w:p>
    <w:p w14:paraId="56A24CB8" w14:textId="77777777" w:rsidR="00A2164A" w:rsidRPr="00A951B8" w:rsidRDefault="00A2164A" w:rsidP="00DF6183">
      <w:pPr>
        <w:rPr>
          <w:rFonts w:cs="Arial"/>
          <w:b/>
          <w:bCs/>
          <w:color w:val="00000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2693"/>
      </w:tblGrid>
      <w:tr w:rsidR="00A2164A" w:rsidRPr="00A951B8" w14:paraId="06F755C3" w14:textId="77777777" w:rsidTr="001903EA">
        <w:trPr>
          <w:trHeight w:val="489"/>
        </w:trPr>
        <w:tc>
          <w:tcPr>
            <w:tcW w:w="8642" w:type="dxa"/>
            <w:gridSpan w:val="4"/>
          </w:tcPr>
          <w:p w14:paraId="2B6619C5" w14:textId="77777777" w:rsidR="00A2164A" w:rsidRPr="00A951B8" w:rsidRDefault="00A2164A" w:rsidP="00DF6183">
            <w:pPr>
              <w:rPr>
                <w:b/>
                <w:szCs w:val="22"/>
              </w:rPr>
            </w:pPr>
            <w:r w:rsidRPr="00A951B8">
              <w:rPr>
                <w:b/>
                <w:szCs w:val="22"/>
              </w:rPr>
              <w:t>Entidad:</w:t>
            </w:r>
          </w:p>
        </w:tc>
      </w:tr>
      <w:tr w:rsidR="00A2164A" w:rsidRPr="00A951B8" w14:paraId="653E348D" w14:textId="77777777" w:rsidTr="001903EA">
        <w:trPr>
          <w:trHeight w:val="542"/>
        </w:trPr>
        <w:tc>
          <w:tcPr>
            <w:tcW w:w="1838" w:type="dxa"/>
          </w:tcPr>
          <w:p w14:paraId="59A1E059" w14:textId="77777777" w:rsidR="00A2164A" w:rsidRPr="00A951B8" w:rsidRDefault="00A2164A" w:rsidP="00DF6183">
            <w:pPr>
              <w:rPr>
                <w:b/>
                <w:szCs w:val="22"/>
              </w:rPr>
            </w:pPr>
            <w:r w:rsidRPr="00A951B8">
              <w:rPr>
                <w:b/>
                <w:szCs w:val="22"/>
              </w:rPr>
              <w:t>Apellidos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693" w:type="dxa"/>
          </w:tcPr>
          <w:p w14:paraId="32288D40" w14:textId="77777777" w:rsidR="00A2164A" w:rsidRPr="00A951B8" w:rsidRDefault="00A2164A" w:rsidP="00DF6183">
            <w:pPr>
              <w:rPr>
                <w:b/>
                <w:szCs w:val="22"/>
              </w:rPr>
            </w:pPr>
            <w:r w:rsidRPr="00A951B8">
              <w:rPr>
                <w:b/>
                <w:szCs w:val="22"/>
              </w:rPr>
              <w:t>Nombre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418" w:type="dxa"/>
          </w:tcPr>
          <w:p w14:paraId="58BF9EB3" w14:textId="77777777" w:rsidR="00A2164A" w:rsidRPr="00A951B8" w:rsidRDefault="00A2164A" w:rsidP="00DF6183">
            <w:pPr>
              <w:rPr>
                <w:b/>
                <w:szCs w:val="22"/>
              </w:rPr>
            </w:pPr>
            <w:r w:rsidRPr="00A951B8">
              <w:rPr>
                <w:b/>
                <w:szCs w:val="22"/>
              </w:rPr>
              <w:t>Número de cédula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693" w:type="dxa"/>
          </w:tcPr>
          <w:p w14:paraId="4A3819AF" w14:textId="77777777" w:rsidR="00A2164A" w:rsidRPr="00A951B8" w:rsidRDefault="00A2164A" w:rsidP="00DF618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Correo electrónico:</w:t>
            </w:r>
          </w:p>
        </w:tc>
      </w:tr>
      <w:tr w:rsidR="00A2164A" w:rsidRPr="00A951B8" w14:paraId="70578DFA" w14:textId="77777777" w:rsidTr="001903EA">
        <w:trPr>
          <w:trHeight w:val="351"/>
        </w:trPr>
        <w:tc>
          <w:tcPr>
            <w:tcW w:w="1838" w:type="dxa"/>
          </w:tcPr>
          <w:p w14:paraId="1E72E73B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391D8C63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3D9F9685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2E5E3D04" w14:textId="77777777" w:rsidR="00A2164A" w:rsidRPr="00A951B8" w:rsidRDefault="00A2164A" w:rsidP="00DF6183">
            <w:pPr>
              <w:rPr>
                <w:szCs w:val="22"/>
              </w:rPr>
            </w:pPr>
          </w:p>
        </w:tc>
      </w:tr>
      <w:tr w:rsidR="00A2164A" w:rsidRPr="00A951B8" w14:paraId="7A391F82" w14:textId="77777777" w:rsidTr="001903EA">
        <w:trPr>
          <w:trHeight w:val="427"/>
        </w:trPr>
        <w:tc>
          <w:tcPr>
            <w:tcW w:w="1838" w:type="dxa"/>
          </w:tcPr>
          <w:p w14:paraId="69EEB39E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056DA1B9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59E1EA35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4AE2CF57" w14:textId="77777777" w:rsidR="00A2164A" w:rsidRPr="00A951B8" w:rsidRDefault="00A2164A" w:rsidP="00DF6183">
            <w:pPr>
              <w:rPr>
                <w:szCs w:val="22"/>
              </w:rPr>
            </w:pPr>
          </w:p>
        </w:tc>
      </w:tr>
      <w:tr w:rsidR="00A2164A" w:rsidRPr="00A951B8" w14:paraId="4E15CE51" w14:textId="77777777" w:rsidTr="001903EA">
        <w:trPr>
          <w:trHeight w:val="419"/>
        </w:trPr>
        <w:tc>
          <w:tcPr>
            <w:tcW w:w="1838" w:type="dxa"/>
          </w:tcPr>
          <w:p w14:paraId="7C7AB56F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0A8F633B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39DE844F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2886952E" w14:textId="77777777" w:rsidR="00A2164A" w:rsidRPr="00A951B8" w:rsidRDefault="00A2164A" w:rsidP="00DF6183">
            <w:pPr>
              <w:rPr>
                <w:szCs w:val="22"/>
              </w:rPr>
            </w:pPr>
          </w:p>
        </w:tc>
      </w:tr>
      <w:tr w:rsidR="00A2164A" w:rsidRPr="00A951B8" w14:paraId="6ABD5A0E" w14:textId="77777777" w:rsidTr="001903EA">
        <w:trPr>
          <w:trHeight w:val="397"/>
        </w:trPr>
        <w:tc>
          <w:tcPr>
            <w:tcW w:w="1838" w:type="dxa"/>
          </w:tcPr>
          <w:p w14:paraId="3598D3A4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42FC08BA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59E7B2B7" w14:textId="77777777" w:rsidR="00A2164A" w:rsidRPr="00A951B8" w:rsidRDefault="00A2164A" w:rsidP="00DF6183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28C00CF2" w14:textId="77777777" w:rsidR="00A2164A" w:rsidRPr="00A951B8" w:rsidRDefault="00A2164A" w:rsidP="00DF6183">
            <w:pPr>
              <w:rPr>
                <w:szCs w:val="22"/>
              </w:rPr>
            </w:pPr>
          </w:p>
        </w:tc>
      </w:tr>
    </w:tbl>
    <w:p w14:paraId="7D34C97D" w14:textId="77777777" w:rsidR="00A2164A" w:rsidRPr="00A951B8" w:rsidRDefault="00A2164A" w:rsidP="00DF6183"/>
    <w:p w14:paraId="6D22AAA8" w14:textId="77777777" w:rsidR="00A2164A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sz w:val="24"/>
          <w:szCs w:val="24"/>
        </w:rPr>
      </w:pPr>
    </w:p>
    <w:p w14:paraId="65F9DE99" w14:textId="77777777" w:rsidR="00A2164A" w:rsidRPr="00A951B8" w:rsidRDefault="00A2164A" w:rsidP="00DF6183">
      <w:pPr>
        <w:pStyle w:val="NormalWeb"/>
        <w:spacing w:before="0" w:beforeAutospacing="0" w:after="0" w:afterAutospac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Una vez completado el espacio del parqueo del Colegio de Ciencias Económicas, se debe considerar el uso de parqueos alternos.</w:t>
      </w:r>
    </w:p>
    <w:p w14:paraId="3DDD7F41" w14:textId="77777777" w:rsidR="00A2164A" w:rsidRPr="0085692C" w:rsidRDefault="00A2164A" w:rsidP="00DF6183">
      <w:pPr>
        <w:pStyle w:val="CC"/>
      </w:pPr>
    </w:p>
    <w:sectPr w:rsidR="00A2164A" w:rsidRPr="0085692C" w:rsidSect="005739A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21656" w14:textId="77777777" w:rsidR="00A2164A" w:rsidRDefault="00A2164A" w:rsidP="00D43D57">
      <w:r>
        <w:separator/>
      </w:r>
    </w:p>
  </w:endnote>
  <w:endnote w:type="continuationSeparator" w:id="0">
    <w:p w14:paraId="7E489B94" w14:textId="77777777" w:rsidR="00A2164A" w:rsidRDefault="00A2164A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84FE3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08FD571A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460D6DF0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0C3F6C0E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7820FCB8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248C226B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2F113B37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43196660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40794FF6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0115D">
            <w:rPr>
              <w:noProof/>
            </w:rPr>
            <w:t>2</w:t>
          </w:r>
          <w:r>
            <w:fldChar w:fldCharType="end"/>
          </w:r>
        </w:p>
      </w:tc>
    </w:tr>
  </w:tbl>
  <w:p w14:paraId="7A0345E7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6A9D975E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FF5D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7EAA49BA" wp14:editId="65DB7003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64FE47" wp14:editId="737BC5CD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04BC5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F47BFF8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7E9C9396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57D6E37E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69E2384E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4FE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6E604BC5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F47BFF8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7E9C9396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57D6E37E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69E2384E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EB614F" w14:textId="77777777" w:rsidR="001C075B" w:rsidRPr="00D43D57" w:rsidRDefault="001C075B" w:rsidP="008C0BF0">
    <w:pPr>
      <w:pStyle w:val="Piepagina"/>
      <w:jc w:val="center"/>
    </w:pPr>
  </w:p>
  <w:p w14:paraId="5600FB53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34F0B" w14:textId="77777777" w:rsidR="00A2164A" w:rsidRDefault="00A2164A" w:rsidP="00D43D57">
      <w:r>
        <w:separator/>
      </w:r>
    </w:p>
  </w:footnote>
  <w:footnote w:type="continuationSeparator" w:id="0">
    <w:p w14:paraId="48762F9D" w14:textId="77777777" w:rsidR="00A2164A" w:rsidRDefault="00A2164A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2378C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4BA3BE7F" wp14:editId="63CFDE75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CFE0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389623EB" wp14:editId="72ECBA0C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511F8EEE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C5BC9"/>
    <w:multiLevelType w:val="hybridMultilevel"/>
    <w:tmpl w:val="E1C4D5B6"/>
    <w:lvl w:ilvl="0" w:tplc="140A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  <w:b/>
      </w:rPr>
    </w:lvl>
    <w:lvl w:ilvl="1" w:tplc="140A0019">
      <w:start w:val="1"/>
      <w:numFmt w:val="lowerLetter"/>
      <w:lvlText w:val="%2."/>
      <w:lvlJc w:val="left"/>
      <w:pPr>
        <w:ind w:left="4113" w:hanging="360"/>
      </w:pPr>
    </w:lvl>
    <w:lvl w:ilvl="2" w:tplc="140A001B" w:tentative="1">
      <w:start w:val="1"/>
      <w:numFmt w:val="lowerRoman"/>
      <w:lvlText w:val="%3."/>
      <w:lvlJc w:val="right"/>
      <w:pPr>
        <w:ind w:left="4833" w:hanging="180"/>
      </w:pPr>
    </w:lvl>
    <w:lvl w:ilvl="3" w:tplc="140A000F" w:tentative="1">
      <w:start w:val="1"/>
      <w:numFmt w:val="decimal"/>
      <w:lvlText w:val="%4."/>
      <w:lvlJc w:val="left"/>
      <w:pPr>
        <w:ind w:left="5553" w:hanging="360"/>
      </w:pPr>
    </w:lvl>
    <w:lvl w:ilvl="4" w:tplc="140A0019" w:tentative="1">
      <w:start w:val="1"/>
      <w:numFmt w:val="lowerLetter"/>
      <w:lvlText w:val="%5."/>
      <w:lvlJc w:val="left"/>
      <w:pPr>
        <w:ind w:left="6273" w:hanging="360"/>
      </w:pPr>
    </w:lvl>
    <w:lvl w:ilvl="5" w:tplc="140A001B" w:tentative="1">
      <w:start w:val="1"/>
      <w:numFmt w:val="lowerRoman"/>
      <w:lvlText w:val="%6."/>
      <w:lvlJc w:val="right"/>
      <w:pPr>
        <w:ind w:left="6993" w:hanging="180"/>
      </w:pPr>
    </w:lvl>
    <w:lvl w:ilvl="6" w:tplc="140A000F" w:tentative="1">
      <w:start w:val="1"/>
      <w:numFmt w:val="decimal"/>
      <w:lvlText w:val="%7."/>
      <w:lvlJc w:val="left"/>
      <w:pPr>
        <w:ind w:left="7713" w:hanging="360"/>
      </w:pPr>
    </w:lvl>
    <w:lvl w:ilvl="7" w:tplc="140A0019" w:tentative="1">
      <w:start w:val="1"/>
      <w:numFmt w:val="lowerLetter"/>
      <w:lvlText w:val="%8."/>
      <w:lvlJc w:val="left"/>
      <w:pPr>
        <w:ind w:left="8433" w:hanging="360"/>
      </w:pPr>
    </w:lvl>
    <w:lvl w:ilvl="8" w:tplc="140A001B" w:tentative="1">
      <w:start w:val="1"/>
      <w:numFmt w:val="lowerRoman"/>
      <w:lvlText w:val="%9."/>
      <w:lvlJc w:val="right"/>
      <w:pPr>
        <w:ind w:left="9153" w:hanging="180"/>
      </w:pPr>
    </w:lvl>
  </w:abstractNum>
  <w:abstractNum w:abstractNumId="11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2">
    <w:nsid w:val="2A3A3E67"/>
    <w:multiLevelType w:val="hybridMultilevel"/>
    <w:tmpl w:val="7C36B954"/>
    <w:lvl w:ilvl="0" w:tplc="14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>
    <w:nsid w:val="56287E6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4A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9195B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0115D"/>
    <w:rsid w:val="00230C67"/>
    <w:rsid w:val="002645B7"/>
    <w:rsid w:val="0027603A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0463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0E04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164A"/>
    <w:rsid w:val="00A26E9E"/>
    <w:rsid w:val="00A34523"/>
    <w:rsid w:val="00A76A2E"/>
    <w:rsid w:val="00A84CDB"/>
    <w:rsid w:val="00A85563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1EA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DF6183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3CBBEA"/>
  <w15:docId w15:val="{1CB9BD25-B251-422A-AD5C-496A7C33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3">
    <w:name w:val="heading 3"/>
    <w:basedOn w:val="Normal"/>
    <w:link w:val="Ttulo3Car"/>
    <w:qFormat/>
    <w:locked/>
    <w:rsid w:val="00A2164A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color w:val="666666"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customStyle="1" w:styleId="Ttulo3Car">
    <w:name w:val="Título 3 Car"/>
    <w:basedOn w:val="Fuentedeprrafopredeter"/>
    <w:link w:val="Ttulo3"/>
    <w:rsid w:val="00A2164A"/>
    <w:rPr>
      <w:rFonts w:ascii="Times New Roman" w:eastAsia="Times New Roman" w:hAnsi="Times New Roman"/>
      <w:b/>
      <w:bCs/>
      <w:color w:val="666666"/>
      <w:lang w:val="es-ES" w:eastAsia="es-ES"/>
    </w:rPr>
  </w:style>
  <w:style w:type="character" w:styleId="Hipervnculo">
    <w:name w:val="Hyperlink"/>
    <w:locked/>
    <w:rsid w:val="00A2164A"/>
    <w:rPr>
      <w:rFonts w:ascii="Times New Roman" w:hAnsi="Times New Roman" w:hint="default"/>
      <w:b w:val="0"/>
      <w:bCs w:val="0"/>
      <w:i w:val="0"/>
      <w:iCs w:val="0"/>
      <w:caps w:val="0"/>
      <w:smallCaps w:val="0"/>
      <w:color w:val="0033FF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locked/>
    <w:rsid w:val="00A2164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locked/>
    <w:rsid w:val="00A2164A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A2164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vega@sugef.fi.c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capacitacion@sugef.fi.c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sequeira@sugef.fi.c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_Grupos_Interes_Economico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43D584B5840ED941614CDD351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5751-5FC4-4AF2-AA15-65918B341281}"/>
      </w:docPartPr>
      <w:docPartBody>
        <w:p w:rsidR="0052305D" w:rsidRDefault="00023DA9" w:rsidP="00023DA9">
          <w:pPr>
            <w:pStyle w:val="BD643D584B5840ED941614CDD3515FA1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A9"/>
    <w:rsid w:val="00023DA9"/>
    <w:rsid w:val="005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3DA9"/>
    <w:rPr>
      <w:color w:val="808080"/>
    </w:rPr>
  </w:style>
  <w:style w:type="paragraph" w:customStyle="1" w:styleId="A66FBA939CBA4F9E886D56853D07F9F9">
    <w:name w:val="A66FBA939CBA4F9E886D56853D07F9F9"/>
  </w:style>
  <w:style w:type="paragraph" w:customStyle="1" w:styleId="BD643D584B5840ED941614CDD3515FA1">
    <w:name w:val="BD643D584B5840ED941614CDD3515FA1"/>
    <w:rsid w:val="00023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YW1FnZjWvDCv0q310fUoODknXkZmyYyb22fPaA+5bhE=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kzTuI90DShaN3ekCuJIP0Gbb6+Vos+uN17v6C8Q3dDk=</DigestValue>
    </Reference>
  </SignedInfo>
  <SignatureValue>V057G0310NnCMPrJHe6WSFDhPMF/LoQ9fUeWRSc2LodV2oxnj6f4laIqKNpHXwkJEdIH8M3lIi+t
rL+mq/ow14BxmL1jVczGJE5yZlld1wZKgWFR3H02KwUubLkaa+O0eLQtGXfKqNTq6YXY7X/FRv+F
tvx7uHurw5sQJ27hwnUEMVtepPKZ521Eps0yfwXL4WA4KdCZ/lfrUF3GojKGc47fgog4bHVHluzm
S6ROmhbCkhL12Mi3iyxH7Jia2EpJOk4ftipHU5/vgj9NoLM5dNjThjVaAegJMgfWpW7PhFFxnTvT
dlQ6v/ePP8rmz5Osvm703biQhV7AtHGeYWyXqw==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ZI2yMTF6QdxdwURwWZjNd7QloqL8z72YpYg/mGs/vCk=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Vpl1ViwIrToqfU7BpYWqjAAXOABCMalr2d2FH24TS7Q=</DigestValue>
      </Reference>
      <Reference URI="/word/document.xml?ContentType=application/vnd.openxmlformats-officedocument.wordprocessingml.document.main+xml">
        <DigestMethod Algorithm="http://www.w3.org/2001/04/xmlenc#sha256"/>
        <DigestValue>QZoEqLz7ZP1xiqo/0qPYwatHuhPoilHt6v/f5wmXsAE=</DigestValue>
      </Reference>
      <Reference URI="/word/endnotes.xml?ContentType=application/vnd.openxmlformats-officedocument.wordprocessingml.endnotes+xml">
        <DigestMethod Algorithm="http://www.w3.org/2001/04/xmlenc#sha256"/>
        <DigestValue>WrckIgvdcTw0mpZR4Q7G3c3JEZJf06RpMR0AKmwy6Is=</DigestValue>
      </Reference>
      <Reference URI="/word/fontTable.xml?ContentType=application/vnd.openxmlformats-officedocument.wordprocessingml.fontTable+xml">
        <DigestMethod Algorithm="http://www.w3.org/2001/04/xmlenc#sha256"/>
        <DigestValue>EClrt0aaZVctsiCoFG8bV8zataybZnThcgkGMPKrGO8=</DigestValue>
      </Reference>
      <Reference URI="/word/footer1.xml?ContentType=application/vnd.openxmlformats-officedocument.wordprocessingml.footer+xml">
        <DigestMethod Algorithm="http://www.w3.org/2001/04/xmlenc#sha256"/>
        <DigestValue>iQt/KC582BejQwOcCMPjAa0q81sHjB0agBxtZnR8M8o=</DigestValue>
      </Reference>
      <Reference URI="/word/footer2.xml?ContentType=application/vnd.openxmlformats-officedocument.wordprocessingml.footer+xml">
        <DigestMethod Algorithm="http://www.w3.org/2001/04/xmlenc#sha256"/>
        <DigestValue>eASmvQ7dM92eYqT+FTRBd9E2vQfCBx1BrhMKFgsQEa0=</DigestValue>
      </Reference>
      <Reference URI="/word/footnotes.xml?ContentType=application/vnd.openxmlformats-officedocument.wordprocessingml.footnotes+xml">
        <DigestMethod Algorithm="http://www.w3.org/2001/04/xmlenc#sha256"/>
        <DigestValue>3xGNvh1+/3kmBX8qRAkSefA8FXPtpZO/tmpkOCTsdBw=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JUUjroBJejX8CVaB7wAiNhF7QryTzLC+fZ/EC4FBIkU=</DigestValue>
      </Reference>
      <Reference URI="/word/glossary/fontTable.xml?ContentType=application/vnd.openxmlformats-officedocument.wordprocessingml.fontTable+xml">
        <DigestMethod Algorithm="http://www.w3.org/2001/04/xmlenc#sha256"/>
        <DigestValue>3DbIkHuoOscfq2taB4/oykPzZjTvhaCeiiEnJqEnyrs=</DigestValue>
      </Reference>
      <Reference URI="/word/glossary/settings.xml?ContentType=application/vnd.openxmlformats-officedocument.wordprocessingml.settings+xml">
        <DigestMethod Algorithm="http://www.w3.org/2001/04/xmlenc#sha256"/>
        <DigestValue>c5HQM/d+acXh9uxSEv84sGnLUUtVXVv3Nf/W/Ze4FgE=</DigestValue>
      </Reference>
      <Reference URI="/word/glossary/styles.xml?ContentType=application/vnd.openxmlformats-officedocument.wordprocessingml.styles+xml">
        <DigestMethod Algorithm="http://www.w3.org/2001/04/xmlenc#sha256"/>
        <DigestValue>9QBytZU8kXIWihk32dp+4/wLsbEt/uuxX41TB+gta5E=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dFt3ebTHbmFDmRy7GsiWO3CSZOUDorxxfZc8lMq5lUE=</DigestValue>
      </Reference>
      <Reference URI="/word/header2.xml?ContentType=application/vnd.openxmlformats-officedocument.wordprocessingml.header+xml">
        <DigestMethod Algorithm="http://www.w3.org/2001/04/xmlenc#sha256"/>
        <DigestValue>rxklZfJWf1Z16ZEzRMqdLNrjZiILOKTVc2w2qJV9pjs=</DigestValue>
      </Reference>
      <Reference URI="/word/media/image1.jp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Od0cU5mVE+gVmtCOUWliMfpCKD6UK/KGt0kz320B/B0=</DigestValue>
      </Reference>
      <Reference URI="/word/settings.xml?ContentType=application/vnd.openxmlformats-officedocument.wordprocessingml.settings+xml">
        <DigestMethod Algorithm="http://www.w3.org/2001/04/xmlenc#sha256"/>
        <DigestValue>JrmcLCyMXV5SQlVxh6lnIrfqcZm7mDkhti5weavEpYo=</DigestValue>
      </Reference>
      <Reference URI="/word/styles.xml?ContentType=application/vnd.openxmlformats-officedocument.wordprocessingml.styles+xml">
        <DigestMethod Algorithm="http://www.w3.org/2001/04/xmlenc#sha256"/>
        <DigestValue>GESMJLUV4AsxDDGNtVZOiY0RgJpYTEUgknI0BvEd9wE=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2016-07-15T23:00:01Z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2016-07-15T23:00:01Z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5LgzqJ05eHksq0AM41x772PFdqfAir4JJWvwtbCYzgcCBADHTgoYDzIwMTYwNzE1MjMwMDEw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</xd:EncapsulatedCRLValue>
                <xd:EncapsulatedCRLValue>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FybINI01sqayActC5U7brdJaihA=</xd:ByKey>
                  </xd:ResponderID>
                  <xd:ProducedAt>2016-07-15T14:41:29Z</xd:ProducedAt>
                </xd:OCSPIdentifier>
                <xd:DigestAlgAndValue>
                  <DigestMethod Algorithm="http://www.w3.org/2001/04/xmlenc#sha256"/>
                  <DigestValue>naS44NMPxUXeQLywzBR1Ui+Ps86tY7Kjgh4UHtxN+lA=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JcVCSTtxdMCQjJYKvUeFAzOAgZeOE3ACtiLx21dwyKo=</DigestValue>
                </xd:DigestAlgAndValue>
                <xd:CRLIdentifier>
                  <xd:Issuer>CN=CA POLITICA PERSONA FISICA - COSTA RICA, OU=DCFD, O=MICIT, C=CR, SERIALNUMBER=CPJ-2-100-098311</xd:Issuer>
                  <xd:IssueTime>2016-06-17T20:32:13Z</xd:IssueTime>
                </xd:CRLIdentifier>
              </xd:CRLRef>
              <xd:CRLRef>
                <xd:DigestAlgAndValue>
                  <DigestMethod Algorithm="http://www.w3.org/2001/04/xmlenc#sha256"/>
                  <DigestValue>L0W6ru/YOUdGedUKkicYIxO4s6lOTvOyVjc24UVL2RY=</DigestValue>
                </xd:DigestAlgAndValue>
                <xd:CRLIdentifier>
                  <xd:Issuer>CN=CA RAIZ NACIONAL - COSTA RICA, C=CR, O=MICIT, OU=DCFD, SERIALNUMBER=CPJ-2-100-098311</xd:Issuer>
                  <xd:IssueTime>2016-06-17T20:21:22Z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</xd:EncapsulatedCRLValue>
              <xd:EncapsulatedCRLValue>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XnDFuQzZudNTav/3hUKgUWp5vLbDqZuZEJ1Lu8nRNegCBADHTgsYDzIwMTYwNzE1MjMwMDEw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2455-2016
Copiar a SALIENTE CAPACITACION y SALIENTE NORMAS y
SALIENTE GRUPOS DE INTERÉS ECONÓMICO</Situación_x0020_actual>
    <Dependencia xmlns="b875e23b-67d9-4b2e-bdec-edacbf90b326"/>
    <Enviado_x0020_por1 xmlns="b875e23b-67d9-4b2e-bdec-edacbf90b326">Servicios Técnicos</Enviado_x0020_por1>
    <KpiDescription xmlns="http://schemas.microsoft.com/sharepoint/v3">2455-2016
Circular Externa para las entidades supervisadas sobre capacitación cambios SUGEF 15-16 y SUGEF 1-05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A todas las entidades supervisadas, excepto Casas de Cambio  y Entidades Autorizadas Artículo 15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2455-2016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NORMAS</DisplayName>
        <AccountId>360</AccountId>
        <AccountType/>
      </UserInfo>
      <UserInfo>
        <DisplayName>SALIENTE CAPACITACIÓN</DisplayName>
        <AccountId>423</AccountId>
        <AccountType/>
      </UserInfo>
      <UserInfo>
        <DisplayName>SALIENTE GRUPO DE INTERES ECONOMICO</DisplayName>
        <AccountId>359</AccountId>
        <AccountType/>
      </UserInfo>
    </Con_x0020_copia>
  </documentManagement>
</p:properti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5" ma:contentTypeDescription="" ma:contentTypeScope="" ma:versionID="04c9cefe9b633a7a0e34643461f94d3b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99280a7234a1071fbd7e4692912878e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3C8DD-953F-4854-802A-37C6FB25E068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283BF82E-1A70-4392-8CF2-7DEAFF1953AE}"/>
</file>

<file path=customXml/itemProps4.xml><?xml version="1.0" encoding="utf-8"?>
<ds:datastoreItem xmlns:ds="http://schemas.openxmlformats.org/officeDocument/2006/customXml" ds:itemID="{4501E397-6276-4507-AA7C-9719C11EF7F4}"/>
</file>

<file path=customXml/itemProps5.xml><?xml version="1.0" encoding="utf-8"?>
<ds:datastoreItem xmlns:ds="http://schemas.openxmlformats.org/officeDocument/2006/customXml" ds:itemID="{E6B669F5-AF68-40EB-A45B-E78773CA8521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25</TotalTime>
  <Pages>4</Pages>
  <Words>886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Villalobos Rodríguez</dc:creator>
  <cp:keywords/>
  <dc:description/>
  <cp:lastModifiedBy>Gabriela Vargas Leal</cp:lastModifiedBy>
  <cp:revision>8</cp:revision>
  <cp:lastPrinted>2015-07-30T22:36:00Z</cp:lastPrinted>
  <dcterms:created xsi:type="dcterms:W3CDTF">2016-07-15T21:04:00Z</dcterms:created>
  <dcterms:modified xsi:type="dcterms:W3CDTF">2016-07-15T21:49:00Z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0.95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Con copia">
    <vt:lpwstr/>
  </property>
  <property fmtid="{D5CDD505-2E9C-101B-9397-08002B2CF9AE}" pid="8" name="Días seguimiento">
    <vt:lpwstr/>
  </property>
  <property fmtid="{D5CDD505-2E9C-101B-9397-08002B2CF9AE}" pid="9" name="Tipo de envío">
    <vt:lpwstr/>
  </property>
  <property fmtid="{D5CDD505-2E9C-101B-9397-08002B2CF9AE}" pid="10" name="Fecha notificación">
    <vt:lpwstr/>
  </property>
  <property fmtid="{D5CDD505-2E9C-101B-9397-08002B2CF9AE}" pid="11" name="N°Oficio">
    <vt:lpwstr>XXXX-2016</vt:lpwstr>
  </property>
  <property fmtid="{D5CDD505-2E9C-101B-9397-08002B2CF9AE}" pid="12" name="Firmantes">
    <vt:lpwstr/>
  </property>
  <property fmtid="{D5CDD505-2E9C-101B-9397-08002B2CF9AE}" pid="13" name="Seguimiento?">
    <vt:lpwstr>false</vt:lpwstr>
  </property>
  <property fmtid="{D5CDD505-2E9C-101B-9397-08002B2CF9AE}" pid="14" name="WorkflowChangePath">
    <vt:lpwstr>1c253867-ac34-4960-aa2c-c9fbb72b596d,3;</vt:lpwstr>
  </property>
</Properties>
</file>