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E2B0A" w:rsidR="006972C9" w:rsidP="005C0820" w:rsidRDefault="00926E57" w14:paraId="23A194F7" w14:textId="434894B6">
      <w:pPr>
        <w:pStyle w:val="Texto"/>
        <w:spacing w:before="0" w:after="0" w:line="240" w:lineRule="auto"/>
        <w:jc w:val="center"/>
        <w:rPr>
          <w:sz w:val="24"/>
        </w:rPr>
      </w:pPr>
      <w:r>
        <w:rPr>
          <w:sz w:val="24"/>
        </w:rPr>
        <w:t>10</w:t>
      </w:r>
      <w:r w:rsidR="006944B8">
        <w:rPr>
          <w:sz w:val="24"/>
        </w:rPr>
        <w:t xml:space="preserve"> de junio de 2022</w:t>
      </w:r>
    </w:p>
    <w:sdt>
      <w:sdtPr>
        <w:rPr>
          <w:sz w:val="24"/>
        </w:rPr>
        <w:alias w:val="Consecutivo"/>
        <w:tag w:val="Consecutivo"/>
        <w:id w:val="2052717023"/>
        <w:placeholder>
          <w:docPart w:val="C94BDF1EA1994AFC858E2849983C1D4D"/>
        </w:placeholder>
        <w:text/>
      </w:sdtPr>
      <w:sdtEndPr/>
      <w:sdtContent>
        <w:p w:rsidR="006972C9" w:rsidP="005C0820" w:rsidRDefault="006972C9" w14:paraId="08DC94AF" w14:textId="77777777">
          <w:pPr>
            <w:tabs>
              <w:tab w:val="left" w:pos="2843"/>
            </w:tabs>
            <w:spacing w:line="240" w:lineRule="auto"/>
            <w:jc w:val="center"/>
            <w:rPr>
              <w:sz w:val="24"/>
            </w:rPr>
          </w:pPr>
          <w:r>
            <w:t>SGF-1252-2022</w:t>
          </w:r>
        </w:p>
      </w:sdtContent>
    </w:sdt>
    <w:p w:rsidR="006972C9" w:rsidP="005C0820" w:rsidRDefault="00926E57" w14:paraId="1140C5F5" w14:textId="7D03DCE6">
      <w:pPr>
        <w:tabs>
          <w:tab w:val="left" w:pos="2843"/>
        </w:tabs>
        <w:spacing w:line="240" w:lineRule="auto"/>
        <w:jc w:val="center"/>
        <w:rPr>
          <w:sz w:val="24"/>
        </w:rPr>
      </w:pPr>
      <w:sdt>
        <w:sdtPr>
          <w:rPr>
            <w:sz w:val="24"/>
          </w:rPr>
          <w:alias w:val="Confidencialidad"/>
          <w:tag w:val="Confidencialidad"/>
          <w:id w:val="1447896894"/>
          <w:placeholder>
            <w:docPart w:val="3BB2C3469EAC495B91264317978655C7"/>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5C0820">
            <w:rPr>
              <w:sz w:val="24"/>
            </w:rPr>
            <w:t>SGF-PUBLICO</w:t>
          </w:r>
        </w:sdtContent>
      </w:sdt>
    </w:p>
    <w:p w:rsidRPr="002E2B0A" w:rsidR="006972C9" w:rsidP="001B6D55" w:rsidRDefault="006972C9" w14:paraId="7CF70D4F" w14:textId="77777777">
      <w:pPr>
        <w:tabs>
          <w:tab w:val="left" w:pos="2843"/>
        </w:tabs>
        <w:spacing w:line="240" w:lineRule="auto"/>
        <w:rPr>
          <w:sz w:val="24"/>
        </w:rPr>
      </w:pPr>
      <w:r w:rsidRPr="002E2B0A">
        <w:rPr>
          <w:sz w:val="24"/>
        </w:rPr>
        <w:tab/>
      </w:r>
    </w:p>
    <w:p w:rsidRPr="002E2B0A" w:rsidR="006972C9" w:rsidP="005C0820" w:rsidRDefault="006972C9" w14:paraId="638E54EF" w14:textId="77777777">
      <w:pPr>
        <w:spacing w:line="240" w:lineRule="auto"/>
        <w:jc w:val="center"/>
        <w:rPr>
          <w:sz w:val="24"/>
        </w:rPr>
      </w:pPr>
    </w:p>
    <w:p w:rsidR="006944B8" w:rsidP="005C0820" w:rsidRDefault="005C0820" w14:paraId="5551885D" w14:textId="54D0ADCD">
      <w:pPr>
        <w:tabs>
          <w:tab w:val="left" w:pos="2843"/>
        </w:tabs>
        <w:spacing w:line="240" w:lineRule="auto"/>
        <w:jc w:val="center"/>
        <w:rPr>
          <w:b/>
          <w:sz w:val="28"/>
          <w:szCs w:val="28"/>
        </w:rPr>
      </w:pPr>
      <w:r>
        <w:rPr>
          <w:b/>
          <w:sz w:val="28"/>
          <w:szCs w:val="28"/>
        </w:rPr>
        <w:t xml:space="preserve">Aclaración </w:t>
      </w:r>
      <w:r w:rsidR="00D672DE">
        <w:rPr>
          <w:b/>
          <w:sz w:val="28"/>
          <w:szCs w:val="28"/>
        </w:rPr>
        <w:t>R</w:t>
      </w:r>
      <w:r w:rsidRPr="00A76CC7">
        <w:rPr>
          <w:b/>
          <w:sz w:val="28"/>
          <w:szCs w:val="28"/>
        </w:rPr>
        <w:t>esolución de la Superintendente</w:t>
      </w:r>
      <w:r>
        <w:rPr>
          <w:b/>
          <w:sz w:val="28"/>
          <w:szCs w:val="28"/>
        </w:rPr>
        <w:t xml:space="preserve"> </w:t>
      </w:r>
      <w:r w:rsidRPr="00214934">
        <w:rPr>
          <w:b/>
          <w:sz w:val="28"/>
          <w:szCs w:val="28"/>
        </w:rPr>
        <w:t>SGF-0479-2022</w:t>
      </w:r>
      <w:r>
        <w:rPr>
          <w:b/>
          <w:sz w:val="28"/>
          <w:szCs w:val="28"/>
        </w:rPr>
        <w:t xml:space="preserve"> </w:t>
      </w:r>
    </w:p>
    <w:p w:rsidRPr="00A76CC7" w:rsidR="005C0820" w:rsidP="005C0820" w:rsidRDefault="005C0820" w14:paraId="73445C62" w14:textId="1C35C19E">
      <w:pPr>
        <w:tabs>
          <w:tab w:val="left" w:pos="2843"/>
        </w:tabs>
        <w:spacing w:line="240" w:lineRule="auto"/>
        <w:jc w:val="center"/>
        <w:rPr>
          <w:b/>
          <w:sz w:val="28"/>
          <w:szCs w:val="28"/>
        </w:rPr>
      </w:pPr>
      <w:r>
        <w:rPr>
          <w:b/>
          <w:sz w:val="28"/>
          <w:szCs w:val="28"/>
        </w:rPr>
        <w:t>del 10 de marzo del 2022</w:t>
      </w:r>
    </w:p>
    <w:p w:rsidR="005C0820" w:rsidP="005C0820" w:rsidRDefault="005C0820" w14:paraId="20990D6B" w14:textId="77777777">
      <w:pPr>
        <w:tabs>
          <w:tab w:val="left" w:pos="2843"/>
        </w:tabs>
        <w:spacing w:line="240" w:lineRule="auto"/>
        <w:rPr>
          <w:b/>
          <w:bCs/>
          <w:sz w:val="24"/>
        </w:rPr>
      </w:pPr>
    </w:p>
    <w:p w:rsidR="005C0820" w:rsidP="005C0820" w:rsidRDefault="005C0820" w14:paraId="2AA4986A" w14:textId="77777777">
      <w:pPr>
        <w:tabs>
          <w:tab w:val="left" w:pos="2843"/>
        </w:tabs>
        <w:spacing w:line="240" w:lineRule="auto"/>
        <w:rPr>
          <w:b/>
          <w:bCs/>
          <w:sz w:val="24"/>
        </w:rPr>
      </w:pPr>
    </w:p>
    <w:p w:rsidR="005C0820" w:rsidP="005C0820" w:rsidRDefault="005C0820" w14:paraId="0777EC7C" w14:textId="77777777">
      <w:pPr>
        <w:tabs>
          <w:tab w:val="left" w:pos="2843"/>
        </w:tabs>
        <w:spacing w:line="240" w:lineRule="auto"/>
        <w:rPr>
          <w:b/>
          <w:bCs/>
          <w:sz w:val="24"/>
        </w:rPr>
      </w:pPr>
      <w:r>
        <w:rPr>
          <w:b/>
          <w:bCs/>
          <w:sz w:val="24"/>
        </w:rPr>
        <w:t xml:space="preserve">Dirigida a: </w:t>
      </w:r>
    </w:p>
    <w:p w:rsidR="005C0820" w:rsidP="005C0820" w:rsidRDefault="005C0820" w14:paraId="1EB7F996" w14:textId="77777777">
      <w:pPr>
        <w:tabs>
          <w:tab w:val="left" w:pos="2843"/>
        </w:tabs>
        <w:spacing w:line="240" w:lineRule="auto"/>
        <w:rPr>
          <w:b/>
          <w:bCs/>
          <w:sz w:val="24"/>
        </w:rPr>
      </w:pPr>
    </w:p>
    <w:p w:rsidR="005C0820" w:rsidP="005C0820" w:rsidRDefault="005C0820" w14:paraId="12EEAD3C" w14:textId="75ECC611">
      <w:pPr>
        <w:pStyle w:val="Prrafodelista"/>
        <w:numPr>
          <w:ilvl w:val="0"/>
          <w:numId w:val="3"/>
        </w:numPr>
        <w:tabs>
          <w:tab w:val="left" w:pos="2843"/>
        </w:tabs>
        <w:spacing w:line="240" w:lineRule="auto"/>
        <w:jc w:val="both"/>
        <w:rPr>
          <w:rFonts w:ascii="Cambria" w:hAnsi="Cambria"/>
          <w:b/>
          <w:bCs/>
          <w:sz w:val="24"/>
        </w:rPr>
      </w:pPr>
      <w:r>
        <w:rPr>
          <w:rFonts w:ascii="Cambria" w:hAnsi="Cambria"/>
          <w:b/>
          <w:bCs/>
          <w:sz w:val="24"/>
        </w:rPr>
        <w:t>P</w:t>
      </w:r>
      <w:r w:rsidRPr="000C5795">
        <w:rPr>
          <w:rFonts w:ascii="Cambria" w:hAnsi="Cambria"/>
          <w:b/>
          <w:bCs/>
          <w:sz w:val="24"/>
        </w:rPr>
        <w:t>ersonas jurídicas, que realicen la actividad de proveedores de servicios de pago</w:t>
      </w:r>
      <w:r>
        <w:rPr>
          <w:rFonts w:ascii="Cambria" w:hAnsi="Cambria"/>
          <w:b/>
          <w:bCs/>
          <w:sz w:val="24"/>
        </w:rPr>
        <w:t>, según lo dispuesto en el artículo 6 del “</w:t>
      </w:r>
      <w:r w:rsidRPr="00705012">
        <w:rPr>
          <w:rFonts w:ascii="Cambria" w:hAnsi="Cambria"/>
          <w:b/>
          <w:bCs/>
          <w:sz w:val="24"/>
        </w:rPr>
        <w:t>Reglamento del Sistema de Pagos</w:t>
      </w:r>
      <w:r>
        <w:rPr>
          <w:rFonts w:ascii="Cambria" w:hAnsi="Cambria"/>
          <w:b/>
          <w:bCs/>
          <w:sz w:val="24"/>
        </w:rPr>
        <w:t xml:space="preserve">”, </w:t>
      </w:r>
      <w:r w:rsidRPr="00705012">
        <w:rPr>
          <w:rFonts w:ascii="Cambria" w:hAnsi="Cambria"/>
          <w:b/>
          <w:bCs/>
          <w:sz w:val="24"/>
        </w:rPr>
        <w:t xml:space="preserve">que están inscritas o pretendan inscribirse </w:t>
      </w:r>
      <w:r w:rsidR="006944B8">
        <w:rPr>
          <w:rFonts w:ascii="Cambria" w:hAnsi="Cambria"/>
          <w:b/>
          <w:bCs/>
          <w:sz w:val="24"/>
        </w:rPr>
        <w:t xml:space="preserve">ante la SUGEF </w:t>
      </w:r>
      <w:r w:rsidRPr="00705012">
        <w:rPr>
          <w:rFonts w:ascii="Cambria" w:hAnsi="Cambria"/>
          <w:b/>
          <w:bCs/>
          <w:sz w:val="24"/>
        </w:rPr>
        <w:t>por el Artículo 15 o 15 bis de la Ley 7786.</w:t>
      </w:r>
    </w:p>
    <w:p w:rsidR="005C0820" w:rsidP="005C0820" w:rsidRDefault="005C0820" w14:paraId="6978A40C" w14:textId="77777777">
      <w:pPr>
        <w:tabs>
          <w:tab w:val="left" w:pos="2843"/>
        </w:tabs>
        <w:spacing w:line="240" w:lineRule="auto"/>
        <w:rPr>
          <w:sz w:val="24"/>
        </w:rPr>
      </w:pPr>
    </w:p>
    <w:p w:rsidR="005C0820" w:rsidP="005C0820" w:rsidRDefault="005C0820" w14:paraId="5A671639" w14:textId="3B0610CB">
      <w:pPr>
        <w:rPr>
          <w:b/>
          <w:sz w:val="24"/>
        </w:rPr>
      </w:pPr>
      <w:r w:rsidRPr="00DB4C95">
        <w:rPr>
          <w:b/>
          <w:sz w:val="24"/>
        </w:rPr>
        <w:t>Asunto: Aclaración en torno a los siguientes aspectos:</w:t>
      </w:r>
    </w:p>
    <w:p w:rsidRPr="00DB4C95" w:rsidR="006944B8" w:rsidP="005C0820" w:rsidRDefault="006944B8" w14:paraId="5E11A7CF" w14:textId="77777777">
      <w:pPr>
        <w:rPr>
          <w:b/>
          <w:sz w:val="24"/>
        </w:rPr>
      </w:pPr>
    </w:p>
    <w:p w:rsidRPr="00DB4C95" w:rsidR="00AB6DC2" w:rsidP="00516F4C" w:rsidRDefault="00AB6DC2" w14:paraId="576FF975" w14:textId="77777777">
      <w:pPr>
        <w:pStyle w:val="Prrafodelista"/>
        <w:numPr>
          <w:ilvl w:val="0"/>
          <w:numId w:val="5"/>
        </w:numPr>
        <w:ind w:left="709" w:hanging="425"/>
        <w:jc w:val="both"/>
        <w:rPr>
          <w:rFonts w:ascii="Cambria" w:hAnsi="Cambria"/>
          <w:b/>
          <w:sz w:val="24"/>
        </w:rPr>
      </w:pPr>
      <w:r w:rsidRPr="00DB4C95">
        <w:rPr>
          <w:rFonts w:ascii="Cambria" w:hAnsi="Cambria"/>
          <w:b/>
          <w:sz w:val="24"/>
        </w:rPr>
        <w:t>Informe emitido por auditor externo, para obtener una opinión con certeza razonable del cumplimiento y efectividad de la labor del gobierno corporativo, en la atención de los riesgos de legitimación de capitales, el financiamiento al terrorismo y el financiamiento de la proliferación de armas de destrucción masiva (LC/FT/FPADM).</w:t>
      </w:r>
    </w:p>
    <w:p w:rsidRPr="00DB4C95" w:rsidR="00AB6DC2" w:rsidP="00516F4C" w:rsidRDefault="00516F4C" w14:paraId="7DC1DFE2" w14:textId="6F07893D">
      <w:pPr>
        <w:pStyle w:val="Prrafodelista"/>
        <w:numPr>
          <w:ilvl w:val="0"/>
          <w:numId w:val="5"/>
        </w:numPr>
        <w:ind w:left="709" w:hanging="425"/>
        <w:jc w:val="both"/>
        <w:rPr>
          <w:rFonts w:ascii="Cambria" w:hAnsi="Cambria"/>
          <w:b/>
          <w:sz w:val="24"/>
        </w:rPr>
      </w:pPr>
      <w:r>
        <w:rPr>
          <w:rFonts w:ascii="Cambria" w:hAnsi="Cambria"/>
          <w:b/>
          <w:sz w:val="24"/>
        </w:rPr>
        <w:t>Aclaración</w:t>
      </w:r>
      <w:r w:rsidR="006944B8">
        <w:rPr>
          <w:rFonts w:ascii="Cambria" w:hAnsi="Cambria"/>
          <w:b/>
          <w:sz w:val="24"/>
        </w:rPr>
        <w:t xml:space="preserve"> del contenido de la Columna </w:t>
      </w:r>
      <w:r w:rsidRPr="00DB4C95" w:rsidR="00AB6DC2">
        <w:rPr>
          <w:rFonts w:ascii="Cambria" w:hAnsi="Cambria"/>
          <w:b/>
          <w:sz w:val="24"/>
        </w:rPr>
        <w:t xml:space="preserve">“Id” de la Tabla de procesos </w:t>
      </w:r>
      <w:r w:rsidR="006944B8">
        <w:rPr>
          <w:rFonts w:ascii="Cambria" w:hAnsi="Cambria"/>
          <w:b/>
          <w:sz w:val="24"/>
        </w:rPr>
        <w:t xml:space="preserve">de </w:t>
      </w:r>
      <w:r w:rsidRPr="00DB4C95" w:rsidR="00AB6DC2">
        <w:rPr>
          <w:rFonts w:ascii="Cambria" w:hAnsi="Cambria"/>
          <w:b/>
          <w:sz w:val="24"/>
        </w:rPr>
        <w:t xml:space="preserve">TI incluida en el apartado b. </w:t>
      </w:r>
      <w:r w:rsidRPr="00DB4C95" w:rsidR="00AB6DC2">
        <w:rPr>
          <w:rFonts w:ascii="Cambria" w:hAnsi="Cambria"/>
          <w:b/>
          <w:bCs/>
          <w:sz w:val="24"/>
        </w:rPr>
        <w:t>Informe emitido por un Auditor Externo de Tecnologías de Información (TI), CISA</w:t>
      </w:r>
      <w:r w:rsidR="00AB6DC2">
        <w:rPr>
          <w:rFonts w:ascii="Cambria" w:hAnsi="Cambria"/>
          <w:b/>
          <w:sz w:val="24"/>
        </w:rPr>
        <w:t xml:space="preserve">; y </w:t>
      </w:r>
      <w:r w:rsidR="006944B8">
        <w:rPr>
          <w:rFonts w:ascii="Cambria" w:hAnsi="Cambria"/>
          <w:b/>
          <w:sz w:val="24"/>
        </w:rPr>
        <w:t xml:space="preserve">sobre </w:t>
      </w:r>
      <w:r w:rsidR="00AB6DC2">
        <w:rPr>
          <w:rFonts w:ascii="Cambria" w:hAnsi="Cambria"/>
          <w:b/>
          <w:sz w:val="24"/>
        </w:rPr>
        <w:t>e</w:t>
      </w:r>
      <w:r w:rsidR="006944B8">
        <w:rPr>
          <w:rFonts w:ascii="Cambria" w:hAnsi="Cambria"/>
          <w:b/>
          <w:sz w:val="24"/>
        </w:rPr>
        <w:t>l</w:t>
      </w:r>
      <w:r w:rsidRPr="003B0E86" w:rsidR="00AB6DC2">
        <w:rPr>
          <w:rFonts w:ascii="Cambria" w:hAnsi="Cambria"/>
          <w:b/>
          <w:sz w:val="24"/>
        </w:rPr>
        <w:t xml:space="preserve"> caso </w:t>
      </w:r>
      <w:r>
        <w:rPr>
          <w:rFonts w:ascii="Cambria" w:hAnsi="Cambria"/>
          <w:b/>
          <w:sz w:val="24"/>
        </w:rPr>
        <w:t>en</w:t>
      </w:r>
      <w:r w:rsidRPr="003B0E86" w:rsidR="00AB6DC2">
        <w:rPr>
          <w:rFonts w:ascii="Cambria" w:hAnsi="Cambria"/>
          <w:b/>
          <w:sz w:val="24"/>
        </w:rPr>
        <w:t xml:space="preserve"> que el sujeto obligado ya cuente con una certificación emitida por un organismo o entidad reconocida internacionalmente</w:t>
      </w:r>
      <w:r w:rsidR="00AB6DC2">
        <w:rPr>
          <w:rFonts w:ascii="Cambria" w:hAnsi="Cambria"/>
          <w:b/>
          <w:sz w:val="24"/>
        </w:rPr>
        <w:t>.</w:t>
      </w:r>
    </w:p>
    <w:p w:rsidR="00AB6DC2" w:rsidP="00AB6DC2" w:rsidRDefault="00AB6DC2" w14:paraId="307838E0" w14:textId="77777777">
      <w:pPr>
        <w:rPr>
          <w:sz w:val="24"/>
        </w:rPr>
      </w:pPr>
    </w:p>
    <w:p w:rsidR="00AB6DC2" w:rsidP="00AB6DC2" w:rsidRDefault="00AB6DC2" w14:paraId="0F2AC3BE" w14:textId="77777777">
      <w:pPr>
        <w:rPr>
          <w:b/>
          <w:bCs/>
          <w:sz w:val="24"/>
          <w:lang w:val="es-CR"/>
        </w:rPr>
      </w:pPr>
      <w:r>
        <w:rPr>
          <w:b/>
          <w:bCs/>
          <w:sz w:val="24"/>
          <w:lang w:val="es-CR"/>
        </w:rPr>
        <w:t xml:space="preserve">La Superintendencia General de Entidades Financieras (SUGEF), </w:t>
      </w:r>
    </w:p>
    <w:p w:rsidR="00AB6DC2" w:rsidP="00AB6DC2" w:rsidRDefault="00AB6DC2" w14:paraId="76A405BE" w14:textId="77777777">
      <w:pPr>
        <w:spacing w:line="240" w:lineRule="auto"/>
        <w:rPr>
          <w:sz w:val="24"/>
          <w:lang w:val="es-CR"/>
        </w:rPr>
      </w:pPr>
    </w:p>
    <w:p w:rsidR="00AB6DC2" w:rsidP="00AB6DC2" w:rsidRDefault="00AB6DC2" w14:paraId="0D7D534C" w14:textId="77777777">
      <w:pPr>
        <w:rPr>
          <w:b/>
          <w:bCs/>
          <w:sz w:val="24"/>
        </w:rPr>
      </w:pPr>
      <w:r>
        <w:rPr>
          <w:b/>
          <w:bCs/>
          <w:sz w:val="24"/>
        </w:rPr>
        <w:t xml:space="preserve">Considerando que: </w:t>
      </w:r>
    </w:p>
    <w:p w:rsidR="00AB6DC2" w:rsidP="00AB6DC2" w:rsidRDefault="00AB6DC2" w14:paraId="1BF13519" w14:textId="77777777">
      <w:pPr>
        <w:rPr>
          <w:sz w:val="24"/>
        </w:rPr>
      </w:pPr>
    </w:p>
    <w:p w:rsidRPr="00A47EB6" w:rsidR="00AB6DC2" w:rsidP="00AB6DC2" w:rsidRDefault="00AB6DC2" w14:paraId="7BFC78BB" w14:textId="77777777">
      <w:pPr>
        <w:numPr>
          <w:ilvl w:val="0"/>
          <w:numId w:val="4"/>
        </w:numPr>
        <w:spacing w:line="240" w:lineRule="auto"/>
        <w:contextualSpacing/>
        <w:rPr>
          <w:sz w:val="24"/>
        </w:rPr>
      </w:pPr>
      <w:r w:rsidRPr="00A47EB6">
        <w:rPr>
          <w:sz w:val="24"/>
        </w:rPr>
        <w:t>El 19 de noviembre de 2019 en el Alcance 258 de la Gaceta 220 se publicó el Reglamento para la prevención del riesgo de Legitimación de Capitales, Financiamiento al Terrorismo y Financiamiento de la Proliferación de Armas de Destrucción Masiva, aplicable a los sujetos obligados por los artículos 15 y 15 bis de la Ley 7786, Acuerdo SUGEF 13-19.</w:t>
      </w:r>
    </w:p>
    <w:p w:rsidR="00AB6DC2" w:rsidP="00AB6DC2" w:rsidRDefault="00AB6DC2" w14:paraId="1FB0A4F5" w14:textId="77777777">
      <w:pPr>
        <w:pStyle w:val="Prrafodelista"/>
        <w:spacing w:after="0" w:line="240" w:lineRule="auto"/>
        <w:ind w:left="360"/>
        <w:contextualSpacing w:val="0"/>
        <w:jc w:val="both"/>
        <w:rPr>
          <w:rFonts w:ascii="Cambria" w:hAnsi="Cambria"/>
          <w:sz w:val="24"/>
          <w:szCs w:val="24"/>
        </w:rPr>
      </w:pPr>
    </w:p>
    <w:p w:rsidR="00AB6DC2" w:rsidP="00AB6DC2" w:rsidRDefault="00AB6DC2" w14:paraId="56B51628" w14:textId="05A7D149">
      <w:pPr>
        <w:pStyle w:val="Prrafodelista"/>
        <w:numPr>
          <w:ilvl w:val="0"/>
          <w:numId w:val="4"/>
        </w:numPr>
        <w:spacing w:after="0" w:line="240" w:lineRule="auto"/>
        <w:contextualSpacing w:val="0"/>
        <w:jc w:val="both"/>
        <w:rPr>
          <w:rFonts w:ascii="Cambria" w:hAnsi="Cambria"/>
          <w:sz w:val="24"/>
          <w:szCs w:val="24"/>
        </w:rPr>
      </w:pPr>
      <w:r w:rsidRPr="00A47EB6">
        <w:rPr>
          <w:rFonts w:ascii="Cambria" w:hAnsi="Cambria"/>
          <w:sz w:val="24"/>
          <w:szCs w:val="24"/>
        </w:rPr>
        <w:t>El 13 de agosto de 2021 en el Alcance 159 a La Gaceta 155 se publicó la última modificación del Reglamento del Sistema de Pagos</w:t>
      </w:r>
      <w:r>
        <w:rPr>
          <w:rFonts w:ascii="Cambria" w:hAnsi="Cambria"/>
          <w:sz w:val="24"/>
          <w:szCs w:val="24"/>
        </w:rPr>
        <w:t xml:space="preserve"> del Banco Central de Costa Rica</w:t>
      </w:r>
      <w:r w:rsidRPr="00A47EB6">
        <w:rPr>
          <w:rFonts w:ascii="Cambria" w:hAnsi="Cambria"/>
          <w:sz w:val="24"/>
          <w:szCs w:val="24"/>
        </w:rPr>
        <w:t>.</w:t>
      </w:r>
    </w:p>
    <w:p w:rsidRPr="00FC1B75" w:rsidR="00FC1B75" w:rsidP="00FC1B75" w:rsidRDefault="00FC1B75" w14:paraId="3BC044A7" w14:textId="77777777">
      <w:pPr>
        <w:pStyle w:val="Prrafodelista"/>
        <w:rPr>
          <w:rFonts w:ascii="Cambria" w:hAnsi="Cambria"/>
          <w:sz w:val="24"/>
          <w:szCs w:val="24"/>
        </w:rPr>
      </w:pPr>
    </w:p>
    <w:p w:rsidRPr="00FC1B75" w:rsidR="00FC1B75" w:rsidP="00FC1B75" w:rsidRDefault="00FC1B75" w14:paraId="12149C63" w14:textId="42554C0E">
      <w:pPr>
        <w:pStyle w:val="Prrafodelista"/>
        <w:numPr>
          <w:ilvl w:val="0"/>
          <w:numId w:val="4"/>
        </w:numPr>
        <w:spacing w:after="0" w:line="240" w:lineRule="auto"/>
        <w:contextualSpacing w:val="0"/>
        <w:jc w:val="both"/>
        <w:rPr>
          <w:rFonts w:ascii="Cambria" w:hAnsi="Cambria"/>
          <w:sz w:val="24"/>
          <w:szCs w:val="24"/>
        </w:rPr>
      </w:pPr>
      <w:r w:rsidRPr="00B4524E">
        <w:rPr>
          <w:rFonts w:ascii="Cambria" w:hAnsi="Cambria"/>
          <w:sz w:val="24"/>
          <w:szCs w:val="24"/>
        </w:rPr>
        <w:lastRenderedPageBreak/>
        <w:t xml:space="preserve">En el artículo 30 del </w:t>
      </w:r>
      <w:r>
        <w:rPr>
          <w:rFonts w:ascii="Cambria" w:hAnsi="Cambria"/>
          <w:sz w:val="24"/>
          <w:szCs w:val="24"/>
        </w:rPr>
        <w:t xml:space="preserve">Reglamento de Prevención del Riesgo de LC/FT/FPADM, </w:t>
      </w:r>
      <w:r w:rsidRPr="00B4524E">
        <w:rPr>
          <w:rFonts w:ascii="Cambria" w:hAnsi="Cambria"/>
          <w:sz w:val="24"/>
          <w:szCs w:val="24"/>
        </w:rPr>
        <w:t xml:space="preserve">Acuerdo Sugef 13-19 y el </w:t>
      </w:r>
      <w:r>
        <w:rPr>
          <w:rFonts w:ascii="Cambria" w:hAnsi="Cambria"/>
          <w:sz w:val="24"/>
          <w:szCs w:val="24"/>
        </w:rPr>
        <w:t>L</w:t>
      </w:r>
      <w:r w:rsidRPr="00B4524E">
        <w:rPr>
          <w:rFonts w:ascii="Cambria" w:hAnsi="Cambria"/>
          <w:sz w:val="24"/>
          <w:szCs w:val="24"/>
        </w:rPr>
        <w:t xml:space="preserve">ineamiento correspondiente, solicita al sujeto obligado Tipo 1 presentar </w:t>
      </w:r>
      <w:r>
        <w:rPr>
          <w:rFonts w:ascii="Cambria" w:hAnsi="Cambria"/>
          <w:sz w:val="24"/>
          <w:szCs w:val="24"/>
        </w:rPr>
        <w:t xml:space="preserve">cada dos años </w:t>
      </w:r>
      <w:r w:rsidRPr="00B4524E">
        <w:rPr>
          <w:rFonts w:ascii="Cambria" w:hAnsi="Cambria"/>
          <w:sz w:val="24"/>
          <w:szCs w:val="24"/>
        </w:rPr>
        <w:t>un informe de auditoría externa</w:t>
      </w:r>
      <w:r>
        <w:rPr>
          <w:rFonts w:ascii="Cambria" w:hAnsi="Cambria"/>
          <w:sz w:val="24"/>
          <w:szCs w:val="24"/>
        </w:rPr>
        <w:t xml:space="preserve"> sobre el cumplimiento de las disposiciones sobre la prevención de estos riesgos</w:t>
      </w:r>
      <w:r w:rsidRPr="00B4524E">
        <w:rPr>
          <w:rFonts w:ascii="Cambria" w:hAnsi="Cambria"/>
          <w:sz w:val="24"/>
          <w:szCs w:val="24"/>
        </w:rPr>
        <w:t xml:space="preserve">. </w:t>
      </w:r>
    </w:p>
    <w:p w:rsidRPr="00A47EB6" w:rsidR="00AB6DC2" w:rsidP="00AB6DC2" w:rsidRDefault="00AB6DC2" w14:paraId="7C1FDD7C" w14:textId="77777777">
      <w:pPr>
        <w:pStyle w:val="Prrafodelista"/>
        <w:rPr>
          <w:rFonts w:ascii="Cambria" w:hAnsi="Cambria"/>
          <w:sz w:val="24"/>
          <w:szCs w:val="24"/>
        </w:rPr>
      </w:pPr>
    </w:p>
    <w:p w:rsidR="00AB6DC2" w:rsidP="00AB6DC2" w:rsidRDefault="00AB6DC2" w14:paraId="6D80DFE5" w14:textId="04DB77AB">
      <w:pPr>
        <w:pStyle w:val="Prrafodelista"/>
        <w:numPr>
          <w:ilvl w:val="0"/>
          <w:numId w:val="4"/>
        </w:numPr>
        <w:spacing w:after="0" w:line="240" w:lineRule="auto"/>
        <w:contextualSpacing w:val="0"/>
        <w:jc w:val="both"/>
        <w:rPr>
          <w:rFonts w:ascii="Cambria" w:hAnsi="Cambria"/>
          <w:sz w:val="24"/>
          <w:szCs w:val="24"/>
        </w:rPr>
      </w:pPr>
      <w:r w:rsidRPr="00A47EB6">
        <w:rPr>
          <w:rFonts w:ascii="Cambria" w:hAnsi="Cambria"/>
          <w:sz w:val="24"/>
          <w:szCs w:val="24"/>
        </w:rPr>
        <w:t>El artículo 6 de</w:t>
      </w:r>
      <w:r w:rsidR="007C1A6A">
        <w:rPr>
          <w:rFonts w:ascii="Cambria" w:hAnsi="Cambria"/>
          <w:sz w:val="24"/>
          <w:szCs w:val="24"/>
        </w:rPr>
        <w:t xml:space="preserve">l </w:t>
      </w:r>
      <w:r w:rsidRPr="00A47EB6">
        <w:rPr>
          <w:rFonts w:ascii="Cambria" w:hAnsi="Cambria"/>
          <w:sz w:val="24"/>
          <w:szCs w:val="24"/>
        </w:rPr>
        <w:t xml:space="preserve">Reglamento </w:t>
      </w:r>
      <w:r w:rsidR="007C1A6A">
        <w:rPr>
          <w:rFonts w:ascii="Cambria" w:hAnsi="Cambria"/>
          <w:sz w:val="24"/>
          <w:szCs w:val="24"/>
        </w:rPr>
        <w:t xml:space="preserve">del Sistema </w:t>
      </w:r>
      <w:r w:rsidRPr="00A47EB6">
        <w:rPr>
          <w:rFonts w:ascii="Cambria" w:hAnsi="Cambria"/>
          <w:sz w:val="24"/>
          <w:szCs w:val="24"/>
        </w:rPr>
        <w:t xml:space="preserve">de Pagos indica: </w:t>
      </w:r>
    </w:p>
    <w:p w:rsidRPr="00335262" w:rsidR="00AB6DC2" w:rsidP="00AB6DC2" w:rsidRDefault="00AB6DC2" w14:paraId="041A4C28" w14:textId="77777777">
      <w:pPr>
        <w:pStyle w:val="Prrafodelista"/>
        <w:rPr>
          <w:rFonts w:ascii="Cambria" w:hAnsi="Cambria"/>
          <w:sz w:val="24"/>
          <w:szCs w:val="24"/>
        </w:rPr>
      </w:pPr>
    </w:p>
    <w:p w:rsidR="00AB6DC2" w:rsidP="00AB6DC2" w:rsidRDefault="00AB6DC2" w14:paraId="7FE846A9" w14:textId="77777777">
      <w:pPr>
        <w:pStyle w:val="Prrafodelista"/>
        <w:jc w:val="both"/>
        <w:rPr>
          <w:rFonts w:ascii="Cambria" w:hAnsi="Cambria"/>
          <w:i/>
          <w:iCs/>
          <w:sz w:val="24"/>
          <w:szCs w:val="24"/>
        </w:rPr>
      </w:pPr>
      <w:r w:rsidRPr="00A47EB6">
        <w:rPr>
          <w:rFonts w:ascii="Cambria" w:hAnsi="Cambria"/>
          <w:i/>
          <w:iCs/>
          <w:sz w:val="24"/>
          <w:szCs w:val="24"/>
        </w:rPr>
        <w:t xml:space="preserve">Artículo 6. Proveedores de servicios de pago. Se refiere a las empresas jurídicas nacionales que realizan actividades de transferencias de fondos, remesas, pagos y cobros a comercios o cualquier otra actividad que requiera la movilización de fondos propios o de terceros, siempre que cumplan con las regulaciones nacionales vigentes en materia de prevención de legitimación de capitales y financiamiento al terrorismo, protección de datos y cualquier otra legislación aplicable a los servicios ofrecidos. </w:t>
      </w:r>
    </w:p>
    <w:p w:rsidR="00AB6DC2" w:rsidP="00AB6DC2" w:rsidRDefault="00AB6DC2" w14:paraId="0CEBC113" w14:textId="77777777">
      <w:pPr>
        <w:pStyle w:val="Prrafodelista"/>
        <w:jc w:val="both"/>
        <w:rPr>
          <w:rFonts w:ascii="Cambria" w:hAnsi="Cambria"/>
          <w:i/>
          <w:iCs/>
          <w:sz w:val="24"/>
          <w:szCs w:val="24"/>
        </w:rPr>
      </w:pPr>
    </w:p>
    <w:p w:rsidR="00AB6DC2" w:rsidP="00AB6DC2" w:rsidRDefault="00AB6DC2" w14:paraId="4B5ABD29" w14:textId="6E0CF9AA">
      <w:pPr>
        <w:pStyle w:val="Prrafodelista"/>
        <w:jc w:val="both"/>
        <w:rPr>
          <w:rFonts w:ascii="Cambria" w:hAnsi="Cambria"/>
          <w:i/>
          <w:iCs/>
          <w:sz w:val="24"/>
          <w:szCs w:val="24"/>
        </w:rPr>
      </w:pPr>
      <w:r w:rsidRPr="00A47EB6">
        <w:rPr>
          <w:rFonts w:ascii="Cambria" w:hAnsi="Cambria"/>
          <w:i/>
          <w:iCs/>
          <w:sz w:val="24"/>
          <w:szCs w:val="24"/>
        </w:rPr>
        <w:t>Estas empresas deberán estar inscritos ante la SUGEF para efecto de cumplir con lo establecido en el artículo 15 y artículo 15 bis de la Ley 7786, además, esta Superintendencia deberá comunicar al BCCR que dichos sujetos obligados cuentan con adecuados marcos de gobierno corporativo para gestionar los riesgos asociados a la prevención de la legitimación de capitales y que cuentan con plataformas robustas para salvaguardar la información de los usuarios de los servicios financieros que utilizan los servicios de pago de esos sujetos obligados. Lo anterior es una condición necesaria para que el BCCR otorgue la autorización de proveedor de servicios de pago.</w:t>
      </w:r>
      <w:r w:rsidR="00C81911">
        <w:rPr>
          <w:rFonts w:ascii="Cambria" w:hAnsi="Cambria"/>
          <w:i/>
          <w:iCs/>
          <w:sz w:val="24"/>
          <w:szCs w:val="24"/>
        </w:rPr>
        <w:t xml:space="preserve"> (…)</w:t>
      </w:r>
    </w:p>
    <w:p w:rsidRPr="00C81911" w:rsidR="00AB6DC2" w:rsidP="00C81911" w:rsidRDefault="00AB6DC2" w14:paraId="0D5A48DF" w14:textId="77777777">
      <w:pPr>
        <w:rPr>
          <w:i/>
          <w:iCs/>
          <w:sz w:val="24"/>
        </w:rPr>
      </w:pPr>
    </w:p>
    <w:p w:rsidRPr="00B4524E" w:rsidR="00AB6DC2" w:rsidP="00AB6DC2" w:rsidRDefault="00AB6DC2" w14:paraId="11A6ABCB" w14:textId="01690768">
      <w:pPr>
        <w:pStyle w:val="Prrafodelista"/>
        <w:numPr>
          <w:ilvl w:val="0"/>
          <w:numId w:val="4"/>
        </w:numPr>
        <w:spacing w:after="0" w:line="240" w:lineRule="auto"/>
        <w:contextualSpacing w:val="0"/>
        <w:jc w:val="both"/>
        <w:rPr>
          <w:rFonts w:ascii="Cambria" w:hAnsi="Cambria"/>
          <w:sz w:val="24"/>
          <w:szCs w:val="24"/>
        </w:rPr>
      </w:pPr>
      <w:r w:rsidRPr="00B4524E">
        <w:rPr>
          <w:rFonts w:ascii="Cambria" w:hAnsi="Cambria"/>
          <w:sz w:val="24"/>
          <w:szCs w:val="24"/>
        </w:rPr>
        <w:t xml:space="preserve">Dado que en la </w:t>
      </w:r>
      <w:r w:rsidR="00D672DE">
        <w:rPr>
          <w:rFonts w:ascii="Cambria" w:hAnsi="Cambria"/>
          <w:sz w:val="24"/>
          <w:szCs w:val="24"/>
        </w:rPr>
        <w:t>R</w:t>
      </w:r>
      <w:r w:rsidRPr="00B4524E">
        <w:rPr>
          <w:rFonts w:ascii="Cambria" w:hAnsi="Cambria"/>
          <w:sz w:val="24"/>
          <w:szCs w:val="24"/>
        </w:rPr>
        <w:t>esolución SGF-0479-2022 del 10 de marzo del 2022 se incluy</w:t>
      </w:r>
      <w:r w:rsidR="00516F4C">
        <w:rPr>
          <w:rFonts w:ascii="Cambria" w:hAnsi="Cambria"/>
          <w:sz w:val="24"/>
          <w:szCs w:val="24"/>
        </w:rPr>
        <w:t>ó</w:t>
      </w:r>
      <w:r w:rsidRPr="00B4524E">
        <w:rPr>
          <w:rFonts w:ascii="Cambria" w:hAnsi="Cambria"/>
          <w:sz w:val="24"/>
          <w:szCs w:val="24"/>
        </w:rPr>
        <w:t xml:space="preserve"> información de </w:t>
      </w:r>
      <w:r w:rsidR="00663C11">
        <w:rPr>
          <w:rFonts w:ascii="Cambria" w:hAnsi="Cambria"/>
          <w:sz w:val="24"/>
          <w:szCs w:val="24"/>
        </w:rPr>
        <w:t>algunos</w:t>
      </w:r>
      <w:r w:rsidRPr="00B4524E">
        <w:rPr>
          <w:rFonts w:ascii="Cambria" w:hAnsi="Cambria"/>
          <w:sz w:val="24"/>
          <w:szCs w:val="24"/>
        </w:rPr>
        <w:t xml:space="preserve"> identificadores en la columna “Id” de la Tabla de Procesos TI, que no corresponden al proceso del marco de referencia </w:t>
      </w:r>
      <w:proofErr w:type="spellStart"/>
      <w:r w:rsidRPr="00B4524E">
        <w:rPr>
          <w:rFonts w:ascii="Cambria" w:hAnsi="Cambria"/>
          <w:sz w:val="24"/>
          <w:szCs w:val="24"/>
        </w:rPr>
        <w:t>Cobit</w:t>
      </w:r>
      <w:proofErr w:type="spellEnd"/>
      <w:r w:rsidR="00516F4C">
        <w:rPr>
          <w:rFonts w:ascii="Cambria" w:hAnsi="Cambria"/>
          <w:sz w:val="24"/>
          <w:szCs w:val="24"/>
        </w:rPr>
        <w:t>, es necesario hacer el ajuste respectivo</w:t>
      </w:r>
      <w:r w:rsidR="007D6B2F">
        <w:rPr>
          <w:rFonts w:ascii="Cambria" w:hAnsi="Cambria"/>
          <w:sz w:val="24"/>
          <w:szCs w:val="24"/>
        </w:rPr>
        <w:t>.</w:t>
      </w:r>
    </w:p>
    <w:p w:rsidR="00AB6DC2" w:rsidP="00AB6DC2" w:rsidRDefault="00AB6DC2" w14:paraId="4219456A" w14:textId="53E00E0A">
      <w:pPr>
        <w:rPr>
          <w:b/>
          <w:bCs/>
          <w:sz w:val="24"/>
        </w:rPr>
      </w:pPr>
    </w:p>
    <w:p w:rsidR="00AB6DC2" w:rsidP="00AB6DC2" w:rsidRDefault="00AB6DC2" w14:paraId="5E88D5F6" w14:textId="77777777">
      <w:pPr>
        <w:rPr>
          <w:b/>
          <w:bCs/>
          <w:sz w:val="24"/>
        </w:rPr>
      </w:pPr>
      <w:r>
        <w:rPr>
          <w:b/>
          <w:bCs/>
          <w:sz w:val="24"/>
        </w:rPr>
        <w:t>Aclara</w:t>
      </w:r>
      <w:r w:rsidRPr="00A47EB6">
        <w:rPr>
          <w:b/>
          <w:bCs/>
          <w:sz w:val="24"/>
        </w:rPr>
        <w:t>:</w:t>
      </w:r>
    </w:p>
    <w:p w:rsidRPr="00A47EB6" w:rsidR="00AB6DC2" w:rsidP="00AB6DC2" w:rsidRDefault="00AB6DC2" w14:paraId="42853222" w14:textId="77777777">
      <w:pPr>
        <w:rPr>
          <w:b/>
          <w:bCs/>
          <w:sz w:val="24"/>
        </w:rPr>
      </w:pPr>
    </w:p>
    <w:p w:rsidRPr="00837CD3" w:rsidR="00AB6DC2" w:rsidP="00AB6DC2" w:rsidRDefault="00A969E5" w14:paraId="0AE10E2F" w14:textId="1B89FF41">
      <w:pPr>
        <w:pStyle w:val="Prrafodelista"/>
        <w:numPr>
          <w:ilvl w:val="0"/>
          <w:numId w:val="6"/>
        </w:numPr>
        <w:jc w:val="both"/>
        <w:rPr>
          <w:b/>
          <w:sz w:val="24"/>
        </w:rPr>
      </w:pPr>
      <w:bookmarkStart w:name="_Hlk95298393" w:id="0"/>
      <w:r>
        <w:rPr>
          <w:rFonts w:ascii="Cambria" w:hAnsi="Cambria"/>
          <w:b/>
          <w:sz w:val="24"/>
        </w:rPr>
        <w:t xml:space="preserve">Respeto al </w:t>
      </w:r>
      <w:r w:rsidRPr="005E7E2B" w:rsidR="00AB6DC2">
        <w:rPr>
          <w:rFonts w:ascii="Cambria" w:hAnsi="Cambria"/>
          <w:b/>
          <w:sz w:val="24"/>
        </w:rPr>
        <w:t>Informe emitido por auditor externo, para obtener una opinión con certeza razonable del cumplimiento y efectividad de la labor del gobierno corporativo, en la atención de los riesgos de legitimación de capitales, el financiamiento al terrorismo y el financiamiento de la proliferación de armas de destrucción masiva (LC/FT/FPADM)</w:t>
      </w:r>
    </w:p>
    <w:p w:rsidR="00AB6DC2" w:rsidP="00AB6DC2" w:rsidRDefault="00AB6DC2" w14:paraId="028382CC" w14:textId="3CA193DC">
      <w:pPr>
        <w:ind w:left="284"/>
        <w:rPr>
          <w:sz w:val="24"/>
        </w:rPr>
      </w:pPr>
      <w:r>
        <w:rPr>
          <w:sz w:val="24"/>
        </w:rPr>
        <w:t xml:space="preserve">Los sujetos </w:t>
      </w:r>
      <w:r w:rsidR="007D6B2F">
        <w:rPr>
          <w:sz w:val="24"/>
        </w:rPr>
        <w:t xml:space="preserve">obligados </w:t>
      </w:r>
      <w:r>
        <w:rPr>
          <w:sz w:val="24"/>
        </w:rPr>
        <w:t>categorizados como tipo uno</w:t>
      </w:r>
      <w:r w:rsidR="007D6B2F">
        <w:rPr>
          <w:sz w:val="24"/>
        </w:rPr>
        <w:t xml:space="preserve">, </w:t>
      </w:r>
      <w:r>
        <w:rPr>
          <w:sz w:val="24"/>
        </w:rPr>
        <w:t xml:space="preserve">que </w:t>
      </w:r>
      <w:r w:rsidR="007D6B2F">
        <w:rPr>
          <w:sz w:val="24"/>
        </w:rPr>
        <w:t>en atención del requerimiento del artículo 6 del Reglamento del Sistema de Pagos, presenten</w:t>
      </w:r>
      <w:r>
        <w:rPr>
          <w:sz w:val="24"/>
        </w:rPr>
        <w:t xml:space="preserve"> este informe anual</w:t>
      </w:r>
      <w:r w:rsidR="004355B7">
        <w:rPr>
          <w:sz w:val="24"/>
        </w:rPr>
        <w:t xml:space="preserve"> según lo requerido</w:t>
      </w:r>
      <w:r>
        <w:rPr>
          <w:sz w:val="24"/>
        </w:rPr>
        <w:t xml:space="preserve">, </w:t>
      </w:r>
      <w:r w:rsidR="007D6B2F">
        <w:rPr>
          <w:sz w:val="24"/>
        </w:rPr>
        <w:t>se exceptúan</w:t>
      </w:r>
      <w:r>
        <w:rPr>
          <w:sz w:val="24"/>
        </w:rPr>
        <w:t xml:space="preserve"> de la presentación del informe de </w:t>
      </w:r>
      <w:r>
        <w:rPr>
          <w:sz w:val="24"/>
        </w:rPr>
        <w:lastRenderedPageBreak/>
        <w:t xml:space="preserve">auditoría externa </w:t>
      </w:r>
      <w:r w:rsidR="007D6B2F">
        <w:rPr>
          <w:sz w:val="24"/>
        </w:rPr>
        <w:t xml:space="preserve">cada dos años </w:t>
      </w:r>
      <w:r>
        <w:rPr>
          <w:sz w:val="24"/>
        </w:rPr>
        <w:t xml:space="preserve">requerido por el </w:t>
      </w:r>
      <w:r w:rsidR="001838B0">
        <w:rPr>
          <w:sz w:val="24"/>
        </w:rPr>
        <w:t xml:space="preserve">artículo 30 del </w:t>
      </w:r>
      <w:r w:rsidRPr="00A47EB6" w:rsidR="007D6B2F">
        <w:rPr>
          <w:sz w:val="24"/>
        </w:rPr>
        <w:t>Reglamento para la prevención del riesgo</w:t>
      </w:r>
      <w:r w:rsidR="007D6B2F">
        <w:rPr>
          <w:sz w:val="24"/>
        </w:rPr>
        <w:t xml:space="preserve"> de LC/FT/FPADM, </w:t>
      </w:r>
      <w:r>
        <w:rPr>
          <w:sz w:val="24"/>
        </w:rPr>
        <w:t>Acuerdo Sugef 13-</w:t>
      </w:r>
      <w:proofErr w:type="gramStart"/>
      <w:r>
        <w:rPr>
          <w:sz w:val="24"/>
        </w:rPr>
        <w:t>19 .</w:t>
      </w:r>
      <w:proofErr w:type="gramEnd"/>
    </w:p>
    <w:p w:rsidR="00516F4C" w:rsidP="00AB6DC2" w:rsidRDefault="00516F4C" w14:paraId="201F9096" w14:textId="1812125E">
      <w:pPr>
        <w:rPr>
          <w:sz w:val="24"/>
        </w:rPr>
      </w:pPr>
    </w:p>
    <w:p w:rsidR="00A969E5" w:rsidP="00AB6DC2" w:rsidRDefault="00A969E5" w14:paraId="08576B01" w14:textId="77777777">
      <w:pPr>
        <w:rPr>
          <w:sz w:val="24"/>
        </w:rPr>
      </w:pPr>
    </w:p>
    <w:p w:rsidRPr="00B7033D" w:rsidR="00AB6DC2" w:rsidP="00AB6DC2" w:rsidRDefault="00AB6DC2" w14:paraId="739C7771" w14:textId="77777777">
      <w:pPr>
        <w:pStyle w:val="Prrafodelista"/>
        <w:numPr>
          <w:ilvl w:val="0"/>
          <w:numId w:val="6"/>
        </w:numPr>
        <w:jc w:val="both"/>
        <w:rPr>
          <w:rFonts w:ascii="Cambria" w:hAnsi="Cambria"/>
          <w:b/>
          <w:sz w:val="24"/>
        </w:rPr>
      </w:pPr>
      <w:r w:rsidRPr="00B7033D">
        <w:rPr>
          <w:rFonts w:ascii="Cambria" w:hAnsi="Cambria"/>
          <w:b/>
          <w:sz w:val="24"/>
        </w:rPr>
        <w:t xml:space="preserve">“Id” de la Tabla de procesos TI incluida en el apartado b. </w:t>
      </w:r>
      <w:r w:rsidRPr="005E7E2B">
        <w:rPr>
          <w:rFonts w:ascii="Cambria" w:hAnsi="Cambria"/>
          <w:b/>
          <w:sz w:val="24"/>
        </w:rPr>
        <w:t>Informe emitido por un Auditor Externo de Tecnologías de Información (TI), CISA</w:t>
      </w:r>
      <w:r>
        <w:rPr>
          <w:rFonts w:ascii="Cambria" w:hAnsi="Cambria"/>
          <w:b/>
          <w:sz w:val="24"/>
        </w:rPr>
        <w:t xml:space="preserve">; y </w:t>
      </w:r>
      <w:bookmarkStart w:name="_Hlk104471230" w:id="1"/>
      <w:r>
        <w:rPr>
          <w:rFonts w:ascii="Cambria" w:hAnsi="Cambria"/>
          <w:b/>
          <w:sz w:val="24"/>
        </w:rPr>
        <w:t>párrafo e</w:t>
      </w:r>
      <w:r w:rsidRPr="003B0E86">
        <w:rPr>
          <w:rFonts w:ascii="Cambria" w:hAnsi="Cambria"/>
          <w:b/>
          <w:sz w:val="24"/>
        </w:rPr>
        <w:t>n caso de que el sujeto obligado ya cuente con una certificación emitida por un organismo o entidad reconocida internacionalmente</w:t>
      </w:r>
      <w:r>
        <w:rPr>
          <w:rFonts w:ascii="Cambria" w:hAnsi="Cambria"/>
          <w:b/>
          <w:sz w:val="24"/>
        </w:rPr>
        <w:t>.</w:t>
      </w:r>
    </w:p>
    <w:bookmarkEnd w:id="1"/>
    <w:p w:rsidR="00AB6DC2" w:rsidP="00AB6DC2" w:rsidRDefault="00AB6DC2" w14:paraId="760DF8FC" w14:textId="46D6AE6C">
      <w:pPr>
        <w:ind w:left="284"/>
        <w:rPr>
          <w:sz w:val="24"/>
        </w:rPr>
      </w:pPr>
      <w:r w:rsidRPr="00164314">
        <w:rPr>
          <w:sz w:val="24"/>
        </w:rPr>
        <w:t xml:space="preserve">En la </w:t>
      </w:r>
      <w:r w:rsidR="007D6B2F">
        <w:rPr>
          <w:sz w:val="24"/>
        </w:rPr>
        <w:t>R</w:t>
      </w:r>
      <w:r w:rsidRPr="00164314">
        <w:rPr>
          <w:sz w:val="24"/>
        </w:rPr>
        <w:t>esolución de la Superintendente SGF-0479-2022 del 10 de marzo del 2022 se comunicó la “Tabla de procesos TI” con algunos “Id” que no corresponden al nombre del proceso</w:t>
      </w:r>
      <w:r w:rsidR="007D6B2F">
        <w:rPr>
          <w:sz w:val="24"/>
        </w:rPr>
        <w:t xml:space="preserve"> (el nombre del proceso sí es el correcto)</w:t>
      </w:r>
      <w:r>
        <w:rPr>
          <w:sz w:val="24"/>
        </w:rPr>
        <w:t>. Específicamente en los siguientes:</w:t>
      </w:r>
    </w:p>
    <w:p w:rsidR="00AB6DC2" w:rsidP="00AB6DC2" w:rsidRDefault="00AB6DC2" w14:paraId="1115D589" w14:textId="77777777">
      <w:pPr>
        <w:ind w:left="284"/>
        <w:rPr>
          <w:sz w:val="24"/>
        </w:rPr>
      </w:pPr>
    </w:p>
    <w:tbl>
      <w:tblPr>
        <w:tblW w:w="2808" w:type="pct"/>
        <w:tblInd w:w="1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233"/>
        <w:gridCol w:w="3725"/>
      </w:tblGrid>
      <w:tr w:rsidRPr="00164314" w:rsidR="00AB6DC2" w:rsidTr="007D6B2F" w14:paraId="4CCA8585" w14:textId="77777777">
        <w:trPr>
          <w:cantSplit/>
          <w:trHeight w:val="300"/>
          <w:tblHeader/>
        </w:trPr>
        <w:tc>
          <w:tcPr>
            <w:tcW w:w="1243" w:type="pct"/>
            <w:shd w:val="clear" w:color="auto" w:fill="44546A" w:themeFill="text2"/>
            <w:tcMar>
              <w:top w:w="0" w:type="dxa"/>
              <w:left w:w="70" w:type="dxa"/>
              <w:bottom w:w="0" w:type="dxa"/>
              <w:right w:w="70" w:type="dxa"/>
            </w:tcMar>
            <w:vAlign w:val="center"/>
            <w:hideMark/>
          </w:tcPr>
          <w:p w:rsidRPr="00164314" w:rsidR="00AB6DC2" w:rsidP="00C0566B" w:rsidRDefault="00AB6DC2" w14:paraId="0DAD9129" w14:textId="77777777">
            <w:pPr>
              <w:tabs>
                <w:tab w:val="center" w:pos="4680"/>
                <w:tab w:val="right" w:pos="9360"/>
              </w:tabs>
              <w:jc w:val="center"/>
              <w:rPr>
                <w:b/>
                <w:bCs/>
                <w:color w:val="FFFFFF" w:themeColor="background1"/>
                <w:szCs w:val="22"/>
              </w:rPr>
            </w:pPr>
            <w:r w:rsidRPr="00164314">
              <w:rPr>
                <w:color w:val="FFFFFF" w:themeColor="background1"/>
                <w:szCs w:val="22"/>
              </w:rPr>
              <w:t>Id</w:t>
            </w:r>
          </w:p>
        </w:tc>
        <w:tc>
          <w:tcPr>
            <w:tcW w:w="3757" w:type="pct"/>
            <w:shd w:val="clear" w:color="auto" w:fill="44546A" w:themeFill="text2"/>
            <w:tcMar>
              <w:top w:w="0" w:type="dxa"/>
              <w:left w:w="70" w:type="dxa"/>
              <w:bottom w:w="0" w:type="dxa"/>
              <w:right w:w="70" w:type="dxa"/>
            </w:tcMar>
            <w:vAlign w:val="center"/>
            <w:hideMark/>
          </w:tcPr>
          <w:p w:rsidRPr="00164314" w:rsidR="00AB6DC2" w:rsidP="00C0566B" w:rsidRDefault="00AB6DC2" w14:paraId="56A681B3" w14:textId="77777777">
            <w:pPr>
              <w:tabs>
                <w:tab w:val="center" w:pos="4680"/>
                <w:tab w:val="right" w:pos="9360"/>
              </w:tabs>
              <w:jc w:val="center"/>
              <w:rPr>
                <w:color w:val="FFFFFF" w:themeColor="background1"/>
                <w:szCs w:val="22"/>
              </w:rPr>
            </w:pPr>
            <w:r w:rsidRPr="00164314">
              <w:rPr>
                <w:color w:val="FFFFFF" w:themeColor="background1"/>
                <w:szCs w:val="22"/>
              </w:rPr>
              <w:t>Proceso</w:t>
            </w:r>
          </w:p>
        </w:tc>
      </w:tr>
      <w:tr w:rsidR="00AB6DC2" w:rsidTr="007D6B2F" w14:paraId="5C87312D" w14:textId="77777777">
        <w:trPr>
          <w:cantSplit/>
          <w:trHeight w:val="300"/>
        </w:trPr>
        <w:tc>
          <w:tcPr>
            <w:tcW w:w="1243" w:type="pct"/>
            <w:shd w:val="clear" w:color="auto" w:fill="auto"/>
            <w:tcMar>
              <w:top w:w="0" w:type="dxa"/>
              <w:left w:w="70" w:type="dxa"/>
              <w:bottom w:w="0" w:type="dxa"/>
              <w:right w:w="70" w:type="dxa"/>
            </w:tcMar>
            <w:vAlign w:val="center"/>
            <w:hideMark/>
          </w:tcPr>
          <w:p w:rsidRPr="001A108B" w:rsidR="00AB6DC2" w:rsidP="00C0566B" w:rsidRDefault="00AB6DC2" w14:paraId="107122D3" w14:textId="77777777">
            <w:pPr>
              <w:jc w:val="center"/>
              <w:rPr>
                <w:color w:val="7030A0"/>
              </w:rPr>
            </w:pPr>
            <w:r w:rsidRPr="001A108B">
              <w:rPr>
                <w:color w:val="000000"/>
              </w:rPr>
              <w:t>APO 0</w:t>
            </w:r>
            <w:r>
              <w:rPr>
                <w:color w:val="000000"/>
              </w:rPr>
              <w:t>8</w:t>
            </w:r>
          </w:p>
        </w:tc>
        <w:tc>
          <w:tcPr>
            <w:tcW w:w="3757" w:type="pct"/>
            <w:shd w:val="clear" w:color="auto" w:fill="auto"/>
            <w:tcMar>
              <w:top w:w="0" w:type="dxa"/>
              <w:left w:w="70" w:type="dxa"/>
              <w:bottom w:w="0" w:type="dxa"/>
              <w:right w:w="70" w:type="dxa"/>
            </w:tcMar>
            <w:vAlign w:val="center"/>
            <w:hideMark/>
          </w:tcPr>
          <w:p w:rsidRPr="001A108B" w:rsidR="00AB6DC2" w:rsidP="00C0566B" w:rsidRDefault="00AB6DC2" w14:paraId="5F51B485" w14:textId="77777777">
            <w:pPr>
              <w:rPr>
                <w:color w:val="7030A0"/>
              </w:rPr>
            </w:pPr>
            <w:r w:rsidRPr="001A108B">
              <w:rPr>
                <w:color w:val="000000"/>
              </w:rPr>
              <w:t>Gestionar los acuerdos de servicio</w:t>
            </w:r>
          </w:p>
        </w:tc>
      </w:tr>
      <w:tr w:rsidR="00AB6DC2" w:rsidTr="007D6B2F" w14:paraId="614155F7" w14:textId="77777777">
        <w:trPr>
          <w:cantSplit/>
          <w:trHeight w:val="300"/>
        </w:trPr>
        <w:tc>
          <w:tcPr>
            <w:tcW w:w="1243" w:type="pct"/>
            <w:shd w:val="clear" w:color="auto" w:fill="auto"/>
            <w:tcMar>
              <w:top w:w="0" w:type="dxa"/>
              <w:left w:w="70" w:type="dxa"/>
              <w:bottom w:w="0" w:type="dxa"/>
              <w:right w:w="70" w:type="dxa"/>
            </w:tcMar>
            <w:vAlign w:val="center"/>
            <w:hideMark/>
          </w:tcPr>
          <w:p w:rsidRPr="001A108B" w:rsidR="00AB6DC2" w:rsidP="00C0566B" w:rsidRDefault="00AB6DC2" w14:paraId="4976638A" w14:textId="77777777">
            <w:pPr>
              <w:jc w:val="center"/>
              <w:rPr>
                <w:color w:val="000000"/>
              </w:rPr>
            </w:pPr>
            <w:r w:rsidRPr="001A108B">
              <w:rPr>
                <w:color w:val="000000"/>
              </w:rPr>
              <w:t>APO 1</w:t>
            </w:r>
            <w:r>
              <w:rPr>
                <w:color w:val="000000"/>
              </w:rPr>
              <w:t>1</w:t>
            </w:r>
          </w:p>
        </w:tc>
        <w:tc>
          <w:tcPr>
            <w:tcW w:w="3757" w:type="pct"/>
            <w:shd w:val="clear" w:color="auto" w:fill="auto"/>
            <w:tcMar>
              <w:top w:w="0" w:type="dxa"/>
              <w:left w:w="70" w:type="dxa"/>
              <w:bottom w:w="0" w:type="dxa"/>
              <w:right w:w="70" w:type="dxa"/>
            </w:tcMar>
            <w:vAlign w:val="center"/>
            <w:hideMark/>
          </w:tcPr>
          <w:p w:rsidRPr="001A108B" w:rsidR="00AB6DC2" w:rsidP="00C0566B" w:rsidRDefault="00AB6DC2" w14:paraId="5DD576F4" w14:textId="77777777">
            <w:pPr>
              <w:rPr>
                <w:color w:val="000000"/>
              </w:rPr>
            </w:pPr>
            <w:r w:rsidRPr="001A108B">
              <w:rPr>
                <w:color w:val="000000"/>
              </w:rPr>
              <w:t>Gestionar el Riesgo</w:t>
            </w:r>
          </w:p>
        </w:tc>
      </w:tr>
      <w:tr w:rsidR="00AB6DC2" w:rsidTr="007D6B2F" w14:paraId="101D2281" w14:textId="77777777">
        <w:trPr>
          <w:cantSplit/>
          <w:trHeight w:val="300"/>
        </w:trPr>
        <w:tc>
          <w:tcPr>
            <w:tcW w:w="1243" w:type="pct"/>
            <w:shd w:val="clear" w:color="auto" w:fill="auto"/>
            <w:tcMar>
              <w:top w:w="0" w:type="dxa"/>
              <w:left w:w="70" w:type="dxa"/>
              <w:bottom w:w="0" w:type="dxa"/>
              <w:right w:w="70" w:type="dxa"/>
            </w:tcMar>
            <w:vAlign w:val="center"/>
            <w:hideMark/>
          </w:tcPr>
          <w:p w:rsidRPr="001A108B" w:rsidR="00AB6DC2" w:rsidP="00C0566B" w:rsidRDefault="00AB6DC2" w14:paraId="228BD114" w14:textId="77777777">
            <w:pPr>
              <w:jc w:val="center"/>
              <w:rPr>
                <w:color w:val="000000"/>
              </w:rPr>
            </w:pPr>
            <w:r w:rsidRPr="001A108B">
              <w:rPr>
                <w:color w:val="000000"/>
              </w:rPr>
              <w:t>APO 1</w:t>
            </w:r>
            <w:r>
              <w:rPr>
                <w:color w:val="000000"/>
              </w:rPr>
              <w:t>2</w:t>
            </w:r>
          </w:p>
        </w:tc>
        <w:tc>
          <w:tcPr>
            <w:tcW w:w="3757" w:type="pct"/>
            <w:shd w:val="clear" w:color="auto" w:fill="auto"/>
            <w:tcMar>
              <w:top w:w="0" w:type="dxa"/>
              <w:left w:w="70" w:type="dxa"/>
              <w:bottom w:w="0" w:type="dxa"/>
              <w:right w:w="70" w:type="dxa"/>
            </w:tcMar>
            <w:vAlign w:val="center"/>
            <w:hideMark/>
          </w:tcPr>
          <w:p w:rsidRPr="001A108B" w:rsidR="00AB6DC2" w:rsidP="00C0566B" w:rsidRDefault="00AB6DC2" w14:paraId="68E0B8C4" w14:textId="77777777">
            <w:pPr>
              <w:rPr>
                <w:color w:val="000000"/>
              </w:rPr>
            </w:pPr>
            <w:r w:rsidRPr="001A108B">
              <w:rPr>
                <w:color w:val="000000"/>
              </w:rPr>
              <w:t>Gestionar la Seguridad</w:t>
            </w:r>
          </w:p>
        </w:tc>
      </w:tr>
      <w:tr w:rsidR="00AB6DC2" w:rsidTr="007D6B2F" w14:paraId="6C95280F" w14:textId="77777777">
        <w:trPr>
          <w:cantSplit/>
          <w:trHeight w:val="300"/>
        </w:trPr>
        <w:tc>
          <w:tcPr>
            <w:tcW w:w="1243" w:type="pct"/>
            <w:shd w:val="clear" w:color="auto" w:fill="auto"/>
            <w:tcMar>
              <w:top w:w="0" w:type="dxa"/>
              <w:left w:w="70" w:type="dxa"/>
              <w:bottom w:w="0" w:type="dxa"/>
              <w:right w:w="70" w:type="dxa"/>
            </w:tcMar>
            <w:vAlign w:val="center"/>
            <w:hideMark/>
          </w:tcPr>
          <w:p w:rsidRPr="001A108B" w:rsidR="00AB6DC2" w:rsidP="00C0566B" w:rsidRDefault="00AB6DC2" w14:paraId="48C16689" w14:textId="77777777">
            <w:pPr>
              <w:jc w:val="center"/>
              <w:rPr>
                <w:color w:val="000000"/>
              </w:rPr>
            </w:pPr>
            <w:r w:rsidRPr="001A108B">
              <w:rPr>
                <w:color w:val="000000"/>
              </w:rPr>
              <w:t>BAI 0</w:t>
            </w:r>
            <w:r>
              <w:rPr>
                <w:color w:val="000000"/>
              </w:rPr>
              <w:t>5</w:t>
            </w:r>
          </w:p>
        </w:tc>
        <w:tc>
          <w:tcPr>
            <w:tcW w:w="3757" w:type="pct"/>
            <w:shd w:val="clear" w:color="auto" w:fill="auto"/>
            <w:tcMar>
              <w:top w:w="0" w:type="dxa"/>
              <w:left w:w="70" w:type="dxa"/>
              <w:bottom w:w="0" w:type="dxa"/>
              <w:right w:w="70" w:type="dxa"/>
            </w:tcMar>
            <w:vAlign w:val="center"/>
            <w:hideMark/>
          </w:tcPr>
          <w:p w:rsidRPr="001A108B" w:rsidR="00AB6DC2" w:rsidP="00C0566B" w:rsidRDefault="00AB6DC2" w14:paraId="3E876E09" w14:textId="77777777">
            <w:pPr>
              <w:rPr>
                <w:color w:val="000000"/>
              </w:rPr>
            </w:pPr>
            <w:r w:rsidRPr="001A108B">
              <w:rPr>
                <w:color w:val="000000"/>
              </w:rPr>
              <w:t>Gestionar los Cambios</w:t>
            </w:r>
          </w:p>
        </w:tc>
      </w:tr>
      <w:tr w:rsidR="00AB6DC2" w:rsidTr="007D6B2F" w14:paraId="011C8650" w14:textId="77777777">
        <w:trPr>
          <w:cantSplit/>
          <w:trHeight w:val="300"/>
        </w:trPr>
        <w:tc>
          <w:tcPr>
            <w:tcW w:w="1243" w:type="pct"/>
            <w:shd w:val="clear" w:color="auto" w:fill="auto"/>
            <w:tcMar>
              <w:top w:w="0" w:type="dxa"/>
              <w:left w:w="70" w:type="dxa"/>
              <w:bottom w:w="0" w:type="dxa"/>
              <w:right w:w="70" w:type="dxa"/>
            </w:tcMar>
            <w:vAlign w:val="center"/>
            <w:hideMark/>
          </w:tcPr>
          <w:p w:rsidRPr="001A108B" w:rsidR="00AB6DC2" w:rsidP="00C0566B" w:rsidRDefault="00AB6DC2" w14:paraId="312EAAA8" w14:textId="77777777">
            <w:pPr>
              <w:jc w:val="center"/>
              <w:rPr>
                <w:color w:val="000000"/>
              </w:rPr>
            </w:pPr>
            <w:r w:rsidRPr="001A108B">
              <w:rPr>
                <w:color w:val="000000"/>
              </w:rPr>
              <w:t xml:space="preserve">BAI </w:t>
            </w:r>
            <w:r>
              <w:rPr>
                <w:color w:val="000000"/>
              </w:rPr>
              <w:t>08</w:t>
            </w:r>
          </w:p>
        </w:tc>
        <w:tc>
          <w:tcPr>
            <w:tcW w:w="3757" w:type="pct"/>
            <w:shd w:val="clear" w:color="auto" w:fill="auto"/>
            <w:tcMar>
              <w:top w:w="0" w:type="dxa"/>
              <w:left w:w="70" w:type="dxa"/>
              <w:bottom w:w="0" w:type="dxa"/>
              <w:right w:w="70" w:type="dxa"/>
            </w:tcMar>
            <w:vAlign w:val="center"/>
            <w:hideMark/>
          </w:tcPr>
          <w:p w:rsidRPr="001A108B" w:rsidR="00AB6DC2" w:rsidP="00C0566B" w:rsidRDefault="00AB6DC2" w14:paraId="6655B563" w14:textId="77777777">
            <w:pPr>
              <w:rPr>
                <w:color w:val="000000"/>
              </w:rPr>
            </w:pPr>
            <w:r w:rsidRPr="001A108B">
              <w:rPr>
                <w:color w:val="000000"/>
              </w:rPr>
              <w:t>Gestionar la Configuración</w:t>
            </w:r>
          </w:p>
        </w:tc>
      </w:tr>
    </w:tbl>
    <w:p w:rsidR="00AB6DC2" w:rsidP="00AB6DC2" w:rsidRDefault="00AB6DC2" w14:paraId="3E595B64" w14:textId="77777777">
      <w:pPr>
        <w:ind w:left="284"/>
        <w:rPr>
          <w:sz w:val="24"/>
        </w:rPr>
      </w:pPr>
    </w:p>
    <w:p w:rsidR="00AB6DC2" w:rsidP="00AB6DC2" w:rsidRDefault="00AB6DC2" w14:paraId="0513EB3E" w14:textId="0380F668">
      <w:pPr>
        <w:ind w:left="284"/>
        <w:rPr>
          <w:sz w:val="24"/>
        </w:rPr>
      </w:pPr>
      <w:r w:rsidRPr="00164314">
        <w:rPr>
          <w:sz w:val="24"/>
        </w:rPr>
        <w:t xml:space="preserve">Por tanto, </w:t>
      </w:r>
      <w:r>
        <w:rPr>
          <w:sz w:val="24"/>
        </w:rPr>
        <w:t xml:space="preserve">se </w:t>
      </w:r>
      <w:r w:rsidR="007D6B2F">
        <w:rPr>
          <w:sz w:val="24"/>
        </w:rPr>
        <w:t>realizan los ajustes correspondientes</w:t>
      </w:r>
      <w:r w:rsidRPr="009E27FE">
        <w:rPr>
          <w:sz w:val="24"/>
        </w:rPr>
        <w:t xml:space="preserve"> en la tabla siguiente:</w:t>
      </w:r>
      <w:r>
        <w:rPr>
          <w:sz w:val="24"/>
        </w:rPr>
        <w:t xml:space="preserve"> </w:t>
      </w:r>
    </w:p>
    <w:p w:rsidRPr="00D93798" w:rsidR="00AB6DC2" w:rsidP="00AB6DC2" w:rsidRDefault="00AB6DC2" w14:paraId="68345548" w14:textId="77777777">
      <w:pPr>
        <w:ind w:left="284"/>
        <w:rPr>
          <w:b/>
          <w:bCs/>
          <w:sz w:val="24"/>
        </w:rPr>
      </w:pPr>
    </w:p>
    <w:p w:rsidRPr="002657C8" w:rsidR="00AB6DC2" w:rsidP="00AB6DC2" w:rsidRDefault="00AB6DC2" w14:paraId="3AB887FE" w14:textId="77777777">
      <w:pPr>
        <w:tabs>
          <w:tab w:val="center" w:pos="4680"/>
          <w:tab w:val="right" w:pos="9360"/>
        </w:tabs>
        <w:spacing w:line="240" w:lineRule="auto"/>
        <w:jc w:val="center"/>
        <w:rPr>
          <w:b/>
          <w:bCs/>
          <w:sz w:val="24"/>
          <w:lang w:val="es-CR"/>
        </w:rPr>
      </w:pPr>
      <w:r w:rsidRPr="00E06F76">
        <w:rPr>
          <w:b/>
          <w:bCs/>
          <w:sz w:val="24"/>
          <w:lang w:val="es-CR"/>
        </w:rPr>
        <w:t>Tabla de procesos TI</w:t>
      </w:r>
    </w:p>
    <w:tbl>
      <w:tblPr>
        <w:tblStyle w:val="Tablaconcuadrcula1clara"/>
        <w:tblW w:w="4994" w:type="pct"/>
        <w:tblLook w:val="04A0" w:firstRow="1" w:lastRow="0" w:firstColumn="1" w:lastColumn="0" w:noHBand="0" w:noVBand="1"/>
      </w:tblPr>
      <w:tblGrid>
        <w:gridCol w:w="988"/>
        <w:gridCol w:w="3560"/>
        <w:gridCol w:w="913"/>
        <w:gridCol w:w="3356"/>
      </w:tblGrid>
      <w:tr w:rsidRPr="00E06F76" w:rsidR="00AB6DC2" w:rsidTr="00C0566B" w14:paraId="3026CD56" w14:textId="77777777">
        <w:trPr>
          <w:cnfStyle w:val="100000000000" w:firstRow="1" w:lastRow="0" w:firstColumn="0" w:lastColumn="0" w:oddVBand="0" w:evenVBand="0" w:oddHBand="0" w:evenHBand="0" w:firstRowFirstColumn="0" w:firstRowLastColumn="0" w:lastRowFirstColumn="0" w:lastRowLastColumn="0"/>
          <w:cantSplit/>
          <w:trHeight w:val="257"/>
          <w:tblHeader/>
        </w:trPr>
        <w:tc>
          <w:tcPr>
            <w:cnfStyle w:val="001000000000" w:firstRow="0" w:lastRow="0" w:firstColumn="1" w:lastColumn="0" w:oddVBand="0" w:evenVBand="0" w:oddHBand="0" w:evenHBand="0" w:firstRowFirstColumn="0" w:firstRowLastColumn="0" w:lastRowFirstColumn="0" w:lastRowLastColumn="0"/>
            <w:tcW w:w="560" w:type="pct"/>
            <w:shd w:val="clear" w:color="auto" w:fill="44546A" w:themeFill="text2"/>
          </w:tcPr>
          <w:p w:rsidRPr="00E06F76" w:rsidR="00AB6DC2" w:rsidP="00C0566B" w:rsidRDefault="00AB6DC2" w14:paraId="5445F722" w14:textId="77777777">
            <w:pPr>
              <w:tabs>
                <w:tab w:val="center" w:pos="4680"/>
                <w:tab w:val="right" w:pos="9360"/>
              </w:tabs>
              <w:jc w:val="center"/>
              <w:rPr>
                <w:color w:val="FFFFFF" w:themeColor="background1"/>
                <w:sz w:val="22"/>
                <w:szCs w:val="22"/>
                <w:lang w:eastAsia="en-US"/>
              </w:rPr>
            </w:pPr>
            <w:r w:rsidRPr="00E06F76">
              <w:rPr>
                <w:color w:val="FFFFFF" w:themeColor="background1"/>
                <w:sz w:val="22"/>
                <w:szCs w:val="22"/>
                <w:lang w:eastAsia="en-US"/>
              </w:rPr>
              <w:t>Id</w:t>
            </w:r>
          </w:p>
        </w:tc>
        <w:tc>
          <w:tcPr>
            <w:tcW w:w="2019" w:type="pct"/>
            <w:shd w:val="clear" w:color="auto" w:fill="44546A" w:themeFill="text2"/>
          </w:tcPr>
          <w:p w:rsidRPr="00E06F76" w:rsidR="00AB6DC2" w:rsidP="00C0566B" w:rsidRDefault="00AB6DC2" w14:paraId="1B26C7B8" w14:textId="77777777">
            <w:pPr>
              <w:tabs>
                <w:tab w:val="center" w:pos="4680"/>
                <w:tab w:val="right" w:pos="9360"/>
              </w:tab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lang w:eastAsia="en-US"/>
              </w:rPr>
            </w:pPr>
            <w:r w:rsidRPr="00E06F76">
              <w:rPr>
                <w:color w:val="FFFFFF" w:themeColor="background1"/>
                <w:sz w:val="22"/>
                <w:szCs w:val="22"/>
                <w:lang w:eastAsia="en-US"/>
              </w:rPr>
              <w:t>Proceso</w:t>
            </w:r>
          </w:p>
        </w:tc>
        <w:tc>
          <w:tcPr>
            <w:tcW w:w="518" w:type="pct"/>
            <w:shd w:val="clear" w:color="auto" w:fill="44546A" w:themeFill="text2"/>
          </w:tcPr>
          <w:p w:rsidRPr="00E06F76" w:rsidR="00AB6DC2" w:rsidP="00C0566B" w:rsidRDefault="00AB6DC2" w14:paraId="39C894B1" w14:textId="77777777">
            <w:pPr>
              <w:tabs>
                <w:tab w:val="center" w:pos="4680"/>
                <w:tab w:val="right" w:pos="9360"/>
              </w:tab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lang w:eastAsia="en-US"/>
              </w:rPr>
            </w:pPr>
            <w:r w:rsidRPr="00E06F76">
              <w:rPr>
                <w:color w:val="FFFFFF" w:themeColor="background1"/>
                <w:sz w:val="22"/>
                <w:szCs w:val="22"/>
                <w:lang w:eastAsia="en-US"/>
              </w:rPr>
              <w:t>Id</w:t>
            </w:r>
          </w:p>
        </w:tc>
        <w:tc>
          <w:tcPr>
            <w:tcW w:w="1903" w:type="pct"/>
            <w:shd w:val="clear" w:color="auto" w:fill="44546A" w:themeFill="text2"/>
          </w:tcPr>
          <w:p w:rsidRPr="00E06F76" w:rsidR="00AB6DC2" w:rsidP="00C0566B" w:rsidRDefault="00AB6DC2" w14:paraId="5EFD22A4" w14:textId="77777777">
            <w:pPr>
              <w:tabs>
                <w:tab w:val="center" w:pos="4680"/>
                <w:tab w:val="right" w:pos="9360"/>
              </w:tab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lang w:eastAsia="en-US"/>
              </w:rPr>
            </w:pPr>
            <w:r w:rsidRPr="00E06F76">
              <w:rPr>
                <w:color w:val="FFFFFF" w:themeColor="background1"/>
                <w:sz w:val="22"/>
                <w:szCs w:val="22"/>
                <w:lang w:eastAsia="en-US"/>
              </w:rPr>
              <w:t>Proceso</w:t>
            </w:r>
          </w:p>
        </w:tc>
      </w:tr>
      <w:tr w:rsidRPr="00E06F76" w:rsidR="00AB6DC2" w:rsidTr="00A969E5" w14:paraId="78FDCCD2" w14:textId="77777777">
        <w:trPr>
          <w:trHeight w:val="25"/>
        </w:trPr>
        <w:tc>
          <w:tcPr>
            <w:cnfStyle w:val="001000000000" w:firstRow="0" w:lastRow="0" w:firstColumn="1" w:lastColumn="0" w:oddVBand="0" w:evenVBand="0" w:oddHBand="0" w:evenHBand="0" w:firstRowFirstColumn="0" w:firstRowLastColumn="0" w:lastRowFirstColumn="0" w:lastRowLastColumn="0"/>
            <w:tcW w:w="560" w:type="pct"/>
          </w:tcPr>
          <w:p w:rsidRPr="00E06F76" w:rsidR="00AB6DC2" w:rsidP="00C0566B" w:rsidRDefault="00AB6DC2" w14:paraId="5BA03B53" w14:textId="77777777">
            <w:pPr>
              <w:jc w:val="right"/>
              <w:rPr>
                <w:b w:val="0"/>
                <w:bCs w:val="0"/>
                <w:sz w:val="22"/>
                <w:szCs w:val="22"/>
                <w:lang w:eastAsia="en-US"/>
              </w:rPr>
            </w:pPr>
            <w:r w:rsidRPr="00E06F76">
              <w:rPr>
                <w:b w:val="0"/>
                <w:bCs w:val="0"/>
                <w:sz w:val="22"/>
                <w:szCs w:val="22"/>
                <w:lang w:eastAsia="en-US"/>
              </w:rPr>
              <w:t>EDM 03</w:t>
            </w:r>
          </w:p>
        </w:tc>
        <w:tc>
          <w:tcPr>
            <w:tcW w:w="2019" w:type="pct"/>
          </w:tcPr>
          <w:p w:rsidRPr="00E06F76" w:rsidR="00AB6DC2" w:rsidP="00C0566B" w:rsidRDefault="00AB6DC2" w14:paraId="2D10CC40" w14:textId="77777777">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Asegurar la Optimización del Riesgo</w:t>
            </w:r>
          </w:p>
        </w:tc>
        <w:tc>
          <w:tcPr>
            <w:tcW w:w="518" w:type="pct"/>
            <w:shd w:val="clear" w:color="auto" w:fill="D0CECE" w:themeFill="background2" w:themeFillShade="E6"/>
          </w:tcPr>
          <w:p w:rsidRPr="00E06F76" w:rsidR="00AB6DC2" w:rsidP="00C0566B" w:rsidRDefault="00AB6DC2" w14:paraId="787878B5" w14:textId="77777777">
            <w:pPr>
              <w:jc w:val="right"/>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BAI 0</w:t>
            </w:r>
            <w:r>
              <w:rPr>
                <w:sz w:val="22"/>
                <w:szCs w:val="22"/>
                <w:lang w:eastAsia="en-US"/>
              </w:rPr>
              <w:t>6</w:t>
            </w:r>
          </w:p>
        </w:tc>
        <w:tc>
          <w:tcPr>
            <w:tcW w:w="1903" w:type="pct"/>
            <w:shd w:val="clear" w:color="auto" w:fill="D0CECE" w:themeFill="background2" w:themeFillShade="E6"/>
          </w:tcPr>
          <w:p w:rsidRPr="00E06F76" w:rsidR="00AB6DC2" w:rsidP="00C0566B" w:rsidRDefault="00AB6DC2" w14:paraId="40BBA034" w14:textId="77777777">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Gestionar los Cambios</w:t>
            </w:r>
          </w:p>
        </w:tc>
      </w:tr>
      <w:tr w:rsidRPr="00E06F76" w:rsidR="00AB6DC2" w:rsidTr="00C0566B" w14:paraId="009B446E" w14:textId="77777777">
        <w:trPr>
          <w:trHeight w:val="554"/>
        </w:trPr>
        <w:tc>
          <w:tcPr>
            <w:cnfStyle w:val="001000000000" w:firstRow="0" w:lastRow="0" w:firstColumn="1" w:lastColumn="0" w:oddVBand="0" w:evenVBand="0" w:oddHBand="0" w:evenHBand="0" w:firstRowFirstColumn="0" w:firstRowLastColumn="0" w:lastRowFirstColumn="0" w:lastRowLastColumn="0"/>
            <w:tcW w:w="560" w:type="pct"/>
          </w:tcPr>
          <w:p w:rsidRPr="00E06F76" w:rsidR="00AB6DC2" w:rsidP="00C0566B" w:rsidRDefault="00AB6DC2" w14:paraId="3BA77DA4" w14:textId="77777777">
            <w:pPr>
              <w:jc w:val="right"/>
              <w:rPr>
                <w:b w:val="0"/>
                <w:bCs w:val="0"/>
                <w:sz w:val="22"/>
                <w:szCs w:val="22"/>
                <w:lang w:eastAsia="en-US"/>
              </w:rPr>
            </w:pPr>
            <w:r w:rsidRPr="00E06F76">
              <w:rPr>
                <w:b w:val="0"/>
                <w:bCs w:val="0"/>
                <w:sz w:val="22"/>
                <w:szCs w:val="22"/>
                <w:lang w:eastAsia="en-US"/>
              </w:rPr>
              <w:t>EMD 04</w:t>
            </w:r>
          </w:p>
        </w:tc>
        <w:tc>
          <w:tcPr>
            <w:tcW w:w="2019" w:type="pct"/>
          </w:tcPr>
          <w:p w:rsidRPr="00E06F76" w:rsidR="00AB6DC2" w:rsidP="00C0566B" w:rsidRDefault="00AB6DC2" w14:paraId="238BBF0B" w14:textId="77777777">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Asegurar la Optimización de Recursos</w:t>
            </w:r>
          </w:p>
        </w:tc>
        <w:tc>
          <w:tcPr>
            <w:tcW w:w="518" w:type="pct"/>
          </w:tcPr>
          <w:p w:rsidRPr="00E06F76" w:rsidR="00AB6DC2" w:rsidP="00C0566B" w:rsidRDefault="00AB6DC2" w14:paraId="432CC0E5" w14:textId="77777777">
            <w:pPr>
              <w:jc w:val="right"/>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BAI 09</w:t>
            </w:r>
          </w:p>
        </w:tc>
        <w:tc>
          <w:tcPr>
            <w:tcW w:w="1903" w:type="pct"/>
          </w:tcPr>
          <w:p w:rsidRPr="00E06F76" w:rsidR="00AB6DC2" w:rsidP="00C0566B" w:rsidRDefault="00AB6DC2" w14:paraId="26F0D800" w14:textId="77777777">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 xml:space="preserve">Gestionar los Activos </w:t>
            </w:r>
          </w:p>
        </w:tc>
      </w:tr>
      <w:tr w:rsidRPr="00E06F76" w:rsidR="00AB6DC2" w:rsidTr="00A969E5" w14:paraId="7CF71E23" w14:textId="77777777">
        <w:trPr>
          <w:trHeight w:val="554"/>
        </w:trPr>
        <w:tc>
          <w:tcPr>
            <w:cnfStyle w:val="001000000000" w:firstRow="0" w:lastRow="0" w:firstColumn="1" w:lastColumn="0" w:oddVBand="0" w:evenVBand="0" w:oddHBand="0" w:evenHBand="0" w:firstRowFirstColumn="0" w:firstRowLastColumn="0" w:lastRowFirstColumn="0" w:lastRowLastColumn="0"/>
            <w:tcW w:w="560" w:type="pct"/>
          </w:tcPr>
          <w:p w:rsidRPr="00E06F76" w:rsidR="00AB6DC2" w:rsidP="00C0566B" w:rsidRDefault="00AB6DC2" w14:paraId="5F9CEDED" w14:textId="77777777">
            <w:pPr>
              <w:jc w:val="right"/>
              <w:rPr>
                <w:b w:val="0"/>
                <w:bCs w:val="0"/>
                <w:sz w:val="22"/>
                <w:szCs w:val="22"/>
                <w:lang w:eastAsia="en-US"/>
              </w:rPr>
            </w:pPr>
            <w:r w:rsidRPr="00E06F76">
              <w:rPr>
                <w:b w:val="0"/>
                <w:bCs w:val="0"/>
                <w:sz w:val="22"/>
                <w:szCs w:val="22"/>
                <w:lang w:eastAsia="en-US"/>
              </w:rPr>
              <w:t>EDM 05</w:t>
            </w:r>
          </w:p>
        </w:tc>
        <w:tc>
          <w:tcPr>
            <w:tcW w:w="2019" w:type="pct"/>
          </w:tcPr>
          <w:p w:rsidRPr="00E06F76" w:rsidR="00AB6DC2" w:rsidP="00C0566B" w:rsidRDefault="00AB6DC2" w14:paraId="22607F42" w14:textId="77777777">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Asegurar la Transparencia hacia las Partes Interesadas</w:t>
            </w:r>
          </w:p>
        </w:tc>
        <w:tc>
          <w:tcPr>
            <w:tcW w:w="518" w:type="pct"/>
            <w:shd w:val="clear" w:color="auto" w:fill="D0CECE" w:themeFill="background2" w:themeFillShade="E6"/>
          </w:tcPr>
          <w:p w:rsidRPr="00E06F76" w:rsidR="00AB6DC2" w:rsidP="00C0566B" w:rsidRDefault="00AB6DC2" w14:paraId="6AFEC3F7" w14:textId="77777777">
            <w:pPr>
              <w:jc w:val="right"/>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 xml:space="preserve">BAI </w:t>
            </w:r>
            <w:r>
              <w:rPr>
                <w:sz w:val="22"/>
                <w:szCs w:val="22"/>
                <w:lang w:eastAsia="en-US"/>
              </w:rPr>
              <w:t>10</w:t>
            </w:r>
          </w:p>
        </w:tc>
        <w:tc>
          <w:tcPr>
            <w:tcW w:w="1903" w:type="pct"/>
            <w:shd w:val="clear" w:color="auto" w:fill="D0CECE" w:themeFill="background2" w:themeFillShade="E6"/>
          </w:tcPr>
          <w:p w:rsidRPr="00E06F76" w:rsidR="00AB6DC2" w:rsidP="00C0566B" w:rsidRDefault="00AB6DC2" w14:paraId="4AB0D563" w14:textId="77777777">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Gestionar la Configuración</w:t>
            </w:r>
          </w:p>
        </w:tc>
      </w:tr>
      <w:tr w:rsidRPr="00E06F76" w:rsidR="00AB6DC2" w:rsidTr="00A969E5" w14:paraId="0F8C5111" w14:textId="77777777">
        <w:trPr>
          <w:trHeight w:val="125"/>
        </w:trPr>
        <w:tc>
          <w:tcPr>
            <w:cnfStyle w:val="001000000000" w:firstRow="0" w:lastRow="0" w:firstColumn="1" w:lastColumn="0" w:oddVBand="0" w:evenVBand="0" w:oddHBand="0" w:evenHBand="0" w:firstRowFirstColumn="0" w:firstRowLastColumn="0" w:lastRowFirstColumn="0" w:lastRowLastColumn="0"/>
            <w:tcW w:w="560" w:type="pct"/>
            <w:shd w:val="clear" w:color="auto" w:fill="D0CECE" w:themeFill="background2" w:themeFillShade="E6"/>
          </w:tcPr>
          <w:p w:rsidRPr="00E06F76" w:rsidR="00AB6DC2" w:rsidP="00C0566B" w:rsidRDefault="00AB6DC2" w14:paraId="2F4C297D" w14:textId="77777777">
            <w:pPr>
              <w:jc w:val="right"/>
              <w:rPr>
                <w:b w:val="0"/>
                <w:bCs w:val="0"/>
                <w:sz w:val="22"/>
                <w:szCs w:val="22"/>
                <w:lang w:eastAsia="en-US"/>
              </w:rPr>
            </w:pPr>
            <w:r w:rsidRPr="00E06F76">
              <w:rPr>
                <w:b w:val="0"/>
                <w:bCs w:val="0"/>
                <w:sz w:val="22"/>
                <w:szCs w:val="22"/>
                <w:lang w:eastAsia="en-US"/>
              </w:rPr>
              <w:t>APO 0</w:t>
            </w:r>
            <w:r>
              <w:rPr>
                <w:b w:val="0"/>
                <w:bCs w:val="0"/>
                <w:sz w:val="22"/>
                <w:szCs w:val="22"/>
                <w:lang w:eastAsia="en-US"/>
              </w:rPr>
              <w:t>9</w:t>
            </w:r>
          </w:p>
        </w:tc>
        <w:tc>
          <w:tcPr>
            <w:tcW w:w="2019" w:type="pct"/>
            <w:shd w:val="clear" w:color="auto" w:fill="D0CECE" w:themeFill="background2" w:themeFillShade="E6"/>
          </w:tcPr>
          <w:p w:rsidRPr="00E06F76" w:rsidR="00AB6DC2" w:rsidP="00C0566B" w:rsidRDefault="00AB6DC2" w14:paraId="17E07528" w14:textId="77777777">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 xml:space="preserve">Gestionar los </w:t>
            </w:r>
            <w:r>
              <w:rPr>
                <w:sz w:val="22"/>
                <w:szCs w:val="22"/>
                <w:lang w:eastAsia="en-US"/>
              </w:rPr>
              <w:t>A</w:t>
            </w:r>
            <w:r w:rsidRPr="00E06F76">
              <w:rPr>
                <w:sz w:val="22"/>
                <w:szCs w:val="22"/>
                <w:lang w:eastAsia="en-US"/>
              </w:rPr>
              <w:t xml:space="preserve">cuerdos de </w:t>
            </w:r>
            <w:r>
              <w:rPr>
                <w:sz w:val="22"/>
                <w:szCs w:val="22"/>
                <w:lang w:eastAsia="en-US"/>
              </w:rPr>
              <w:t>S</w:t>
            </w:r>
            <w:r w:rsidRPr="00E06F76">
              <w:rPr>
                <w:sz w:val="22"/>
                <w:szCs w:val="22"/>
                <w:lang w:eastAsia="en-US"/>
              </w:rPr>
              <w:t>ervicio</w:t>
            </w:r>
          </w:p>
        </w:tc>
        <w:tc>
          <w:tcPr>
            <w:tcW w:w="518" w:type="pct"/>
          </w:tcPr>
          <w:p w:rsidRPr="00E06F76" w:rsidR="00AB6DC2" w:rsidP="00C0566B" w:rsidRDefault="00AB6DC2" w14:paraId="18FB43B8" w14:textId="77777777">
            <w:pPr>
              <w:jc w:val="right"/>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DSS 01</w:t>
            </w:r>
          </w:p>
        </w:tc>
        <w:tc>
          <w:tcPr>
            <w:tcW w:w="1903" w:type="pct"/>
          </w:tcPr>
          <w:p w:rsidRPr="00E06F76" w:rsidR="00AB6DC2" w:rsidP="00C0566B" w:rsidRDefault="00AB6DC2" w14:paraId="7A61A88E" w14:textId="77777777">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Gestionar Operaciones</w:t>
            </w:r>
          </w:p>
        </w:tc>
      </w:tr>
      <w:tr w:rsidRPr="00E06F76" w:rsidR="00AB6DC2" w:rsidTr="00A969E5" w14:paraId="20F37C4B" w14:textId="77777777">
        <w:trPr>
          <w:trHeight w:val="542"/>
        </w:trPr>
        <w:tc>
          <w:tcPr>
            <w:cnfStyle w:val="001000000000" w:firstRow="0" w:lastRow="0" w:firstColumn="1" w:lastColumn="0" w:oddVBand="0" w:evenVBand="0" w:oddHBand="0" w:evenHBand="0" w:firstRowFirstColumn="0" w:firstRowLastColumn="0" w:lastRowFirstColumn="0" w:lastRowLastColumn="0"/>
            <w:tcW w:w="560" w:type="pct"/>
            <w:shd w:val="clear" w:color="auto" w:fill="D0CECE" w:themeFill="background2" w:themeFillShade="E6"/>
          </w:tcPr>
          <w:p w:rsidRPr="00E06F76" w:rsidR="00AB6DC2" w:rsidP="00C0566B" w:rsidRDefault="00AB6DC2" w14:paraId="150EA7DC" w14:textId="77777777">
            <w:pPr>
              <w:jc w:val="right"/>
              <w:rPr>
                <w:b w:val="0"/>
                <w:bCs w:val="0"/>
                <w:sz w:val="22"/>
                <w:szCs w:val="22"/>
                <w:lang w:eastAsia="en-US"/>
              </w:rPr>
            </w:pPr>
            <w:r w:rsidRPr="00E06F76">
              <w:rPr>
                <w:b w:val="0"/>
                <w:bCs w:val="0"/>
                <w:sz w:val="22"/>
                <w:szCs w:val="22"/>
                <w:lang w:eastAsia="en-US"/>
              </w:rPr>
              <w:t>APO 1</w:t>
            </w:r>
            <w:r>
              <w:rPr>
                <w:b w:val="0"/>
                <w:bCs w:val="0"/>
                <w:sz w:val="22"/>
                <w:szCs w:val="22"/>
                <w:lang w:eastAsia="en-US"/>
              </w:rPr>
              <w:t>2</w:t>
            </w:r>
          </w:p>
        </w:tc>
        <w:tc>
          <w:tcPr>
            <w:tcW w:w="2019" w:type="pct"/>
            <w:shd w:val="clear" w:color="auto" w:fill="D0CECE" w:themeFill="background2" w:themeFillShade="E6"/>
          </w:tcPr>
          <w:p w:rsidRPr="00E06F76" w:rsidR="00AB6DC2" w:rsidP="00C0566B" w:rsidRDefault="00AB6DC2" w14:paraId="6E4A5C9D" w14:textId="77777777">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Gestionar el Riesgo</w:t>
            </w:r>
          </w:p>
        </w:tc>
        <w:tc>
          <w:tcPr>
            <w:tcW w:w="518" w:type="pct"/>
          </w:tcPr>
          <w:p w:rsidRPr="00E06F76" w:rsidR="00AB6DC2" w:rsidP="00C0566B" w:rsidRDefault="00AB6DC2" w14:paraId="35CFEDFE" w14:textId="77777777">
            <w:pPr>
              <w:jc w:val="right"/>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DSS 02</w:t>
            </w:r>
          </w:p>
        </w:tc>
        <w:tc>
          <w:tcPr>
            <w:tcW w:w="1903" w:type="pct"/>
          </w:tcPr>
          <w:p w:rsidRPr="00E06F76" w:rsidR="00AB6DC2" w:rsidP="00C0566B" w:rsidRDefault="00AB6DC2" w14:paraId="04EA05F7" w14:textId="77777777">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 xml:space="preserve">Gestionar </w:t>
            </w:r>
            <w:r>
              <w:rPr>
                <w:sz w:val="22"/>
                <w:szCs w:val="22"/>
                <w:lang w:eastAsia="en-US"/>
              </w:rPr>
              <w:t xml:space="preserve">las </w:t>
            </w:r>
            <w:r w:rsidRPr="00E06F76">
              <w:rPr>
                <w:sz w:val="22"/>
                <w:szCs w:val="22"/>
                <w:lang w:eastAsia="en-US"/>
              </w:rPr>
              <w:t xml:space="preserve">Peticiones </w:t>
            </w:r>
            <w:r>
              <w:rPr>
                <w:sz w:val="22"/>
                <w:szCs w:val="22"/>
                <w:lang w:eastAsia="en-US"/>
              </w:rPr>
              <w:t xml:space="preserve">y </w:t>
            </w:r>
            <w:proofErr w:type="gramStart"/>
            <w:r>
              <w:rPr>
                <w:sz w:val="22"/>
                <w:szCs w:val="22"/>
                <w:lang w:eastAsia="en-US"/>
              </w:rPr>
              <w:t xml:space="preserve">los </w:t>
            </w:r>
            <w:r w:rsidRPr="00E06F76">
              <w:rPr>
                <w:sz w:val="22"/>
                <w:szCs w:val="22"/>
                <w:lang w:eastAsia="en-US"/>
              </w:rPr>
              <w:t xml:space="preserve"> Incidentes</w:t>
            </w:r>
            <w:proofErr w:type="gramEnd"/>
            <w:r w:rsidRPr="00E06F76">
              <w:rPr>
                <w:sz w:val="22"/>
                <w:szCs w:val="22"/>
                <w:lang w:eastAsia="en-US"/>
              </w:rPr>
              <w:t xml:space="preserve"> de Servicio</w:t>
            </w:r>
          </w:p>
        </w:tc>
      </w:tr>
      <w:tr w:rsidRPr="00E06F76" w:rsidR="00AB6DC2" w:rsidTr="00A969E5" w14:paraId="485A6BF2" w14:textId="77777777">
        <w:trPr>
          <w:trHeight w:val="283"/>
        </w:trPr>
        <w:tc>
          <w:tcPr>
            <w:cnfStyle w:val="001000000000" w:firstRow="0" w:lastRow="0" w:firstColumn="1" w:lastColumn="0" w:oddVBand="0" w:evenVBand="0" w:oddHBand="0" w:evenHBand="0" w:firstRowFirstColumn="0" w:firstRowLastColumn="0" w:lastRowFirstColumn="0" w:lastRowLastColumn="0"/>
            <w:tcW w:w="560" w:type="pct"/>
            <w:shd w:val="clear" w:color="auto" w:fill="D0CECE" w:themeFill="background2" w:themeFillShade="E6"/>
          </w:tcPr>
          <w:p w:rsidRPr="00E06F76" w:rsidR="00AB6DC2" w:rsidP="00C0566B" w:rsidRDefault="00AB6DC2" w14:paraId="37F41F7D" w14:textId="77777777">
            <w:pPr>
              <w:jc w:val="right"/>
              <w:rPr>
                <w:b w:val="0"/>
                <w:bCs w:val="0"/>
                <w:sz w:val="22"/>
                <w:szCs w:val="22"/>
                <w:lang w:eastAsia="en-US"/>
              </w:rPr>
            </w:pPr>
            <w:r w:rsidRPr="00E06F76">
              <w:rPr>
                <w:b w:val="0"/>
                <w:bCs w:val="0"/>
                <w:sz w:val="22"/>
                <w:szCs w:val="22"/>
                <w:lang w:eastAsia="en-US"/>
              </w:rPr>
              <w:t>APO 1</w:t>
            </w:r>
            <w:r>
              <w:rPr>
                <w:b w:val="0"/>
                <w:bCs w:val="0"/>
                <w:sz w:val="22"/>
                <w:szCs w:val="22"/>
                <w:lang w:eastAsia="en-US"/>
              </w:rPr>
              <w:t>3</w:t>
            </w:r>
          </w:p>
        </w:tc>
        <w:tc>
          <w:tcPr>
            <w:tcW w:w="2019" w:type="pct"/>
            <w:shd w:val="clear" w:color="auto" w:fill="D0CECE" w:themeFill="background2" w:themeFillShade="E6"/>
          </w:tcPr>
          <w:p w:rsidRPr="00E06F76" w:rsidR="00AB6DC2" w:rsidP="00C0566B" w:rsidRDefault="00AB6DC2" w14:paraId="2B68DAE0" w14:textId="77777777">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Gestionar la Seguridad</w:t>
            </w:r>
          </w:p>
        </w:tc>
        <w:tc>
          <w:tcPr>
            <w:tcW w:w="518" w:type="pct"/>
          </w:tcPr>
          <w:p w:rsidRPr="00E06F76" w:rsidR="00AB6DC2" w:rsidP="00C0566B" w:rsidRDefault="00AB6DC2" w14:paraId="70A17C65" w14:textId="77777777">
            <w:pPr>
              <w:jc w:val="right"/>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DSS 03</w:t>
            </w:r>
          </w:p>
        </w:tc>
        <w:tc>
          <w:tcPr>
            <w:tcW w:w="1903" w:type="pct"/>
          </w:tcPr>
          <w:p w:rsidRPr="00E06F76" w:rsidR="00AB6DC2" w:rsidP="00C0566B" w:rsidRDefault="00AB6DC2" w14:paraId="7E2E114B" w14:textId="77777777">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 xml:space="preserve">Gestionar </w:t>
            </w:r>
            <w:r>
              <w:rPr>
                <w:sz w:val="22"/>
                <w:szCs w:val="22"/>
                <w:lang w:eastAsia="en-US"/>
              </w:rPr>
              <w:t xml:space="preserve">los </w:t>
            </w:r>
            <w:r w:rsidRPr="00E06F76">
              <w:rPr>
                <w:sz w:val="22"/>
                <w:szCs w:val="22"/>
                <w:lang w:eastAsia="en-US"/>
              </w:rPr>
              <w:t>Problemas</w:t>
            </w:r>
          </w:p>
        </w:tc>
      </w:tr>
      <w:tr w:rsidRPr="00E06F76" w:rsidR="00AB6DC2" w:rsidTr="00C0566B" w14:paraId="7B0506F7" w14:textId="77777777">
        <w:trPr>
          <w:trHeight w:val="45"/>
        </w:trPr>
        <w:tc>
          <w:tcPr>
            <w:cnfStyle w:val="001000000000" w:firstRow="0" w:lastRow="0" w:firstColumn="1" w:lastColumn="0" w:oddVBand="0" w:evenVBand="0" w:oddHBand="0" w:evenHBand="0" w:firstRowFirstColumn="0" w:firstRowLastColumn="0" w:lastRowFirstColumn="0" w:lastRowLastColumn="0"/>
            <w:tcW w:w="560" w:type="pct"/>
          </w:tcPr>
          <w:p w:rsidRPr="00E06F76" w:rsidR="00AB6DC2" w:rsidP="00C0566B" w:rsidRDefault="00AB6DC2" w14:paraId="4FEC0CF0" w14:textId="77777777">
            <w:pPr>
              <w:jc w:val="right"/>
              <w:rPr>
                <w:b w:val="0"/>
                <w:bCs w:val="0"/>
                <w:sz w:val="22"/>
                <w:szCs w:val="22"/>
                <w:lang w:eastAsia="en-US"/>
              </w:rPr>
            </w:pPr>
            <w:r w:rsidRPr="00E06F76">
              <w:rPr>
                <w:b w:val="0"/>
                <w:bCs w:val="0"/>
                <w:sz w:val="22"/>
                <w:szCs w:val="22"/>
                <w:lang w:eastAsia="en-US"/>
              </w:rPr>
              <w:t>BAI 01</w:t>
            </w:r>
          </w:p>
        </w:tc>
        <w:tc>
          <w:tcPr>
            <w:tcW w:w="2019" w:type="pct"/>
          </w:tcPr>
          <w:p w:rsidRPr="00E06F76" w:rsidR="00AB6DC2" w:rsidP="00C0566B" w:rsidRDefault="00AB6DC2" w14:paraId="2DB92DDA" w14:textId="77777777">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 xml:space="preserve">Gestión </w:t>
            </w:r>
            <w:r>
              <w:rPr>
                <w:sz w:val="22"/>
                <w:szCs w:val="22"/>
                <w:lang w:eastAsia="en-US"/>
              </w:rPr>
              <w:t>los</w:t>
            </w:r>
            <w:r w:rsidRPr="00E06F76">
              <w:rPr>
                <w:sz w:val="22"/>
                <w:szCs w:val="22"/>
                <w:lang w:eastAsia="en-US"/>
              </w:rPr>
              <w:t xml:space="preserve"> Programas y Proyectos</w:t>
            </w:r>
          </w:p>
        </w:tc>
        <w:tc>
          <w:tcPr>
            <w:tcW w:w="518" w:type="pct"/>
          </w:tcPr>
          <w:p w:rsidRPr="00E06F76" w:rsidR="00AB6DC2" w:rsidP="00C0566B" w:rsidRDefault="00AB6DC2" w14:paraId="3420D5CB" w14:textId="77777777">
            <w:pPr>
              <w:jc w:val="right"/>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DSS 04</w:t>
            </w:r>
          </w:p>
        </w:tc>
        <w:tc>
          <w:tcPr>
            <w:tcW w:w="1903" w:type="pct"/>
          </w:tcPr>
          <w:p w:rsidRPr="00E06F76" w:rsidR="00AB6DC2" w:rsidP="00C0566B" w:rsidRDefault="00AB6DC2" w14:paraId="6AB69F2A" w14:textId="77777777">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Gestionar la Continuidad</w:t>
            </w:r>
          </w:p>
        </w:tc>
      </w:tr>
      <w:tr w:rsidRPr="00E06F76" w:rsidR="00AB6DC2" w:rsidTr="00C0566B" w14:paraId="00837E03" w14:textId="77777777">
        <w:trPr>
          <w:trHeight w:val="45"/>
        </w:trPr>
        <w:tc>
          <w:tcPr>
            <w:cnfStyle w:val="001000000000" w:firstRow="0" w:lastRow="0" w:firstColumn="1" w:lastColumn="0" w:oddVBand="0" w:evenVBand="0" w:oddHBand="0" w:evenHBand="0" w:firstRowFirstColumn="0" w:firstRowLastColumn="0" w:lastRowFirstColumn="0" w:lastRowLastColumn="0"/>
            <w:tcW w:w="560" w:type="pct"/>
          </w:tcPr>
          <w:p w:rsidRPr="00E06F76" w:rsidR="00AB6DC2" w:rsidP="00C0566B" w:rsidRDefault="00AB6DC2" w14:paraId="0AE9237A" w14:textId="77777777">
            <w:pPr>
              <w:jc w:val="right"/>
              <w:rPr>
                <w:b w:val="0"/>
                <w:bCs w:val="0"/>
                <w:sz w:val="22"/>
                <w:szCs w:val="22"/>
                <w:lang w:eastAsia="en-US"/>
              </w:rPr>
            </w:pPr>
            <w:r w:rsidRPr="00E06F76">
              <w:rPr>
                <w:b w:val="0"/>
                <w:bCs w:val="0"/>
                <w:sz w:val="22"/>
                <w:szCs w:val="22"/>
                <w:lang w:eastAsia="en-US"/>
              </w:rPr>
              <w:t>BAI 03</w:t>
            </w:r>
          </w:p>
        </w:tc>
        <w:tc>
          <w:tcPr>
            <w:tcW w:w="2019" w:type="pct"/>
          </w:tcPr>
          <w:p w:rsidRPr="00E06F76" w:rsidR="00AB6DC2" w:rsidP="00C0566B" w:rsidRDefault="00AB6DC2" w14:paraId="2D02A89B" w14:textId="77777777">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Gestionar la Identificación y</w:t>
            </w:r>
            <w:r>
              <w:rPr>
                <w:sz w:val="22"/>
                <w:szCs w:val="22"/>
                <w:lang w:eastAsia="en-US"/>
              </w:rPr>
              <w:t xml:space="preserve"> la</w:t>
            </w:r>
            <w:r w:rsidRPr="00E06F76">
              <w:rPr>
                <w:sz w:val="22"/>
                <w:szCs w:val="22"/>
                <w:lang w:eastAsia="en-US"/>
              </w:rPr>
              <w:t xml:space="preserve"> Construcción de Soluciones</w:t>
            </w:r>
          </w:p>
        </w:tc>
        <w:tc>
          <w:tcPr>
            <w:tcW w:w="518" w:type="pct"/>
          </w:tcPr>
          <w:p w:rsidRPr="00E06F76" w:rsidR="00AB6DC2" w:rsidP="00C0566B" w:rsidRDefault="00AB6DC2" w14:paraId="5A0B1F5E" w14:textId="77777777">
            <w:pPr>
              <w:jc w:val="right"/>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DSS 05</w:t>
            </w:r>
          </w:p>
        </w:tc>
        <w:tc>
          <w:tcPr>
            <w:tcW w:w="1903" w:type="pct"/>
          </w:tcPr>
          <w:p w:rsidRPr="00E06F76" w:rsidR="00AB6DC2" w:rsidP="00C0566B" w:rsidRDefault="00AB6DC2" w14:paraId="77BF49EA" w14:textId="77777777">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 xml:space="preserve">Gestionar </w:t>
            </w:r>
            <w:r>
              <w:rPr>
                <w:sz w:val="22"/>
                <w:szCs w:val="22"/>
                <w:lang w:eastAsia="en-US"/>
              </w:rPr>
              <w:t xml:space="preserve">los </w:t>
            </w:r>
            <w:r w:rsidRPr="00E06F76">
              <w:rPr>
                <w:sz w:val="22"/>
                <w:szCs w:val="22"/>
                <w:lang w:eastAsia="en-US"/>
              </w:rPr>
              <w:t>Servicios de Seguridad</w:t>
            </w:r>
          </w:p>
        </w:tc>
      </w:tr>
      <w:tr w:rsidRPr="00E06F76" w:rsidR="00AB6DC2" w:rsidTr="00C0566B" w14:paraId="57408B7D" w14:textId="77777777">
        <w:trPr>
          <w:trHeight w:val="45"/>
        </w:trPr>
        <w:tc>
          <w:tcPr>
            <w:cnfStyle w:val="001000000000" w:firstRow="0" w:lastRow="0" w:firstColumn="1" w:lastColumn="0" w:oddVBand="0" w:evenVBand="0" w:oddHBand="0" w:evenHBand="0" w:firstRowFirstColumn="0" w:firstRowLastColumn="0" w:lastRowFirstColumn="0" w:lastRowLastColumn="0"/>
            <w:tcW w:w="560" w:type="pct"/>
          </w:tcPr>
          <w:p w:rsidRPr="00E06F76" w:rsidR="00AB6DC2" w:rsidP="00C0566B" w:rsidRDefault="00AB6DC2" w14:paraId="4F85F110" w14:textId="77777777">
            <w:pPr>
              <w:jc w:val="right"/>
              <w:rPr>
                <w:b w:val="0"/>
                <w:bCs w:val="0"/>
                <w:sz w:val="22"/>
                <w:szCs w:val="22"/>
                <w:lang w:eastAsia="en-US"/>
              </w:rPr>
            </w:pPr>
            <w:r w:rsidRPr="00E06F76">
              <w:rPr>
                <w:b w:val="0"/>
                <w:bCs w:val="0"/>
                <w:sz w:val="22"/>
                <w:szCs w:val="22"/>
                <w:lang w:eastAsia="en-US"/>
              </w:rPr>
              <w:t>BAI 04</w:t>
            </w:r>
          </w:p>
        </w:tc>
        <w:tc>
          <w:tcPr>
            <w:tcW w:w="2019" w:type="pct"/>
          </w:tcPr>
          <w:p w:rsidRPr="00E06F76" w:rsidR="00AB6DC2" w:rsidP="00C0566B" w:rsidRDefault="00AB6DC2" w14:paraId="607DC096" w14:textId="77777777">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Gestionar la Disponibilidad y la Capacidad</w:t>
            </w:r>
          </w:p>
        </w:tc>
        <w:tc>
          <w:tcPr>
            <w:tcW w:w="518" w:type="pct"/>
          </w:tcPr>
          <w:p w:rsidRPr="00E06F76" w:rsidR="00AB6DC2" w:rsidP="00C0566B" w:rsidRDefault="00AB6DC2" w14:paraId="535234A0" w14:textId="77777777">
            <w:pPr>
              <w:jc w:val="right"/>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DSS 06</w:t>
            </w:r>
          </w:p>
        </w:tc>
        <w:tc>
          <w:tcPr>
            <w:tcW w:w="1903" w:type="pct"/>
          </w:tcPr>
          <w:p w:rsidRPr="00E06F76" w:rsidR="00AB6DC2" w:rsidP="00C0566B" w:rsidRDefault="00AB6DC2" w14:paraId="13B9BAD0" w14:textId="77777777">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06F76">
              <w:rPr>
                <w:sz w:val="22"/>
                <w:szCs w:val="22"/>
                <w:lang w:eastAsia="en-US"/>
              </w:rPr>
              <w:t xml:space="preserve">Gestionar </w:t>
            </w:r>
            <w:r>
              <w:rPr>
                <w:sz w:val="22"/>
                <w:szCs w:val="22"/>
                <w:lang w:eastAsia="en-US"/>
              </w:rPr>
              <w:t xml:space="preserve">los </w:t>
            </w:r>
            <w:r w:rsidRPr="00E06F76">
              <w:rPr>
                <w:sz w:val="22"/>
                <w:szCs w:val="22"/>
                <w:lang w:eastAsia="en-US"/>
              </w:rPr>
              <w:t>Controles de</w:t>
            </w:r>
            <w:r>
              <w:rPr>
                <w:sz w:val="22"/>
                <w:szCs w:val="22"/>
                <w:lang w:eastAsia="en-US"/>
              </w:rPr>
              <w:t xml:space="preserve"> los </w:t>
            </w:r>
            <w:r w:rsidRPr="00E06F76">
              <w:rPr>
                <w:sz w:val="22"/>
                <w:szCs w:val="22"/>
                <w:lang w:eastAsia="en-US"/>
              </w:rPr>
              <w:t>Proceso</w:t>
            </w:r>
            <w:r>
              <w:rPr>
                <w:sz w:val="22"/>
                <w:szCs w:val="22"/>
                <w:lang w:eastAsia="en-US"/>
              </w:rPr>
              <w:t>s</w:t>
            </w:r>
            <w:r w:rsidRPr="00E06F76">
              <w:rPr>
                <w:sz w:val="22"/>
                <w:szCs w:val="22"/>
                <w:lang w:eastAsia="en-US"/>
              </w:rPr>
              <w:t xml:space="preserve"> de</w:t>
            </w:r>
            <w:r>
              <w:rPr>
                <w:sz w:val="22"/>
                <w:szCs w:val="22"/>
                <w:lang w:eastAsia="en-US"/>
              </w:rPr>
              <w:t xml:space="preserve"> la Empresa</w:t>
            </w:r>
          </w:p>
        </w:tc>
      </w:tr>
    </w:tbl>
    <w:p w:rsidRPr="006F05E0" w:rsidR="00AB6DC2" w:rsidP="00AB6DC2" w:rsidRDefault="00AB6DC2" w14:paraId="623410A7" w14:textId="77777777">
      <w:pPr>
        <w:ind w:left="284"/>
        <w:rPr>
          <w:sz w:val="16"/>
          <w:szCs w:val="16"/>
        </w:rPr>
      </w:pPr>
      <w:r w:rsidRPr="006F05E0">
        <w:rPr>
          <w:sz w:val="16"/>
          <w:szCs w:val="16"/>
        </w:rPr>
        <w:t>Esta tabla se fundamenta en COBIT 5, en caso de usar COBIT 2019 se deben utilizar los equivalentes</w:t>
      </w:r>
    </w:p>
    <w:bookmarkEnd w:id="0"/>
    <w:p w:rsidR="00AB6DC2" w:rsidP="00AB6DC2" w:rsidRDefault="00AB6DC2" w14:paraId="026FB322" w14:textId="77777777">
      <w:pPr>
        <w:pStyle w:val="Prrafodelista"/>
        <w:rPr>
          <w:rFonts w:ascii="Cambria" w:hAnsi="Cambria"/>
          <w:sz w:val="24"/>
          <w:szCs w:val="24"/>
        </w:rPr>
      </w:pPr>
    </w:p>
    <w:p w:rsidR="00A969E5" w:rsidP="00AB6DC2" w:rsidRDefault="00A969E5" w14:paraId="45536363" w14:textId="77777777">
      <w:pPr>
        <w:pStyle w:val="Prrafodelista"/>
        <w:ind w:left="0"/>
        <w:jc w:val="both"/>
        <w:rPr>
          <w:rFonts w:ascii="Cambria" w:hAnsi="Cambria"/>
          <w:sz w:val="24"/>
          <w:szCs w:val="24"/>
        </w:rPr>
      </w:pPr>
    </w:p>
    <w:p w:rsidR="00A969E5" w:rsidP="00AB6DC2" w:rsidRDefault="00A969E5" w14:paraId="6A4B6F72" w14:textId="77777777">
      <w:pPr>
        <w:pStyle w:val="Prrafodelista"/>
        <w:ind w:left="0"/>
        <w:jc w:val="both"/>
        <w:rPr>
          <w:rFonts w:ascii="Cambria" w:hAnsi="Cambria"/>
          <w:sz w:val="24"/>
          <w:szCs w:val="24"/>
        </w:rPr>
      </w:pPr>
    </w:p>
    <w:p w:rsidR="00A969E5" w:rsidP="00AB6DC2" w:rsidRDefault="00A969E5" w14:paraId="63B6630F" w14:textId="77777777">
      <w:pPr>
        <w:pStyle w:val="Prrafodelista"/>
        <w:ind w:left="0"/>
        <w:jc w:val="both"/>
        <w:rPr>
          <w:rFonts w:ascii="Cambria" w:hAnsi="Cambria"/>
          <w:sz w:val="24"/>
          <w:szCs w:val="24"/>
        </w:rPr>
      </w:pPr>
    </w:p>
    <w:p w:rsidR="00AB6DC2" w:rsidP="00AB6DC2" w:rsidRDefault="00AB6DC2" w14:paraId="1237D860" w14:textId="37C0F203">
      <w:pPr>
        <w:pStyle w:val="Prrafodelista"/>
        <w:ind w:left="0"/>
        <w:jc w:val="both"/>
        <w:rPr>
          <w:rFonts w:ascii="Cambria" w:hAnsi="Cambria"/>
          <w:sz w:val="24"/>
          <w:szCs w:val="24"/>
        </w:rPr>
      </w:pPr>
      <w:r>
        <w:rPr>
          <w:rFonts w:ascii="Cambria" w:hAnsi="Cambria"/>
          <w:sz w:val="24"/>
          <w:szCs w:val="24"/>
        </w:rPr>
        <w:lastRenderedPageBreak/>
        <w:t xml:space="preserve">Sobre el párrafo de la </w:t>
      </w:r>
      <w:r w:rsidR="00A969E5">
        <w:rPr>
          <w:rFonts w:ascii="Cambria" w:hAnsi="Cambria"/>
          <w:sz w:val="24"/>
          <w:szCs w:val="24"/>
        </w:rPr>
        <w:t>Resolución</w:t>
      </w:r>
      <w:r>
        <w:rPr>
          <w:rFonts w:ascii="Cambria" w:hAnsi="Cambria"/>
          <w:sz w:val="24"/>
          <w:szCs w:val="24"/>
        </w:rPr>
        <w:t xml:space="preserve"> que indica </w:t>
      </w:r>
      <w:r w:rsidR="00A969E5">
        <w:rPr>
          <w:rFonts w:ascii="Cambria" w:hAnsi="Cambria"/>
          <w:sz w:val="24"/>
          <w:szCs w:val="24"/>
        </w:rPr>
        <w:t>que:</w:t>
      </w:r>
    </w:p>
    <w:p w:rsidR="00AB6DC2" w:rsidP="00AB6DC2" w:rsidRDefault="00AB6DC2" w14:paraId="03749720" w14:textId="77777777">
      <w:pPr>
        <w:pStyle w:val="Prrafodelista"/>
        <w:ind w:left="0"/>
        <w:jc w:val="both"/>
        <w:rPr>
          <w:rFonts w:ascii="Cambria" w:hAnsi="Cambria"/>
          <w:sz w:val="24"/>
          <w:szCs w:val="24"/>
        </w:rPr>
      </w:pPr>
    </w:p>
    <w:p w:rsidRPr="00A969E5" w:rsidR="00AB6DC2" w:rsidP="00AB6DC2" w:rsidRDefault="00AB6DC2" w14:paraId="2AD64C3E" w14:textId="095CB873">
      <w:pPr>
        <w:pStyle w:val="Prrafodelista"/>
        <w:ind w:left="708"/>
        <w:jc w:val="both"/>
        <w:rPr>
          <w:rFonts w:ascii="Cambria" w:hAnsi="Cambria"/>
          <w:sz w:val="24"/>
          <w:szCs w:val="24"/>
        </w:rPr>
      </w:pPr>
      <w:r w:rsidRPr="00A969E5">
        <w:rPr>
          <w:rFonts w:ascii="Cambria" w:hAnsi="Cambria"/>
          <w:sz w:val="24"/>
          <w:szCs w:val="24"/>
        </w:rPr>
        <w:t xml:space="preserve">“En caso de que el sujeto obligado ya cuente con una certificación emitida por un organismo o entidad reconocida internacionalmente (lo cual deberá demostrar de esa manera), podrá solicitar su reconocimiento ante la SUGEF, en sustitución del informe de auditor CISA requerido. No obstante, para esto deberá hacer la solicitud ante la SUGEF, demostrando que tal certificación cumple con lo requerido en esta resolución y que la certificación se encuentra actualizada. En caso de que la certificación y documentos relacionados se hayan emitido en un idioma diferente del español, se deberá acompañar de su traducción </w:t>
      </w:r>
      <w:r w:rsidR="00926E57">
        <w:rPr>
          <w:rFonts w:ascii="Cambria" w:hAnsi="Cambria"/>
          <w:sz w:val="24"/>
          <w:szCs w:val="24"/>
        </w:rPr>
        <w:t>oficial</w:t>
      </w:r>
      <w:r w:rsidRPr="00A969E5">
        <w:rPr>
          <w:rFonts w:ascii="Cambria" w:hAnsi="Cambria"/>
          <w:sz w:val="24"/>
          <w:szCs w:val="24"/>
        </w:rPr>
        <w:t xml:space="preserve">.” </w:t>
      </w:r>
    </w:p>
    <w:p w:rsidR="00AB6DC2" w:rsidP="00AB6DC2" w:rsidRDefault="00AB6DC2" w14:paraId="7A37A10A" w14:textId="77777777">
      <w:pPr>
        <w:pStyle w:val="Prrafodelista"/>
        <w:ind w:left="0"/>
        <w:jc w:val="both"/>
        <w:rPr>
          <w:rFonts w:ascii="Cambria" w:hAnsi="Cambria"/>
          <w:sz w:val="24"/>
          <w:szCs w:val="24"/>
        </w:rPr>
      </w:pPr>
    </w:p>
    <w:p w:rsidR="00AB6DC2" w:rsidP="00AB6DC2" w:rsidRDefault="00AB6DC2" w14:paraId="4329F784" w14:textId="2E947CCF">
      <w:pPr>
        <w:pStyle w:val="Prrafodelista"/>
        <w:ind w:left="0"/>
        <w:jc w:val="both"/>
        <w:rPr>
          <w:rFonts w:ascii="Cambria" w:hAnsi="Cambria"/>
          <w:sz w:val="24"/>
          <w:szCs w:val="24"/>
        </w:rPr>
      </w:pPr>
      <w:r>
        <w:rPr>
          <w:rFonts w:ascii="Cambria" w:hAnsi="Cambria"/>
          <w:sz w:val="24"/>
          <w:szCs w:val="24"/>
        </w:rPr>
        <w:t xml:space="preserve">Se modifica </w:t>
      </w:r>
      <w:r w:rsidR="00A969E5">
        <w:rPr>
          <w:rFonts w:ascii="Cambria" w:hAnsi="Cambria"/>
          <w:sz w:val="24"/>
          <w:szCs w:val="24"/>
        </w:rPr>
        <w:t xml:space="preserve">de la </w:t>
      </w:r>
      <w:r>
        <w:rPr>
          <w:rFonts w:ascii="Cambria" w:hAnsi="Cambria"/>
          <w:sz w:val="24"/>
          <w:szCs w:val="24"/>
        </w:rPr>
        <w:t>siguiente</w:t>
      </w:r>
      <w:r w:rsidR="00A969E5">
        <w:rPr>
          <w:rFonts w:ascii="Cambria" w:hAnsi="Cambria"/>
          <w:sz w:val="24"/>
          <w:szCs w:val="24"/>
        </w:rPr>
        <w:t xml:space="preserve"> manera</w:t>
      </w:r>
      <w:r>
        <w:rPr>
          <w:rFonts w:ascii="Cambria" w:hAnsi="Cambria"/>
          <w:sz w:val="24"/>
          <w:szCs w:val="24"/>
        </w:rPr>
        <w:t xml:space="preserve">: </w:t>
      </w:r>
    </w:p>
    <w:p w:rsidRPr="00AE7C12" w:rsidR="00AB6DC2" w:rsidP="00AB6DC2" w:rsidRDefault="00A969E5" w14:paraId="4D98B0A9" w14:textId="043F671E">
      <w:pPr>
        <w:spacing w:line="240" w:lineRule="auto"/>
        <w:ind w:left="708"/>
        <w:rPr>
          <w:sz w:val="24"/>
        </w:rPr>
      </w:pPr>
      <w:r>
        <w:rPr>
          <w:sz w:val="24"/>
        </w:rPr>
        <w:t>“</w:t>
      </w:r>
      <w:r w:rsidRPr="00AE7C12" w:rsidR="00AB6DC2">
        <w:rPr>
          <w:sz w:val="24"/>
        </w:rPr>
        <w:t xml:space="preserve">En caso de que el sujeto obligado cuente con una certificación </w:t>
      </w:r>
      <w:r w:rsidR="0080517B">
        <w:rPr>
          <w:sz w:val="24"/>
        </w:rPr>
        <w:t xml:space="preserve">vigente </w:t>
      </w:r>
      <w:r w:rsidRPr="00AE7C12" w:rsidR="00AB6DC2">
        <w:rPr>
          <w:sz w:val="24"/>
        </w:rPr>
        <w:t>emitida por un organismo o entidad recon</w:t>
      </w:r>
      <w:r>
        <w:rPr>
          <w:sz w:val="24"/>
        </w:rPr>
        <w:t>o</w:t>
      </w:r>
      <w:r w:rsidRPr="00AE7C12" w:rsidR="00AB6DC2">
        <w:rPr>
          <w:sz w:val="24"/>
        </w:rPr>
        <w:t xml:space="preserve">cida internacionalmente, el auditor CISA podrá utilizar en su revisión la información o los insumos generados de la certificación para demostrar fehacientemente el cumplimiento requerido por la </w:t>
      </w:r>
      <w:r w:rsidR="0080517B">
        <w:rPr>
          <w:sz w:val="24"/>
        </w:rPr>
        <w:t>Resolución</w:t>
      </w:r>
      <w:r w:rsidRPr="00AE7C12" w:rsidR="00AB6DC2">
        <w:rPr>
          <w:sz w:val="24"/>
        </w:rPr>
        <w:t xml:space="preserve"> sobre cada uno de los procesos </w:t>
      </w:r>
      <w:proofErr w:type="spellStart"/>
      <w:r w:rsidRPr="00AE7C12" w:rsidR="00AB6DC2">
        <w:rPr>
          <w:sz w:val="24"/>
        </w:rPr>
        <w:t>Cobit</w:t>
      </w:r>
      <w:proofErr w:type="spellEnd"/>
      <w:r w:rsidRPr="00AE7C12" w:rsidR="00AB6DC2">
        <w:rPr>
          <w:sz w:val="24"/>
        </w:rPr>
        <w:t xml:space="preserve">. En el caso de que la certificación y documentos relacionados se hayan </w:t>
      </w:r>
      <w:r w:rsidRPr="00BC57CC" w:rsidR="00AB6DC2">
        <w:rPr>
          <w:sz w:val="24"/>
        </w:rPr>
        <w:t>emitido en un idioma diferente del español, se deberá acompañar de su traducción</w:t>
      </w:r>
      <w:r w:rsidR="00926E57">
        <w:rPr>
          <w:sz w:val="24"/>
        </w:rPr>
        <w:t xml:space="preserve"> oficial</w:t>
      </w:r>
      <w:r w:rsidRPr="00BC57CC" w:rsidR="00AB6DC2">
        <w:rPr>
          <w:sz w:val="24"/>
        </w:rPr>
        <w:t>.</w:t>
      </w:r>
      <w:r w:rsidRPr="00BC57CC">
        <w:rPr>
          <w:sz w:val="24"/>
        </w:rPr>
        <w:t>”</w:t>
      </w:r>
    </w:p>
    <w:p w:rsidRPr="006F05E0" w:rsidR="00AB6DC2" w:rsidP="00AB6DC2" w:rsidRDefault="00AB6DC2" w14:paraId="75BE1D61" w14:textId="77777777">
      <w:pPr>
        <w:pStyle w:val="Prrafodelista"/>
        <w:rPr>
          <w:rFonts w:ascii="Cambria" w:hAnsi="Cambria"/>
          <w:sz w:val="24"/>
          <w:szCs w:val="24"/>
          <w:lang w:val="es-ES"/>
        </w:rPr>
      </w:pPr>
    </w:p>
    <w:p w:rsidRPr="002E2B0A" w:rsidR="006972C9" w:rsidP="001B6D55" w:rsidRDefault="006972C9" w14:paraId="35063E3B" w14:textId="77777777">
      <w:pPr>
        <w:pStyle w:val="Texto"/>
        <w:spacing w:before="0" w:after="0" w:line="240" w:lineRule="auto"/>
        <w:rPr>
          <w:sz w:val="24"/>
        </w:rPr>
      </w:pPr>
      <w:r w:rsidRPr="002E2B0A">
        <w:rPr>
          <w:sz w:val="24"/>
        </w:rPr>
        <w:t>Atentamente,</w:t>
      </w:r>
    </w:p>
    <w:p w:rsidRPr="002E2B0A" w:rsidR="006972C9" w:rsidP="001B6D55" w:rsidRDefault="006972C9" w14:paraId="4B8E3B78" w14:textId="7715189E">
      <w:pPr>
        <w:spacing w:line="240" w:lineRule="auto"/>
        <w:rPr>
          <w:sz w:val="24"/>
        </w:rPr>
      </w:pPr>
    </w:p>
    <w:p w:rsidR="00326EE5" w:rsidP="001B6D55" w:rsidRDefault="0080517B" w14:paraId="2A8C42DC" w14:textId="7F5E5D21">
      <w:pPr>
        <w:pStyle w:val="Negrita"/>
        <w:spacing w:line="240" w:lineRule="auto"/>
        <w:jc w:val="left"/>
        <w:rPr>
          <w:b w:val="0"/>
          <w:sz w:val="24"/>
        </w:rPr>
      </w:pPr>
      <w:r>
        <w:rPr>
          <w:noProof/>
          <w:lang w:val="es-CR" w:eastAsia="es-CR"/>
        </w:rPr>
        <w:drawing>
          <wp:anchor distT="0" distB="0" distL="114300" distR="114300" simplePos="0" relativeHeight="251659264" behindDoc="1" locked="0" layoutInCell="1" allowOverlap="1" wp14:editId="6227C561" wp14:anchorId="0D146B89">
            <wp:simplePos x="0" y="0"/>
            <wp:positionH relativeFrom="margin">
              <wp:align>left</wp:align>
            </wp:positionH>
            <wp:positionV relativeFrom="paragraph">
              <wp:posOffset>5715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5C0820" w:rsidP="001B6D55" w:rsidRDefault="005C0820" w14:paraId="6271FC37" w14:textId="77777777">
      <w:pPr>
        <w:pStyle w:val="Negrita"/>
        <w:spacing w:line="240" w:lineRule="auto"/>
        <w:jc w:val="left"/>
        <w:rPr>
          <w:b w:val="0"/>
          <w:sz w:val="24"/>
        </w:rPr>
      </w:pPr>
    </w:p>
    <w:p w:rsidR="0080517B" w:rsidP="001B6D55" w:rsidRDefault="0080517B" w14:paraId="5646B21D" w14:textId="77777777">
      <w:pPr>
        <w:pStyle w:val="Negrita"/>
        <w:spacing w:line="240" w:lineRule="auto"/>
        <w:jc w:val="left"/>
        <w:rPr>
          <w:b w:val="0"/>
          <w:sz w:val="24"/>
        </w:rPr>
      </w:pPr>
    </w:p>
    <w:p w:rsidRPr="002733E1" w:rsidR="00326EE5" w:rsidP="001B6D55" w:rsidRDefault="0080517B" w14:paraId="169BB583" w14:textId="345259AB">
      <w:pPr>
        <w:pStyle w:val="Negrita"/>
        <w:spacing w:line="240" w:lineRule="auto"/>
        <w:jc w:val="left"/>
        <w:rPr>
          <w:b w:val="0"/>
          <w:sz w:val="24"/>
        </w:rPr>
      </w:pPr>
      <w:r>
        <w:rPr>
          <w:b w:val="0"/>
          <w:sz w:val="24"/>
        </w:rPr>
        <w:t>Rocío Aguilar Montoya</w:t>
      </w:r>
    </w:p>
    <w:p w:rsidR="00326EE5" w:rsidP="001B6D55" w:rsidRDefault="0080517B" w14:paraId="6E8F2BA4" w14:textId="5AF9983E">
      <w:pPr>
        <w:pStyle w:val="Negrita"/>
        <w:spacing w:line="240" w:lineRule="auto"/>
        <w:jc w:val="left"/>
        <w:rPr>
          <w:noProof/>
          <w:lang w:val="es-CR" w:eastAsia="es-CR"/>
        </w:rPr>
      </w:pPr>
      <w:r>
        <w:rPr>
          <w:sz w:val="24"/>
        </w:rPr>
        <w:t>Superi</w:t>
      </w:r>
      <w:r w:rsidR="00326EE5">
        <w:rPr>
          <w:sz w:val="24"/>
        </w:rPr>
        <w:t>ntendente</w:t>
      </w:r>
      <w:r w:rsidR="001B6D55">
        <w:rPr>
          <w:sz w:val="24"/>
        </w:rPr>
        <w:t xml:space="preserve"> General</w:t>
      </w:r>
      <w:r w:rsidRPr="00A35D0A" w:rsidR="00326EE5">
        <w:rPr>
          <w:sz w:val="24"/>
        </w:rPr>
        <w:t xml:space="preserve"> </w:t>
      </w:r>
      <w:r w:rsidR="00326EE5">
        <w:rPr>
          <w:noProof/>
          <w:lang w:val="es-CR" w:eastAsia="es-CR"/>
        </w:rPr>
        <w:t xml:space="preserve"> </w:t>
      </w:r>
    </w:p>
    <w:p w:rsidR="00326EE5" w:rsidP="001B6D55" w:rsidRDefault="00326EE5" w14:paraId="058A369B" w14:textId="057D9DC4">
      <w:pPr>
        <w:pStyle w:val="Negrita"/>
        <w:spacing w:line="240" w:lineRule="auto"/>
        <w:jc w:val="left"/>
        <w:rPr>
          <w:sz w:val="24"/>
        </w:rPr>
      </w:pPr>
    </w:p>
    <w:p w:rsidR="006972C9" w:rsidP="001B6D55" w:rsidRDefault="006972C9" w14:paraId="292547A1" w14:textId="2BBB1618">
      <w:pPr>
        <w:pStyle w:val="Negrita"/>
        <w:spacing w:line="240" w:lineRule="auto"/>
      </w:pPr>
    </w:p>
    <w:p w:rsidR="006972C9" w:rsidP="001B6D55" w:rsidRDefault="006972C9" w14:paraId="1639C448" w14:textId="77777777">
      <w:pPr>
        <w:pStyle w:val="Negrita"/>
        <w:spacing w:line="240" w:lineRule="auto"/>
      </w:pPr>
    </w:p>
    <w:p w:rsidR="006972C9" w:rsidP="001B6D55" w:rsidRDefault="006972C9" w14:paraId="45B1B55C" w14:textId="77777777">
      <w:pPr>
        <w:pStyle w:val="Negrita"/>
        <w:spacing w:line="240" w:lineRule="auto"/>
      </w:pPr>
    </w:p>
    <w:p w:rsidRPr="007D3B3A" w:rsidR="005C0820" w:rsidP="005C0820" w:rsidRDefault="005C0820" w14:paraId="25B74BB6" w14:textId="77777777">
      <w:pPr>
        <w:pStyle w:val="Texto"/>
        <w:spacing w:before="0" w:after="0" w:line="240" w:lineRule="auto"/>
        <w:contextualSpacing/>
        <w:rPr>
          <w:i/>
          <w:sz w:val="16"/>
          <w:szCs w:val="16"/>
          <w:lang w:val="en-US"/>
        </w:rPr>
      </w:pPr>
      <w:r w:rsidRPr="00A969E5">
        <w:rPr>
          <w:i/>
          <w:sz w:val="16"/>
          <w:szCs w:val="16"/>
          <w:lang w:val="en-US"/>
        </w:rPr>
        <w:t>RAM/RCA/GAM/JCB/RBS.</w:t>
      </w:r>
    </w:p>
    <w:p w:rsidRPr="005C0820" w:rsidR="006972C9" w:rsidP="006972C9" w:rsidRDefault="006972C9" w14:paraId="5B976D1C" w14:textId="77777777">
      <w:pPr>
        <w:rPr>
          <w:lang w:val="en-US"/>
        </w:rPr>
      </w:pPr>
    </w:p>
    <w:p w:rsidRPr="005C0820" w:rsidR="006972C9" w:rsidP="006972C9" w:rsidRDefault="006972C9" w14:paraId="014D0B4A" w14:textId="77777777">
      <w:pPr>
        <w:rPr>
          <w:lang w:val="en-US"/>
        </w:rPr>
      </w:pPr>
    </w:p>
    <w:p w:rsidRPr="005C0820" w:rsidR="006972C9" w:rsidP="006972C9" w:rsidRDefault="006972C9" w14:paraId="03B6D461" w14:textId="77777777">
      <w:pPr>
        <w:rPr>
          <w:lang w:val="en-US"/>
        </w:rPr>
      </w:pPr>
    </w:p>
    <w:p w:rsidRPr="005C0820" w:rsidR="00AF06C5" w:rsidP="006972C9" w:rsidRDefault="006972C9" w14:paraId="17FE2D16" w14:textId="77777777">
      <w:pPr>
        <w:tabs>
          <w:tab w:val="left" w:pos="7187"/>
        </w:tabs>
        <w:rPr>
          <w:lang w:val="en-US"/>
        </w:rPr>
      </w:pPr>
      <w:r w:rsidRPr="005C0820">
        <w:rPr>
          <w:lang w:val="en-US"/>
        </w:rPr>
        <w:tab/>
      </w:r>
    </w:p>
    <w:sectPr w:rsidRPr="005C0820"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25F7F" w14:textId="77777777" w:rsidR="005C0820" w:rsidRDefault="005C0820" w:rsidP="009349F3">
      <w:pPr>
        <w:spacing w:line="240" w:lineRule="auto"/>
      </w:pPr>
      <w:r>
        <w:separator/>
      </w:r>
    </w:p>
  </w:endnote>
  <w:endnote w:type="continuationSeparator" w:id="0">
    <w:p w14:paraId="11D8985B" w14:textId="77777777" w:rsidR="005C0820" w:rsidRDefault="005C0820"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58B53974"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120630D8" w14:textId="77777777">
      <w:tc>
        <w:tcPr>
          <w:tcW w:w="2942" w:type="dxa"/>
        </w:tcPr>
        <w:p w:rsidR="00DA2424" w:rsidP="00DA2424" w:rsidRDefault="00DA2424" w14:paraId="6A09A1F5" w14:textId="77777777">
          <w:pPr>
            <w:pStyle w:val="Piedepgina"/>
            <w:rPr>
              <w:b/>
              <w:color w:val="7F7F7F" w:themeColor="text1" w:themeTint="80"/>
              <w:sz w:val="16"/>
              <w:szCs w:val="16"/>
            </w:rPr>
          </w:pPr>
          <w:r>
            <w:rPr>
              <w:b/>
              <w:color w:val="7F7F7F" w:themeColor="text1" w:themeTint="80"/>
              <w:sz w:val="16"/>
              <w:szCs w:val="16"/>
            </w:rPr>
            <w:t>Teléfono: (506) 2243-4848</w:t>
          </w:r>
        </w:p>
        <w:p w:rsidR="00DA2424" w:rsidP="00DA2424" w:rsidRDefault="00DA2424" w14:paraId="0E972393"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A2424" w:rsidRDefault="00517D62" w14:paraId="573C83A3" w14:textId="77777777">
          <w:pPr>
            <w:pStyle w:val="Piedepgina"/>
            <w:rPr>
              <w:b/>
              <w:color w:val="7F7F7F" w:themeColor="text1" w:themeTint="80"/>
              <w:sz w:val="16"/>
              <w:szCs w:val="16"/>
            </w:rPr>
          </w:pPr>
        </w:p>
      </w:tc>
      <w:tc>
        <w:tcPr>
          <w:tcW w:w="2943" w:type="dxa"/>
        </w:tcPr>
        <w:p w:rsidRPr="009349F3" w:rsidR="00517D62" w:rsidP="00855792" w:rsidRDefault="00517D62" w14:paraId="4792D7C2"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676C1B9E"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396C7D0D"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ED4B62">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128C8F23"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4326D43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2A7A5" w14:textId="77777777" w:rsidR="005C0820" w:rsidRDefault="005C0820" w:rsidP="009349F3">
      <w:pPr>
        <w:spacing w:line="240" w:lineRule="auto"/>
      </w:pPr>
      <w:r>
        <w:separator/>
      </w:r>
    </w:p>
  </w:footnote>
  <w:footnote w:type="continuationSeparator" w:id="0">
    <w:p w14:paraId="573A5B98" w14:textId="77777777" w:rsidR="005C0820" w:rsidRDefault="005C0820"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32E88AF9"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09436576" w14:textId="77777777">
    <w:pPr>
      <w:pStyle w:val="Encabezado"/>
    </w:pPr>
    <w:r>
      <w:ptab w:alignment="center" w:relativeTo="margin" w:leader="none"/>
    </w:r>
    <w:r>
      <w:rPr>
        <w:noProof/>
        <w:lang w:val="es-CR" w:eastAsia="es-CR"/>
      </w:rPr>
      <w:drawing>
        <wp:inline distT="0" distB="0" distL="0" distR="0" wp14:anchorId="115766BA" wp14:editId="610CAA0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200D0AA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FCA307C"/>
    <w:multiLevelType w:val="hybridMultilevel"/>
    <w:tmpl w:val="A100E3CC"/>
    <w:lvl w:ilvl="0" w:tplc="14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0B7355"/>
    <w:multiLevelType w:val="hybridMultilevel"/>
    <w:tmpl w:val="68BC76E8"/>
    <w:lvl w:ilvl="0" w:tplc="140A0019">
      <w:start w:val="1"/>
      <w:numFmt w:val="lowerLetter"/>
      <w:lvlText w:val="%1."/>
      <w:lvlJc w:val="left"/>
      <w:pPr>
        <w:ind w:left="360" w:hanging="360"/>
      </w:pPr>
      <w:rPr>
        <w:rFonts w:hint="default"/>
        <w:b/>
        <w:i w:val="0"/>
        <w:sz w:val="24"/>
        <w:szCs w:val="24"/>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582E342A"/>
    <w:multiLevelType w:val="hybridMultilevel"/>
    <w:tmpl w:val="D368DAB8"/>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6ECF48BB"/>
    <w:multiLevelType w:val="hybridMultilevel"/>
    <w:tmpl w:val="D368DAB8"/>
    <w:lvl w:ilvl="0" w:tplc="140A0019">
      <w:start w:val="1"/>
      <w:numFmt w:val="lowerLetter"/>
      <w:lvlText w:val="%1."/>
      <w:lvlJc w:val="left"/>
      <w:pPr>
        <w:ind w:left="1776" w:hanging="360"/>
      </w:p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6" w15:restartNumberingAfterBreak="0">
    <w:nsid w:val="7A130361"/>
    <w:multiLevelType w:val="hybridMultilevel"/>
    <w:tmpl w:val="F6ACD3BC"/>
    <w:lvl w:ilvl="0" w:tplc="870432FA">
      <w:start w:val="1"/>
      <w:numFmt w:val="decimal"/>
      <w:lvlText w:val="%1."/>
      <w:lvlJc w:val="left"/>
      <w:pPr>
        <w:ind w:left="360" w:hanging="360"/>
      </w:pPr>
      <w:rPr>
        <w:rFonts w:ascii="Cambria" w:hAnsi="Cambria" w:hint="default"/>
        <w:b/>
        <w:i w:val="0"/>
        <w:sz w:val="24"/>
        <w:szCs w:val="24"/>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20"/>
    <w:rsid w:val="001838B0"/>
    <w:rsid w:val="00183F66"/>
    <w:rsid w:val="001B6D55"/>
    <w:rsid w:val="002B02F1"/>
    <w:rsid w:val="002D6ACD"/>
    <w:rsid w:val="00322C6D"/>
    <w:rsid w:val="00326EE5"/>
    <w:rsid w:val="003F0C64"/>
    <w:rsid w:val="004355B7"/>
    <w:rsid w:val="00516F4C"/>
    <w:rsid w:val="00517D62"/>
    <w:rsid w:val="005C0820"/>
    <w:rsid w:val="005F7C14"/>
    <w:rsid w:val="0066384E"/>
    <w:rsid w:val="00663C11"/>
    <w:rsid w:val="006944B8"/>
    <w:rsid w:val="006972C9"/>
    <w:rsid w:val="006A76E1"/>
    <w:rsid w:val="006B5A99"/>
    <w:rsid w:val="007C1A6A"/>
    <w:rsid w:val="007D6B2F"/>
    <w:rsid w:val="0080517B"/>
    <w:rsid w:val="008200B7"/>
    <w:rsid w:val="00852F96"/>
    <w:rsid w:val="00855792"/>
    <w:rsid w:val="00900B79"/>
    <w:rsid w:val="00926E57"/>
    <w:rsid w:val="0093137D"/>
    <w:rsid w:val="009349F3"/>
    <w:rsid w:val="00A969E5"/>
    <w:rsid w:val="00AB6DC2"/>
    <w:rsid w:val="00AF06C5"/>
    <w:rsid w:val="00BC57CC"/>
    <w:rsid w:val="00C81911"/>
    <w:rsid w:val="00C9308D"/>
    <w:rsid w:val="00D672DE"/>
    <w:rsid w:val="00DA2424"/>
    <w:rsid w:val="00DD2EBF"/>
    <w:rsid w:val="00DE2D06"/>
    <w:rsid w:val="00E63D89"/>
    <w:rsid w:val="00ED4B62"/>
    <w:rsid w:val="00FC1B7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9A7E2C"/>
  <w15:chartTrackingRefBased/>
  <w15:docId w15:val="{04529D9B-23A6-4841-A155-A16202AD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930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08D"/>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5C0820"/>
    <w:pPr>
      <w:spacing w:after="160" w:line="259" w:lineRule="auto"/>
      <w:ind w:left="720"/>
      <w:contextualSpacing/>
      <w:jc w:val="left"/>
    </w:pPr>
    <w:rPr>
      <w:rFonts w:asciiTheme="minorHAnsi" w:eastAsiaTheme="minorHAnsi" w:hAnsiTheme="minorHAnsi" w:cstheme="minorBidi"/>
      <w:szCs w:val="22"/>
      <w:lang w:val="es-CR"/>
    </w:rPr>
  </w:style>
  <w:style w:type="character" w:customStyle="1" w:styleId="PrrafodelistaCar">
    <w:name w:val="Párrafo de lista Car"/>
    <w:link w:val="Prrafodelista"/>
    <w:uiPriority w:val="34"/>
    <w:locked/>
    <w:rsid w:val="005C0820"/>
  </w:style>
  <w:style w:type="table" w:styleId="Tablaconcuadrcula1clara">
    <w:name w:val="Grid Table 1 Light"/>
    <w:basedOn w:val="Tablanormal"/>
    <w:uiPriority w:val="46"/>
    <w:rsid w:val="005C0820"/>
    <w:pPr>
      <w:spacing w:after="0" w:line="240" w:lineRule="auto"/>
    </w:pPr>
    <w:rPr>
      <w:rFonts w:ascii="Franklin Gothic Book" w:eastAsia="Calibri" w:hAnsi="Franklin Gothic Book" w:cs="Times New Roman"/>
      <w:sz w:val="20"/>
      <w:szCs w:val="20"/>
      <w:lang w:eastAsia="es-C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5C0820"/>
    <w:rPr>
      <w:sz w:val="16"/>
      <w:szCs w:val="16"/>
    </w:rPr>
  </w:style>
  <w:style w:type="paragraph" w:styleId="Textocomentario">
    <w:name w:val="annotation text"/>
    <w:basedOn w:val="Normal"/>
    <w:link w:val="TextocomentarioCar"/>
    <w:uiPriority w:val="99"/>
    <w:unhideWhenUsed/>
    <w:rsid w:val="005C0820"/>
    <w:pPr>
      <w:spacing w:line="240" w:lineRule="auto"/>
    </w:pPr>
    <w:rPr>
      <w:sz w:val="20"/>
      <w:szCs w:val="20"/>
    </w:rPr>
  </w:style>
  <w:style w:type="character" w:customStyle="1" w:styleId="TextocomentarioCar">
    <w:name w:val="Texto comentario Car"/>
    <w:basedOn w:val="Fuentedeprrafopredeter"/>
    <w:link w:val="Textocomentario"/>
    <w:uiPriority w:val="99"/>
    <w:rsid w:val="005C0820"/>
    <w:rPr>
      <w:rFonts w:ascii="Cambria" w:eastAsia="Times New Roman" w:hAnsi="Cambria"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3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4BDF1EA1994AFC858E2849983C1D4D"/>
        <w:category>
          <w:name w:val="General"/>
          <w:gallery w:val="placeholder"/>
        </w:category>
        <w:types>
          <w:type w:val="bbPlcHdr"/>
        </w:types>
        <w:behaviors>
          <w:behavior w:val="content"/>
        </w:behaviors>
        <w:guid w:val="{62004457-8272-443A-AA7F-3776ED14927B}"/>
      </w:docPartPr>
      <w:docPartBody>
        <w:p w:rsidR="008068E3" w:rsidRDefault="008068E3">
          <w:pPr>
            <w:pStyle w:val="C94BDF1EA1994AFC858E2849983C1D4D"/>
          </w:pPr>
          <w:r w:rsidRPr="001E0779">
            <w:rPr>
              <w:rStyle w:val="Textodelmarcadordeposicin"/>
            </w:rPr>
            <w:t>Haga clic aquí para escribir texto.</w:t>
          </w:r>
        </w:p>
      </w:docPartBody>
    </w:docPart>
    <w:docPart>
      <w:docPartPr>
        <w:name w:val="3BB2C3469EAC495B91264317978655C7"/>
        <w:category>
          <w:name w:val="General"/>
          <w:gallery w:val="placeholder"/>
        </w:category>
        <w:types>
          <w:type w:val="bbPlcHdr"/>
        </w:types>
        <w:behaviors>
          <w:behavior w:val="content"/>
        </w:behaviors>
        <w:guid w:val="{D912977D-E895-4186-9C93-05EBEBA295D1}"/>
      </w:docPartPr>
      <w:docPartBody>
        <w:p w:rsidR="008068E3" w:rsidRDefault="008068E3">
          <w:pPr>
            <w:pStyle w:val="3BB2C3469EAC495B91264317978655C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E3"/>
    <w:rsid w:val="008068E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C94BDF1EA1994AFC858E2849983C1D4D">
    <w:name w:val="C94BDF1EA1994AFC858E2849983C1D4D"/>
  </w:style>
  <w:style w:type="paragraph" w:customStyle="1" w:styleId="3BB2C3469EAC495B91264317978655C7">
    <w:name w:val="3BB2C3469EAC495B9126431797865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SRBBGGiLPkNZQHT6XTXuc4zArEQ6n0PRT9/C5nlApBU=</DigestValue>
    </Reference>
    <Reference Type="http://www.w3.org/2000/09/xmldsig#Object" URI="#idOfficeObject">
      <DigestMethod Algorithm="http://www.w3.org/2001/04/xmlenc#sha256"/>
      <DigestValue>a9NATRrVn0A+MpQk4Gxdwa1M2lW167QQPmEGPA8eVmo=</DigestValue>
    </Reference>
    <Reference Type="http://uri.etsi.org/01903#SignedProperties" URI="#idSignedProperties">
      <Transforms>
        <Transform Algorithm="http://www.w3.org/TR/2001/REC-xml-c14n-20010315"/>
      </Transforms>
      <DigestMethod Algorithm="http://www.w3.org/2001/04/xmlenc#sha256"/>
      <DigestValue>+3NlXlouB4gQkCXri08r+/4ssV9JswebJjeTk93KT7Q=</DigestValue>
    </Reference>
  </SignedInfo>
  <SignatureValue>TcnncJ+gxnJcj1djZg1dm46fjgccxRedFEwGrmRuG76/1U+z1aC/bce36bT8oIpULFSo6JFpsQT0
HPCY4r16ybrd721IUWsW80IkIigUcIUN9Adl8QDdaATY+iZf1OnM3mHp2ajgFZEsORSaVurY8m30
C881oWxz0jE0m9Pb8c4yuAFGHTUVIq7zy+HeA35MB5gYV31a+pI49NjQlbVoDHKJ2xpnCZuA0GwF
IqmbmUseqX/YTOtaewK1m+bmwZqyVNIzPGKcfsIfyXMbWcqI6XU5eTK9ICxVwOZ6Z9v1cme4YVw+
Xxx8Bvcz0X4Mn55ESdaWPr/UKCqYPn6cKPodoQ==</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7yfe1WcmWT7s8MEbVnzkljcGIDdice0odFVZmHvfAME=</DigestValue>
      </Reference>
      <Reference URI="/word/document.xml?ContentType=application/vnd.openxmlformats-officedocument.wordprocessingml.document.main+xml">
        <DigestMethod Algorithm="http://www.w3.org/2001/04/xmlenc#sha256"/>
        <DigestValue>8OXsfTApJQ3OqLZSGHLhvrm4F2ZyfdtPSzUBk1aSAyE=</DigestValue>
      </Reference>
      <Reference URI="/word/endnotes.xml?ContentType=application/vnd.openxmlformats-officedocument.wordprocessingml.endnotes+xml">
        <DigestMethod Algorithm="http://www.w3.org/2001/04/xmlenc#sha256"/>
        <DigestValue>2gS++RTEwNYJ6ueVtn8R/JI5seXHH+ClVI27qirAow8=</DigestValue>
      </Reference>
      <Reference URI="/word/fontTable.xml?ContentType=application/vnd.openxmlformats-officedocument.wordprocessingml.fontTable+xml">
        <DigestMethod Algorithm="http://www.w3.org/2001/04/xmlenc#sha256"/>
        <DigestValue>+DvYgeXagw1KD+wgZsXC6DxYOOeMiQV9qJgH22hrEnY=</DigestValue>
      </Reference>
      <Reference URI="/word/footer1.xml?ContentType=application/vnd.openxmlformats-officedocument.wordprocessingml.footer+xml">
        <DigestMethod Algorithm="http://www.w3.org/2001/04/xmlenc#sha256"/>
        <DigestValue>hIUjtMlTGv/MbfV4PdTVnQ8vIjIF2u39tPhcrbnrbCk=</DigestValue>
      </Reference>
      <Reference URI="/word/footer2.xml?ContentType=application/vnd.openxmlformats-officedocument.wordprocessingml.footer+xml">
        <DigestMethod Algorithm="http://www.w3.org/2001/04/xmlenc#sha256"/>
        <DigestValue>YZJ34t1XxP/cqP8jd2GO4U5n/UBGYdp7+/N1vPaYYkQ=</DigestValue>
      </Reference>
      <Reference URI="/word/footer3.xml?ContentType=application/vnd.openxmlformats-officedocument.wordprocessingml.footer+xml">
        <DigestMethod Algorithm="http://www.w3.org/2001/04/xmlenc#sha256"/>
        <DigestValue>LJwA/s8EGUtrsVCY9PK0QIxZKO9YAbxRVtyJEZLrzfY=</DigestValue>
      </Reference>
      <Reference URI="/word/footnotes.xml?ContentType=application/vnd.openxmlformats-officedocument.wordprocessingml.footnotes+xml">
        <DigestMethod Algorithm="http://www.w3.org/2001/04/xmlenc#sha256"/>
        <DigestValue>qHQpqIMgBjgVoGi4e6m43XUOdA+CW45q1fMBTN3RKg0=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SjJWStJqvdBVUUwzYwWEekEaTXvfoPPuoS0AwYcS54w=</DigestValue>
      </Reference>
      <Reference URI="/word/glossary/fontTable.xml?ContentType=application/vnd.openxmlformats-officedocument.wordprocessingml.fontTable+xml">
        <DigestMethod Algorithm="http://www.w3.org/2001/04/xmlenc#sha256"/>
        <DigestValue>+DvYgeXagw1KD+wgZsXC6DxYOOeMiQV9qJgH22hrEnY=</DigestValue>
      </Reference>
      <Reference URI="/word/glossary/settings.xml?ContentType=application/vnd.openxmlformats-officedocument.wordprocessingml.settings+xml">
        <DigestMethod Algorithm="http://www.w3.org/2001/04/xmlenc#sha256"/>
        <DigestValue>eqczDK3xJkkyN0O35Cn7+7Y8MRVP3lIe9EvOZvKmn50=</DigestValue>
      </Reference>
      <Reference URI="/word/glossary/styles.xml?ContentType=application/vnd.openxmlformats-officedocument.wordprocessingml.styles+xml">
        <DigestMethod Algorithm="http://www.w3.org/2001/04/xmlenc#sha256"/>
        <DigestValue>u60OTlvFcty1SR3AQG7O7/8qCPeq7i48tQ4LXaueKLk=</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QNZQFKJI4d6KjEU2cEjLrHC4sP5F+WEUv/7VBJMiLPo=</DigestValue>
      </Reference>
      <Reference URI="/word/header2.xml?ContentType=application/vnd.openxmlformats-officedocument.wordprocessingml.header+xml">
        <DigestMethod Algorithm="http://www.w3.org/2001/04/xmlenc#sha256"/>
        <DigestValue>jX/KLqP44XTdmffvoibJiSOSbfFhWySbqN3V73esuSM=</DigestValue>
      </Reference>
      <Reference URI="/word/header3.xml?ContentType=application/vnd.openxmlformats-officedocument.wordprocessingml.header+xml">
        <DigestMethod Algorithm="http://www.w3.org/2001/04/xmlenc#sha256"/>
        <DigestValue>ov2EQNxUUpmDeRZvtkz2YP5W7I7iDhoVhgQsU0Y8iS8=</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iaVf9zWuycatNIpC9UmWZ+gkvKhwlxQj+BgBO5Ni7d8=</DigestValue>
      </Reference>
      <Reference URI="/word/settings.xml?ContentType=application/vnd.openxmlformats-officedocument.wordprocessingml.settings+xml">
        <DigestMethod Algorithm="http://www.w3.org/2001/04/xmlenc#sha256"/>
        <DigestValue>rJ7FXfXeTQNbG21zeWFTSV7vjUo470TL0HZAaO+5c/Q=</DigestValue>
      </Reference>
      <Reference URI="/word/styles.xml?ContentType=application/vnd.openxmlformats-officedocument.wordprocessingml.styles+xml">
        <DigestMethod Algorithm="http://www.w3.org/2001/04/xmlenc#sha256"/>
        <DigestValue>lvbuc63u2sXQG81zskLpURK0WKnTzaZT6ethNc0FqHw=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fr3DG8SVYTsRrsGD967sxdh8tYIvGmkIBcNVkM9WmPs=</DigestValue>
      </Reference>
    </Manifest>
    <SignatureProperties>
      <SignatureProperty Id="idSignatureTime" Target="#idPackageSignature">
        <mdssi:SignatureTime xmlns:mdssi="http://schemas.openxmlformats.org/package/2006/digital-signature">
          <mdssi:Format>YYYY-MM-DDThh:mm:ssTZD</mdssi:Format>
          <mdssi:Value>2022-06-10T22:37:43Z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2022-06-10T22:37:43Z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9gdWDKLLajGeSiz9z/QlwxlnootbpIhsorbmkaypC3MCBA+B6rkYDzIwMjIwNjEwMjIzNzQ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</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3Tn7/w+FAdqPzxTgnCv85EpDZr8=</xd:ByKey>
                  </xd:ResponderID>
                  <xd:ProducedAt>2022-06-10T22:18:13Z</xd:ProducedAt>
                </xd:OCSPIdentifier>
                <xd:DigestAlgAndValue>
                  <DigestMethod Algorithm="http://www.w3.org/2001/04/xmlenc#sha256"/>
                  <DigestValue>sZKD+yErcK53qr+GfEBkGUHkncufwEU44l1mvE3a+bI=</DigestValue>
                </xd:DigestAlgAndValue>
              </xd:OCSPRef>
            </xd:OCSPRefs>
            <xd:CRLRefs>
              <xd:CRLRef>
                <xd:DigestAlgAndValue>
                  <DigestMethod Algorithm="http://www.w3.org/2001/04/xmlenc#sha256"/>
                  <DigestValue>0m0DzBlt4DLY4ASKYDfu3mUjSJ09XGZwy/YBGmhNOWA=</DigestValue>
                </xd:DigestAlgAndValue>
                <xd:CRLIdentifier>
                  <xd:Issuer>CN=CA POLITICA PERSONA FISICA - COSTA RICA v2, OU=DCFD, O=MICITT, C=CR, SERIALNUMBER=CPJ-2-100-098311</xd:Issuer>
                  <xd:IssueTime>2022-05-20T19:02:09Z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</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76BQI39WAU/AbS78kL79LQvhGSS6vIyuRHgmf3vmgAACBA+B6roYDzIwMjIwNjEwMjIzNzQ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93" ma:contentTypeDescription="Crear nuevo documento." ma:contentTypeScope="" ma:versionID="2f48d04cfc67c6e9854e0920d17b981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183</Value>
      <Value>63</Value>
    </TaxCatchAll>
    <OtraEntidadExterna xmlns="b875e23b-67d9-4b2e-bdec-edacbf90b326">	Personas jurídicas, que realicen la actividad de proveedores de servicios de pago, según lo dispuesto en el artículo 6 del “Reglamento del Sistema de Pagos”, que están inscritas o pretendan inscribirse por el Artículo 15 o 15 bis de la Ley 7786.</OtraEntidadExterna>
    <Firmado xmlns="b875e23b-67d9-4b2e-bdec-edacbf90b326">true</Firmado>
    <Responsable xmlns="b875e23b-67d9-4b2e-bdec-edacbf90b326">
      <UserInfo>
        <DisplayName>GONZALEZ VIQUEZ RONALD EDUARDO</DisplayName>
        <AccountId>3026</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i:0#.w|pdc-atlantida\cotoar</DisplayName>
        <AccountId>291</AccountId>
        <AccountType/>
      </UserInfo>
      <UserInfo>
        <DisplayName>i:0#.w|pdc-atlantida\soleraqc</DisplayName>
        <AccountId>842</AccountId>
        <AccountType/>
      </UserInfo>
      <UserInfo>
        <DisplayName>i:0#.w|pdc-atlantida\gonzalezve</DisplayName>
        <AccountId>3026</AccountId>
        <AccountType/>
      </UserInfo>
      <UserInfo>
        <DisplayName>i:0#.w|pdc-atlantida\amadormg</DisplayName>
        <AccountId>415</AccountId>
        <AccountType/>
      </UserInfo>
      <UserInfo>
        <DisplayName>i:0#.w|pdc-atlantida\delgadoos</DisplayName>
        <AccountId>2025</AccountId>
        <AccountType/>
      </UserInfo>
      <UserInfo>
        <DisplayName>i:0#.w|pdc-atlantida\cespedesbj</DisplayName>
        <AccountId>914</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SGF-0479-2022</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 xsi:nil="true"/>
    <Entrante_x0020_relacionado xmlns="b875e23b-67d9-4b2e-bdec-edacbf90b326" xmlns:xsi="http://www.w3.org/2001/XMLSchema-instance" xsi:nil="true">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2022-05-20T06:00:00+00:00</FechaDocumento>
    <RemitenteOriginal xmlns="b875e23b-67d9-4b2e-bdec-edacbf90b326">Cumplimiento Art 15 y 15 bis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Aclaración resolución SGF-0479-2022</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85D3C434-9C6A-41A7-AA2D-58BDA9CE097B}"/>
</file>

<file path=customXml/itemProps2.xml><?xml version="1.0" encoding="utf-8"?>
<ds:datastoreItem xmlns:ds="http://schemas.openxmlformats.org/officeDocument/2006/customXml" ds:itemID="{F52E0985-DE71-47CB-A111-7E2E42C66926}">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b875e23b-67d9-4b2e-bdec-edacbf90b326"/>
    <ds:schemaRef ds:uri="http://www.w3.org/XML/1998/namespace"/>
  </ds:schemaRefs>
</ds:datastoreItem>
</file>

<file path=customXml/itemProps3.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4.xml><?xml version="1.0" encoding="utf-8"?>
<ds:datastoreItem xmlns:ds="http://schemas.openxmlformats.org/officeDocument/2006/customXml" ds:itemID="{82059848-1C8C-4EC3-B160-17A36153E3C1}"/>
</file>

<file path=customXml/itemProps5.xml><?xml version="1.0" encoding="utf-8"?>
<ds:datastoreItem xmlns:ds="http://schemas.openxmlformats.org/officeDocument/2006/customXml" ds:itemID="{602FCAAF-A107-40E4-A331-454C1DFD3B35}"/>
</file>

<file path=customXml/itemProps6.xml><?xml version="1.0" encoding="utf-8"?>
<ds:datastoreItem xmlns:ds="http://schemas.openxmlformats.org/officeDocument/2006/customXml" ds:itemID="{D021EC46-026E-42E6-A85E-523891E9AD3D}"/>
</file>

<file path=docProps/app.xml><?xml version="1.0" encoding="utf-8"?>
<Properties xmlns="http://schemas.openxmlformats.org/officeDocument/2006/extended-properties" xmlns:vt="http://schemas.openxmlformats.org/officeDocument/2006/docPropsVTypes">
  <Template>plantillas-SGF-ACL-CAQ-13-E</Template>
  <TotalTime>1022</TotalTime>
  <Pages>4</Pages>
  <Words>1127</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VIQUEZ RONALD EDUARDO</dc:creator>
  <cp:keywords/>
  <dc:description/>
  <cp:lastModifiedBy>BRENES VALENCIANO INGRID ROCIO</cp:lastModifiedBy>
  <cp:revision>15</cp:revision>
  <dcterms:created xsi:type="dcterms:W3CDTF">2022-05-20T21:50:00Z</dcterms:created>
  <dcterms:modified xsi:type="dcterms:W3CDTF">2022-06-10T15:31:00Z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Unidad de Destino">
    <vt:lpwstr/>
  </property>
  <property fmtid="{D5CDD505-2E9C-101B-9397-08002B2CF9AE}" pid="5" name="Tipo Documental">
    <vt:lpwstr>183;#Resolución|8250c29f-4595-4728-bcc1-a5fc6a20ed53</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121300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f1fd9d7f-da86-405a-9476-87cbb240632e,5;e296350a-171a-4531-9415-14f9933ddbf9,7;</vt:lpwstr>
  </property>
</Properties>
</file>