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E2B0A" w:rsidR="00E669A5" w:rsidP="00E669A5" w:rsidRDefault="00E669A5" w14:paraId="5939E786" w14:textId="77777777">
      <w:pPr>
        <w:tabs>
          <w:tab w:val="left" w:pos="2843"/>
        </w:tabs>
        <w:spacing w:line="240" w:lineRule="auto"/>
        <w:jc w:val="center"/>
        <w:rPr>
          <w:sz w:val="24"/>
        </w:rPr>
      </w:pPr>
    </w:p>
    <w:p w:rsidRPr="00562304" w:rsidR="00E669A5" w:rsidP="00E669A5" w:rsidRDefault="00E669A5" w14:paraId="1D73F505" w14:textId="77777777">
      <w:pPr>
        <w:pStyle w:val="Texto"/>
        <w:spacing w:before="0" w:after="0" w:line="240" w:lineRule="auto"/>
        <w:jc w:val="center"/>
        <w:rPr>
          <w:b/>
          <w:bCs/>
          <w:sz w:val="24"/>
        </w:rPr>
      </w:pPr>
      <w:r w:rsidRPr="00562304">
        <w:rPr>
          <w:b/>
          <w:bCs/>
          <w:sz w:val="24"/>
        </w:rPr>
        <w:t xml:space="preserve">Circular </w:t>
      </w:r>
      <w:r>
        <w:rPr>
          <w:b/>
          <w:bCs/>
          <w:sz w:val="24"/>
        </w:rPr>
        <w:t>E</w:t>
      </w:r>
      <w:r w:rsidRPr="00562304">
        <w:rPr>
          <w:b/>
          <w:bCs/>
          <w:sz w:val="24"/>
        </w:rPr>
        <w:t>xterna</w:t>
      </w:r>
    </w:p>
    <w:p w:rsidRPr="002E2B0A" w:rsidR="006972C9" w:rsidP="00E669A5" w:rsidRDefault="00E669A5" w14:paraId="5D3B75A6" w14:textId="1EFE6020">
      <w:pPr>
        <w:pStyle w:val="Texto"/>
        <w:spacing w:before="0" w:after="0" w:line="240" w:lineRule="auto"/>
        <w:jc w:val="center"/>
        <w:rPr>
          <w:sz w:val="24"/>
        </w:rPr>
      </w:pPr>
      <w:r>
        <w:rPr>
          <w:sz w:val="24"/>
        </w:rPr>
        <w:t>2</w:t>
      </w:r>
      <w:r w:rsidR="00D67F08">
        <w:rPr>
          <w:sz w:val="24"/>
        </w:rPr>
        <w:t>9</w:t>
      </w:r>
      <w:r>
        <w:rPr>
          <w:sz w:val="24"/>
        </w:rPr>
        <w:t xml:space="preserve"> de enero de 2021</w:t>
      </w:r>
    </w:p>
    <w:sdt>
      <w:sdtPr>
        <w:rPr>
          <w:sz w:val="24"/>
        </w:rPr>
        <w:alias w:val="Consecutivo"/>
        <w:tag w:val="Consecutivo"/>
        <w:id w:val="2052717023"/>
        <w:placeholder>
          <w:docPart w:val="7B3601A73BEF445E9AFEE831252AEB1D"/>
        </w:placeholder>
        <w:text/>
      </w:sdtPr>
      <w:sdtEndPr/>
      <w:sdtContent>
        <w:p w:rsidR="006972C9" w:rsidP="00E669A5" w:rsidRDefault="006972C9" w14:paraId="4D1D4F99" w14:textId="77777777">
          <w:pPr>
            <w:tabs>
              <w:tab w:val="left" w:pos="2843"/>
            </w:tabs>
            <w:spacing w:line="240" w:lineRule="auto"/>
            <w:jc w:val="center"/>
            <w:rPr>
              <w:sz w:val="24"/>
            </w:rPr>
          </w:pPr>
          <w:r>
            <w:t>SGF-0260-2021</w:t>
          </w:r>
        </w:p>
      </w:sdtContent>
    </w:sdt>
    <w:p w:rsidR="006972C9" w:rsidP="00E669A5" w:rsidRDefault="00D67F08" w14:paraId="788388CE" w14:textId="22C61605">
      <w:pPr>
        <w:tabs>
          <w:tab w:val="left" w:pos="2843"/>
        </w:tabs>
        <w:spacing w:line="240" w:lineRule="auto"/>
        <w:jc w:val="center"/>
        <w:rPr>
          <w:sz w:val="24"/>
        </w:rPr>
      </w:pPr>
      <w:sdt>
        <w:sdtPr>
          <w:rPr>
            <w:sz w:val="24"/>
          </w:rPr>
          <w:alias w:val="Confidencialidad"/>
          <w:tag w:val="Confidencialidad"/>
          <w:id w:val="1447896894"/>
          <w:placeholder>
            <w:docPart w:val="877D19983FD64F6CBB299194CC4047E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E669A5">
            <w:rPr>
              <w:sz w:val="24"/>
            </w:rPr>
            <w:t>SGF-PUBLICO</w:t>
          </w:r>
        </w:sdtContent>
      </w:sdt>
    </w:p>
    <w:p w:rsidR="00E669A5" w:rsidP="00E669A5" w:rsidRDefault="006972C9" w14:paraId="3E8CAF4F" w14:textId="75B793B8">
      <w:pPr>
        <w:tabs>
          <w:tab w:val="left" w:pos="2843"/>
        </w:tabs>
        <w:spacing w:line="240" w:lineRule="auto"/>
        <w:rPr>
          <w:sz w:val="24"/>
        </w:rPr>
      </w:pPr>
      <w:r w:rsidRPr="002E2B0A">
        <w:rPr>
          <w:sz w:val="24"/>
        </w:rPr>
        <w:tab/>
      </w:r>
    </w:p>
    <w:p w:rsidRPr="002E2B0A" w:rsidR="00E669A5" w:rsidP="00E669A5" w:rsidRDefault="00E669A5" w14:paraId="362E4CAE" w14:textId="77777777">
      <w:pPr>
        <w:tabs>
          <w:tab w:val="left" w:pos="2843"/>
        </w:tabs>
        <w:spacing w:line="240" w:lineRule="auto"/>
        <w:rPr>
          <w:sz w:val="24"/>
        </w:rPr>
      </w:pPr>
      <w:r w:rsidRPr="002E2B0A">
        <w:rPr>
          <w:sz w:val="24"/>
        </w:rPr>
        <w:tab/>
      </w:r>
    </w:p>
    <w:p w:rsidRPr="00FD12B8" w:rsidR="00E669A5" w:rsidP="00E669A5" w:rsidRDefault="00E669A5" w14:paraId="29408707" w14:textId="77777777">
      <w:pPr>
        <w:tabs>
          <w:tab w:val="left" w:pos="2843"/>
        </w:tabs>
        <w:spacing w:line="240" w:lineRule="auto"/>
        <w:rPr>
          <w:b/>
          <w:sz w:val="24"/>
        </w:rPr>
      </w:pPr>
      <w:r w:rsidRPr="00FD12B8">
        <w:rPr>
          <w:b/>
          <w:sz w:val="24"/>
        </w:rPr>
        <w:t>Dirigida a:</w:t>
      </w:r>
      <w:r w:rsidRPr="00FD12B8">
        <w:rPr>
          <w:b/>
          <w:sz w:val="24"/>
        </w:rPr>
        <w:tab/>
      </w:r>
    </w:p>
    <w:p w:rsidRPr="00FD12B8" w:rsidR="00E669A5" w:rsidP="00E669A5" w:rsidRDefault="00E669A5" w14:paraId="2B88ECE3" w14:textId="77777777">
      <w:pPr>
        <w:widowControl w:val="0"/>
        <w:spacing w:line="240" w:lineRule="auto"/>
        <w:ind w:left="34" w:right="86"/>
        <w:jc w:val="center"/>
        <w:rPr>
          <w:b/>
          <w:sz w:val="24"/>
        </w:rPr>
      </w:pPr>
    </w:p>
    <w:p w:rsidRPr="001A46E2" w:rsidR="00E669A5" w:rsidP="00E669A5" w:rsidRDefault="00E669A5" w14:paraId="3EF49609" w14:textId="77777777">
      <w:pPr>
        <w:pStyle w:val="Default"/>
        <w:numPr>
          <w:ilvl w:val="0"/>
          <w:numId w:val="6"/>
        </w:numPr>
        <w:rPr>
          <w:rFonts w:ascii="Cambria" w:hAnsi="Cambria"/>
        </w:rPr>
      </w:pPr>
      <w:r w:rsidRPr="001A46E2">
        <w:rPr>
          <w:rFonts w:ascii="Cambria" w:hAnsi="Cambria"/>
          <w:b/>
          <w:bCs/>
        </w:rPr>
        <w:t xml:space="preserve">Bancos Comerciales del Estado </w:t>
      </w:r>
      <w:bookmarkStart w:name="_GoBack" w:id="0"/>
      <w:bookmarkEnd w:id="0"/>
    </w:p>
    <w:p w:rsidRPr="001A46E2" w:rsidR="00E669A5" w:rsidP="00E669A5" w:rsidRDefault="00E669A5" w14:paraId="482C9B61" w14:textId="77777777">
      <w:pPr>
        <w:pStyle w:val="Default"/>
        <w:numPr>
          <w:ilvl w:val="0"/>
          <w:numId w:val="6"/>
        </w:numPr>
        <w:rPr>
          <w:rFonts w:ascii="Cambria" w:hAnsi="Cambria"/>
        </w:rPr>
      </w:pPr>
      <w:r w:rsidRPr="001A46E2">
        <w:rPr>
          <w:rFonts w:ascii="Cambria" w:hAnsi="Cambria"/>
          <w:b/>
          <w:bCs/>
        </w:rPr>
        <w:t xml:space="preserve">Bancos Creados por Leyes Especiales </w:t>
      </w:r>
    </w:p>
    <w:p w:rsidRPr="001A46E2" w:rsidR="00E669A5" w:rsidP="00E669A5" w:rsidRDefault="00E669A5" w14:paraId="7251B658" w14:textId="77777777">
      <w:pPr>
        <w:pStyle w:val="Default"/>
        <w:numPr>
          <w:ilvl w:val="0"/>
          <w:numId w:val="6"/>
        </w:numPr>
        <w:rPr>
          <w:rFonts w:ascii="Cambria" w:hAnsi="Cambria"/>
        </w:rPr>
      </w:pPr>
      <w:r w:rsidRPr="001A46E2">
        <w:rPr>
          <w:rFonts w:ascii="Cambria" w:hAnsi="Cambria"/>
          <w:b/>
          <w:bCs/>
        </w:rPr>
        <w:t xml:space="preserve">Bancos Privados </w:t>
      </w:r>
    </w:p>
    <w:p w:rsidRPr="001A46E2" w:rsidR="00E669A5" w:rsidP="00E669A5" w:rsidRDefault="00E669A5" w14:paraId="43CD5391" w14:textId="77777777">
      <w:pPr>
        <w:pStyle w:val="Default"/>
        <w:numPr>
          <w:ilvl w:val="0"/>
          <w:numId w:val="6"/>
        </w:numPr>
        <w:rPr>
          <w:rFonts w:ascii="Cambria" w:hAnsi="Cambria"/>
        </w:rPr>
      </w:pPr>
      <w:r w:rsidRPr="001A46E2">
        <w:rPr>
          <w:rFonts w:ascii="Cambria" w:hAnsi="Cambria"/>
          <w:b/>
          <w:bCs/>
        </w:rPr>
        <w:t xml:space="preserve">Empresas Financieras no Bancarias </w:t>
      </w:r>
    </w:p>
    <w:p w:rsidRPr="001A46E2" w:rsidR="00E669A5" w:rsidP="00E669A5" w:rsidRDefault="00E669A5" w14:paraId="370BB66C" w14:textId="77777777">
      <w:pPr>
        <w:pStyle w:val="Default"/>
        <w:numPr>
          <w:ilvl w:val="0"/>
          <w:numId w:val="6"/>
        </w:numPr>
        <w:rPr>
          <w:rFonts w:ascii="Cambria" w:hAnsi="Cambria"/>
        </w:rPr>
      </w:pPr>
      <w:r w:rsidRPr="001A46E2">
        <w:rPr>
          <w:rFonts w:ascii="Cambria" w:hAnsi="Cambria"/>
          <w:b/>
          <w:bCs/>
        </w:rPr>
        <w:t xml:space="preserve">Otras Entidades Financieras </w:t>
      </w:r>
    </w:p>
    <w:p w:rsidRPr="001A46E2" w:rsidR="00E669A5" w:rsidP="00E669A5" w:rsidRDefault="00E669A5" w14:paraId="5762116B" w14:textId="77777777">
      <w:pPr>
        <w:pStyle w:val="Default"/>
        <w:numPr>
          <w:ilvl w:val="0"/>
          <w:numId w:val="6"/>
        </w:numPr>
        <w:rPr>
          <w:rFonts w:ascii="Cambria" w:hAnsi="Cambria"/>
          <w:b/>
          <w:bCs/>
        </w:rPr>
      </w:pPr>
      <w:r w:rsidRPr="001A46E2">
        <w:rPr>
          <w:rFonts w:ascii="Cambria" w:hAnsi="Cambria"/>
          <w:b/>
          <w:bCs/>
        </w:rPr>
        <w:t xml:space="preserve">Organizaciones Cooperativas de Ahorro y Crédito </w:t>
      </w:r>
    </w:p>
    <w:p w:rsidRPr="001A46E2" w:rsidR="00E669A5" w:rsidP="00E669A5" w:rsidRDefault="00921AE2" w14:paraId="68431AF2" w14:textId="3DBB86C4">
      <w:pPr>
        <w:pStyle w:val="Default"/>
        <w:numPr>
          <w:ilvl w:val="0"/>
          <w:numId w:val="6"/>
        </w:numPr>
        <w:rPr>
          <w:rFonts w:ascii="Cambria" w:hAnsi="Cambria"/>
        </w:rPr>
      </w:pPr>
      <w:r>
        <w:rPr>
          <w:rFonts w:ascii="Cambria" w:hAnsi="Cambria"/>
          <w:b/>
          <w:bCs/>
        </w:rPr>
        <w:t>A</w:t>
      </w:r>
      <w:r w:rsidRPr="00921AE2">
        <w:rPr>
          <w:rFonts w:ascii="Cambria" w:hAnsi="Cambria"/>
          <w:b/>
          <w:bCs/>
        </w:rPr>
        <w:t xml:space="preserve">sociaciones </w:t>
      </w:r>
      <w:r>
        <w:rPr>
          <w:rFonts w:ascii="Cambria" w:hAnsi="Cambria"/>
          <w:b/>
          <w:bCs/>
        </w:rPr>
        <w:t>M</w:t>
      </w:r>
      <w:r w:rsidRPr="00921AE2">
        <w:rPr>
          <w:rFonts w:ascii="Cambria" w:hAnsi="Cambria"/>
          <w:b/>
          <w:bCs/>
        </w:rPr>
        <w:t xml:space="preserve">utualistas de </w:t>
      </w:r>
      <w:r>
        <w:rPr>
          <w:rFonts w:ascii="Cambria" w:hAnsi="Cambria"/>
          <w:b/>
          <w:bCs/>
        </w:rPr>
        <w:t>A</w:t>
      </w:r>
      <w:r w:rsidRPr="00921AE2">
        <w:rPr>
          <w:rFonts w:ascii="Cambria" w:hAnsi="Cambria"/>
          <w:b/>
          <w:bCs/>
        </w:rPr>
        <w:t xml:space="preserve">horro y </w:t>
      </w:r>
      <w:r>
        <w:rPr>
          <w:rFonts w:ascii="Cambria" w:hAnsi="Cambria"/>
          <w:b/>
          <w:bCs/>
        </w:rPr>
        <w:t>P</w:t>
      </w:r>
      <w:r w:rsidRPr="00921AE2">
        <w:rPr>
          <w:rFonts w:ascii="Cambria" w:hAnsi="Cambria"/>
          <w:b/>
          <w:bCs/>
        </w:rPr>
        <w:t>réstamo</w:t>
      </w:r>
    </w:p>
    <w:p w:rsidRPr="0056690C" w:rsidR="00E669A5" w:rsidP="00E669A5" w:rsidRDefault="00E669A5" w14:paraId="716DB763" w14:textId="77777777">
      <w:pPr>
        <w:spacing w:line="240" w:lineRule="auto"/>
        <w:rPr>
          <w:b/>
          <w:sz w:val="24"/>
          <w:lang w:val="es-CR"/>
        </w:rPr>
      </w:pPr>
    </w:p>
    <w:p w:rsidRPr="00FD12B8" w:rsidR="00E669A5" w:rsidP="00E669A5" w:rsidRDefault="00E669A5" w14:paraId="19214C60" w14:textId="77777777">
      <w:pPr>
        <w:spacing w:line="240" w:lineRule="auto"/>
        <w:ind w:left="993" w:hanging="993"/>
        <w:rPr>
          <w:b/>
          <w:sz w:val="24"/>
        </w:rPr>
      </w:pPr>
      <w:r w:rsidRPr="00FD12B8">
        <w:rPr>
          <w:b/>
          <w:sz w:val="24"/>
        </w:rPr>
        <w:t>Asunto:</w:t>
      </w:r>
      <w:r>
        <w:rPr>
          <w:b/>
          <w:sz w:val="24"/>
        </w:rPr>
        <w:tab/>
      </w:r>
      <w:r w:rsidRPr="00647CD3">
        <w:rPr>
          <w:bCs/>
          <w:sz w:val="24"/>
        </w:rPr>
        <w:t>Gestión de las entidades supervisadas ante la s</w:t>
      </w:r>
      <w:r>
        <w:rPr>
          <w:bCs/>
          <w:sz w:val="24"/>
        </w:rPr>
        <w:t>alida</w:t>
      </w:r>
      <w:r w:rsidRPr="00647CD3">
        <w:rPr>
          <w:bCs/>
          <w:sz w:val="24"/>
        </w:rPr>
        <w:t xml:space="preserve"> de la tasa London Interbank </w:t>
      </w:r>
      <w:proofErr w:type="spellStart"/>
      <w:r w:rsidRPr="00647CD3">
        <w:rPr>
          <w:bCs/>
          <w:sz w:val="24"/>
        </w:rPr>
        <w:t>Offered</w:t>
      </w:r>
      <w:proofErr w:type="spellEnd"/>
      <w:r w:rsidRPr="00647CD3">
        <w:rPr>
          <w:bCs/>
          <w:sz w:val="24"/>
        </w:rPr>
        <w:t xml:space="preserve"> </w:t>
      </w:r>
      <w:proofErr w:type="spellStart"/>
      <w:r w:rsidRPr="00647CD3">
        <w:rPr>
          <w:bCs/>
          <w:sz w:val="24"/>
        </w:rPr>
        <w:t>Rate</w:t>
      </w:r>
      <w:proofErr w:type="spellEnd"/>
      <w:r w:rsidRPr="00647CD3">
        <w:rPr>
          <w:bCs/>
          <w:sz w:val="24"/>
        </w:rPr>
        <w:t xml:space="preserve"> (L</w:t>
      </w:r>
      <w:r>
        <w:rPr>
          <w:bCs/>
          <w:sz w:val="24"/>
        </w:rPr>
        <w:t>ibor</w:t>
      </w:r>
      <w:r w:rsidRPr="00647CD3">
        <w:rPr>
          <w:bCs/>
          <w:sz w:val="24"/>
        </w:rPr>
        <w:t>).</w:t>
      </w:r>
      <w:r>
        <w:rPr>
          <w:bCs/>
          <w:sz w:val="24"/>
        </w:rPr>
        <w:t xml:space="preserve"> </w:t>
      </w:r>
    </w:p>
    <w:p w:rsidRPr="00FD12B8" w:rsidR="00E669A5" w:rsidP="00E669A5" w:rsidRDefault="00E669A5" w14:paraId="2D7BB8A5" w14:textId="77777777">
      <w:pPr>
        <w:spacing w:line="240" w:lineRule="auto"/>
        <w:rPr>
          <w:b/>
          <w:sz w:val="24"/>
        </w:rPr>
      </w:pPr>
    </w:p>
    <w:p w:rsidRPr="00FD12B8" w:rsidR="00E669A5" w:rsidP="00E669A5" w:rsidRDefault="00E669A5" w14:paraId="7E676D80" w14:textId="77777777">
      <w:pPr>
        <w:spacing w:line="240" w:lineRule="auto"/>
        <w:jc w:val="left"/>
        <w:rPr>
          <w:b/>
          <w:sz w:val="24"/>
        </w:rPr>
      </w:pPr>
      <w:r w:rsidRPr="00FD12B8">
        <w:rPr>
          <w:b/>
          <w:sz w:val="24"/>
        </w:rPr>
        <w:t>La Superintendente General de Entidades Financieras</w:t>
      </w:r>
      <w:r>
        <w:rPr>
          <w:b/>
          <w:sz w:val="24"/>
        </w:rPr>
        <w:t>,</w:t>
      </w:r>
    </w:p>
    <w:p w:rsidRPr="00FD12B8" w:rsidR="00E669A5" w:rsidP="00E669A5" w:rsidRDefault="00E669A5" w14:paraId="60E0C65A" w14:textId="77777777">
      <w:pPr>
        <w:spacing w:line="240" w:lineRule="auto"/>
        <w:rPr>
          <w:b/>
          <w:sz w:val="24"/>
        </w:rPr>
      </w:pPr>
    </w:p>
    <w:p w:rsidRPr="00FD12B8" w:rsidR="00E669A5" w:rsidP="00E669A5" w:rsidRDefault="00E669A5" w14:paraId="2A265878" w14:textId="77777777">
      <w:pPr>
        <w:spacing w:line="240" w:lineRule="auto"/>
        <w:rPr>
          <w:b/>
          <w:sz w:val="24"/>
        </w:rPr>
      </w:pPr>
      <w:r w:rsidRPr="00FD12B8">
        <w:rPr>
          <w:b/>
          <w:sz w:val="24"/>
        </w:rPr>
        <w:t>Considerando que:</w:t>
      </w:r>
    </w:p>
    <w:p w:rsidRPr="00647CD3" w:rsidR="00E669A5" w:rsidP="00E669A5" w:rsidRDefault="00E669A5" w14:paraId="1C1CAB0B" w14:textId="77777777">
      <w:pPr>
        <w:spacing w:line="240" w:lineRule="auto"/>
        <w:rPr>
          <w:sz w:val="24"/>
          <w:lang w:val="es-CR"/>
        </w:rPr>
      </w:pPr>
    </w:p>
    <w:p w:rsidR="00E669A5" w:rsidP="00E669A5" w:rsidRDefault="00E669A5" w14:paraId="12DA885C" w14:textId="77777777">
      <w:pPr>
        <w:pStyle w:val="Prrafodelista"/>
        <w:numPr>
          <w:ilvl w:val="0"/>
          <w:numId w:val="5"/>
        </w:numPr>
        <w:spacing w:line="240" w:lineRule="auto"/>
        <w:ind w:left="567" w:hanging="283"/>
        <w:rPr>
          <w:sz w:val="24"/>
          <w:lang w:val="es-CR"/>
        </w:rPr>
      </w:pPr>
      <w:r w:rsidRPr="003F2FD1">
        <w:rPr>
          <w:sz w:val="24"/>
          <w:lang w:val="es-CR"/>
        </w:rPr>
        <w:t xml:space="preserve">En el 2017, la Autoridad de Conducta Financiera del Reino Unido (FCA) cuestionó la metodología de la London Interbank </w:t>
      </w:r>
      <w:proofErr w:type="spellStart"/>
      <w:r w:rsidRPr="003F2FD1">
        <w:rPr>
          <w:sz w:val="24"/>
          <w:lang w:val="es-CR"/>
        </w:rPr>
        <w:t>Offered</w:t>
      </w:r>
      <w:proofErr w:type="spellEnd"/>
      <w:r w:rsidRPr="003F2FD1">
        <w:rPr>
          <w:sz w:val="24"/>
          <w:lang w:val="es-CR"/>
        </w:rPr>
        <w:t xml:space="preserve"> </w:t>
      </w:r>
      <w:proofErr w:type="spellStart"/>
      <w:r w:rsidRPr="003F2FD1">
        <w:rPr>
          <w:sz w:val="24"/>
          <w:lang w:val="es-CR"/>
        </w:rPr>
        <w:t>Rate</w:t>
      </w:r>
      <w:proofErr w:type="spellEnd"/>
      <w:r w:rsidRPr="003F2FD1">
        <w:rPr>
          <w:sz w:val="24"/>
          <w:lang w:val="es-CR"/>
        </w:rPr>
        <w:t xml:space="preserve"> (conocida como tasa Libor), siendo ésta una de las tasas de interés de referencia más importantes del mundo. Lo anterior, en virtud de la manipulación experimentada en su fijación, por lo que propuso su desaparición con fecha límite el 31 de diciembre de 2021. Por tal motivo, como parte de las recomendaciones del </w:t>
      </w:r>
      <w:proofErr w:type="spellStart"/>
      <w:r w:rsidRPr="003F2FD1">
        <w:rPr>
          <w:sz w:val="24"/>
          <w:lang w:val="es-CR"/>
        </w:rPr>
        <w:t>Financial</w:t>
      </w:r>
      <w:proofErr w:type="spellEnd"/>
      <w:r w:rsidRPr="003F2FD1">
        <w:rPr>
          <w:sz w:val="24"/>
          <w:lang w:val="es-CR"/>
        </w:rPr>
        <w:t xml:space="preserve"> </w:t>
      </w:r>
      <w:proofErr w:type="spellStart"/>
      <w:r w:rsidRPr="003F2FD1">
        <w:rPr>
          <w:sz w:val="24"/>
          <w:lang w:val="es-CR"/>
        </w:rPr>
        <w:t>Stability</w:t>
      </w:r>
      <w:proofErr w:type="spellEnd"/>
      <w:r w:rsidRPr="003F2FD1">
        <w:rPr>
          <w:sz w:val="24"/>
          <w:lang w:val="es-CR"/>
        </w:rPr>
        <w:t xml:space="preserve"> </w:t>
      </w:r>
      <w:proofErr w:type="spellStart"/>
      <w:r w:rsidRPr="003F2FD1">
        <w:rPr>
          <w:sz w:val="24"/>
          <w:lang w:val="es-CR"/>
        </w:rPr>
        <w:t>Board</w:t>
      </w:r>
      <w:proofErr w:type="spellEnd"/>
      <w:r w:rsidRPr="003F2FD1">
        <w:rPr>
          <w:sz w:val="24"/>
          <w:lang w:val="es-CR"/>
        </w:rPr>
        <w:t xml:space="preserve"> (FSB), las autoridades financieras de las principales monedas del mundo han venido desarrollando proyectos para su sustitución progresiva.</w:t>
      </w:r>
    </w:p>
    <w:p w:rsidR="00E669A5" w:rsidP="00E669A5" w:rsidRDefault="00E669A5" w14:paraId="64ADF036" w14:textId="77777777">
      <w:pPr>
        <w:pStyle w:val="Prrafodelista"/>
        <w:spacing w:line="240" w:lineRule="auto"/>
        <w:ind w:left="567" w:hanging="283"/>
        <w:rPr>
          <w:sz w:val="24"/>
          <w:lang w:val="es-CR"/>
        </w:rPr>
      </w:pPr>
    </w:p>
    <w:p w:rsidR="00E669A5" w:rsidP="00E669A5" w:rsidRDefault="00E669A5" w14:paraId="7FE529B2" w14:textId="77777777">
      <w:pPr>
        <w:pStyle w:val="Prrafodelista"/>
        <w:numPr>
          <w:ilvl w:val="0"/>
          <w:numId w:val="5"/>
        </w:numPr>
        <w:spacing w:line="240" w:lineRule="auto"/>
        <w:ind w:left="567" w:hanging="283"/>
        <w:rPr>
          <w:sz w:val="24"/>
          <w:lang w:val="es-CR"/>
        </w:rPr>
      </w:pPr>
      <w:r w:rsidRPr="003F2FD1">
        <w:rPr>
          <w:sz w:val="24"/>
          <w:lang w:val="es-CR"/>
        </w:rPr>
        <w:t xml:space="preserve">Como parte del proceso de transición hacia una nueva tasa de referencia, es necesario que las instituciones financieras supervisadas que mantienen contratos referenciados a la Libor, administren los riesgos derivados de ello y definan iniciativas críticas tendientes a: identificar y cuantificar las exposiciones ante el cambio en la tasa de referencia, definir modificaciones en las metodologías de valuación de instrumentos financieros referenciados, establecer tratamientos contables y posibles implicaciones legales. </w:t>
      </w:r>
    </w:p>
    <w:p w:rsidRPr="003F2FD1" w:rsidR="00E669A5" w:rsidP="00E669A5" w:rsidRDefault="00E669A5" w14:paraId="157D88F4" w14:textId="77777777">
      <w:pPr>
        <w:pStyle w:val="Prrafodelista"/>
        <w:spacing w:line="240" w:lineRule="auto"/>
        <w:ind w:left="567" w:hanging="283"/>
        <w:rPr>
          <w:sz w:val="24"/>
          <w:lang w:val="es-CR"/>
        </w:rPr>
      </w:pPr>
    </w:p>
    <w:p w:rsidRPr="00AC0755" w:rsidR="00E669A5" w:rsidP="00E669A5" w:rsidRDefault="00E669A5" w14:paraId="0BFBB2B7" w14:textId="77777777">
      <w:pPr>
        <w:pStyle w:val="Prrafodelista"/>
        <w:numPr>
          <w:ilvl w:val="0"/>
          <w:numId w:val="5"/>
        </w:numPr>
        <w:spacing w:line="240" w:lineRule="auto"/>
        <w:rPr>
          <w:sz w:val="24"/>
          <w:lang w:val="es-CR"/>
        </w:rPr>
      </w:pPr>
      <w:r w:rsidRPr="00AC0755">
        <w:rPr>
          <w:sz w:val="24"/>
          <w:lang w:val="es-CR"/>
        </w:rPr>
        <w:t xml:space="preserve">Es de interés de la Superintendencia contar con información actualizada en torno a las medidas de preparación y estrategias definidas por las entidades financieras supervisadas para efectuar ese proceso de transición y posterior </w:t>
      </w:r>
      <w:r w:rsidRPr="00AC0755">
        <w:rPr>
          <w:sz w:val="24"/>
          <w:lang w:val="es-CR"/>
        </w:rPr>
        <w:lastRenderedPageBreak/>
        <w:t xml:space="preserve">adopción </w:t>
      </w:r>
      <w:r>
        <w:rPr>
          <w:sz w:val="24"/>
          <w:lang w:val="es-CR"/>
        </w:rPr>
        <w:t xml:space="preserve">de </w:t>
      </w:r>
      <w:r w:rsidRPr="00AC0755">
        <w:rPr>
          <w:sz w:val="24"/>
          <w:lang w:val="es-CR"/>
        </w:rPr>
        <w:t>una nueva tasa de referencia en reemplazo de la Libor, las cuales</w:t>
      </w:r>
      <w:r>
        <w:rPr>
          <w:sz w:val="24"/>
          <w:lang w:val="es-CR"/>
        </w:rPr>
        <w:t>,</w:t>
      </w:r>
      <w:r w:rsidRPr="00AC0755">
        <w:rPr>
          <w:sz w:val="24"/>
          <w:lang w:val="es-CR"/>
        </w:rPr>
        <w:t xml:space="preserve"> además</w:t>
      </w:r>
      <w:r>
        <w:rPr>
          <w:sz w:val="24"/>
          <w:lang w:val="es-CR"/>
        </w:rPr>
        <w:t>,</w:t>
      </w:r>
      <w:r w:rsidRPr="00AC0755">
        <w:rPr>
          <w:sz w:val="24"/>
          <w:lang w:val="es-CR"/>
        </w:rPr>
        <w:t xml:space="preserve"> conlleven la protección de los clientes, todo a efecto de evitar riesgos legales causados por diferencias entre las </w:t>
      </w:r>
      <w:r>
        <w:rPr>
          <w:sz w:val="24"/>
          <w:lang w:val="es-CR"/>
        </w:rPr>
        <w:t xml:space="preserve">tasas </w:t>
      </w:r>
      <w:r w:rsidRPr="00AC0755">
        <w:rPr>
          <w:sz w:val="24"/>
          <w:lang w:val="es-CR"/>
        </w:rPr>
        <w:t xml:space="preserve">actuales </w:t>
      </w:r>
      <w:r>
        <w:rPr>
          <w:sz w:val="24"/>
          <w:lang w:val="es-CR"/>
        </w:rPr>
        <w:t xml:space="preserve">y las tasas de referencia de sustitución que </w:t>
      </w:r>
      <w:r w:rsidRPr="00AC0755">
        <w:rPr>
          <w:sz w:val="24"/>
          <w:lang w:val="es-CR"/>
        </w:rPr>
        <w:t>finalmente se incluyan en los contratos, especialmente</w:t>
      </w:r>
      <w:r>
        <w:rPr>
          <w:sz w:val="24"/>
          <w:lang w:val="es-CR"/>
        </w:rPr>
        <w:t>,</w:t>
      </w:r>
      <w:r w:rsidRPr="00AC0755">
        <w:rPr>
          <w:sz w:val="24"/>
          <w:lang w:val="es-CR"/>
        </w:rPr>
        <w:t xml:space="preserve"> cuando </w:t>
      </w:r>
      <w:r>
        <w:rPr>
          <w:sz w:val="24"/>
          <w:lang w:val="es-CR"/>
        </w:rPr>
        <w:t xml:space="preserve">ello </w:t>
      </w:r>
      <w:r w:rsidRPr="00AC0755">
        <w:rPr>
          <w:sz w:val="24"/>
          <w:lang w:val="es-CR"/>
        </w:rPr>
        <w:t>implique un aumento en los cost</w:t>
      </w:r>
      <w:r>
        <w:rPr>
          <w:sz w:val="24"/>
          <w:lang w:val="es-CR"/>
        </w:rPr>
        <w:t>o</w:t>
      </w:r>
      <w:r w:rsidRPr="00AC0755">
        <w:rPr>
          <w:sz w:val="24"/>
          <w:lang w:val="es-CR"/>
        </w:rPr>
        <w:t>s de financiación</w:t>
      </w:r>
      <w:r>
        <w:rPr>
          <w:sz w:val="24"/>
          <w:lang w:val="es-CR"/>
        </w:rPr>
        <w:t>.</w:t>
      </w:r>
    </w:p>
    <w:p w:rsidR="00E669A5" w:rsidP="00E669A5" w:rsidRDefault="00E669A5" w14:paraId="5203C130" w14:textId="77777777">
      <w:pPr>
        <w:widowControl w:val="0"/>
        <w:tabs>
          <w:tab w:val="left" w:pos="7056"/>
        </w:tabs>
        <w:spacing w:line="240" w:lineRule="auto"/>
        <w:ind w:left="34" w:right="86"/>
        <w:rPr>
          <w:b/>
          <w:sz w:val="24"/>
        </w:rPr>
      </w:pPr>
    </w:p>
    <w:p w:rsidRPr="00FD12B8" w:rsidR="00E669A5" w:rsidP="00E669A5" w:rsidRDefault="00E669A5" w14:paraId="75173CCE" w14:textId="77777777">
      <w:pPr>
        <w:widowControl w:val="0"/>
        <w:tabs>
          <w:tab w:val="left" w:pos="7056"/>
        </w:tabs>
        <w:spacing w:line="240" w:lineRule="auto"/>
        <w:ind w:left="34" w:right="86"/>
        <w:rPr>
          <w:b/>
          <w:sz w:val="24"/>
        </w:rPr>
      </w:pPr>
      <w:r w:rsidRPr="00FD12B8">
        <w:rPr>
          <w:b/>
          <w:sz w:val="24"/>
        </w:rPr>
        <w:t xml:space="preserve">Dispone: </w:t>
      </w:r>
      <w:r>
        <w:rPr>
          <w:b/>
          <w:sz w:val="24"/>
        </w:rPr>
        <w:tab/>
      </w:r>
    </w:p>
    <w:p w:rsidR="00E669A5" w:rsidP="00E669A5" w:rsidRDefault="00E669A5" w14:paraId="17849A08" w14:textId="77777777">
      <w:pPr>
        <w:spacing w:line="240" w:lineRule="auto"/>
        <w:rPr>
          <w:sz w:val="24"/>
        </w:rPr>
      </w:pPr>
    </w:p>
    <w:p w:rsidRPr="003F2FD1" w:rsidR="00E669A5" w:rsidP="00E669A5" w:rsidRDefault="00E669A5" w14:paraId="5515EDA9" w14:textId="77777777">
      <w:pPr>
        <w:numPr>
          <w:ilvl w:val="0"/>
          <w:numId w:val="3"/>
        </w:numPr>
        <w:spacing w:line="240" w:lineRule="auto"/>
        <w:ind w:left="567" w:hanging="283"/>
        <w:rPr>
          <w:sz w:val="24"/>
        </w:rPr>
      </w:pPr>
      <w:r>
        <w:rPr>
          <w:sz w:val="24"/>
        </w:rPr>
        <w:t>L</w:t>
      </w:r>
      <w:r w:rsidRPr="00FD12B8">
        <w:rPr>
          <w:sz w:val="24"/>
        </w:rPr>
        <w:t xml:space="preserve">as entidades </w:t>
      </w:r>
      <w:r>
        <w:rPr>
          <w:sz w:val="24"/>
        </w:rPr>
        <w:t xml:space="preserve">financieras supervisadas deberán remitir, </w:t>
      </w:r>
      <w:r>
        <w:rPr>
          <w:sz w:val="24"/>
          <w:lang w:val="es-CR"/>
        </w:rPr>
        <w:t>en relación con el</w:t>
      </w:r>
      <w:r w:rsidRPr="00392448">
        <w:rPr>
          <w:sz w:val="24"/>
          <w:lang w:val="es-CR"/>
        </w:rPr>
        <w:t xml:space="preserve"> proceso de transición y sustitución de </w:t>
      </w:r>
      <w:r>
        <w:rPr>
          <w:sz w:val="24"/>
          <w:lang w:val="es-CR"/>
        </w:rPr>
        <w:t>l</w:t>
      </w:r>
      <w:r w:rsidRPr="00392448">
        <w:rPr>
          <w:sz w:val="24"/>
          <w:lang w:val="es-CR"/>
        </w:rPr>
        <w:t xml:space="preserve">a </w:t>
      </w:r>
      <w:r>
        <w:rPr>
          <w:sz w:val="24"/>
          <w:lang w:val="es-CR"/>
        </w:rPr>
        <w:t xml:space="preserve">tasa Libor, un </w:t>
      </w:r>
      <w:r>
        <w:rPr>
          <w:sz w:val="24"/>
        </w:rPr>
        <w:t xml:space="preserve">plan de acción que incluya las actividades </w:t>
      </w:r>
      <w:r>
        <w:rPr>
          <w:sz w:val="24"/>
          <w:lang w:val="es-CR"/>
        </w:rPr>
        <w:t>de carácter operativo y legal, así como lo relativo a la capacitación y comunicación a clientes internos y externos, según corresponda, con detalle de las acciones adoptadas y que implementarán, con indicación de plazos y responsables</w:t>
      </w:r>
      <w:r w:rsidRPr="00392448">
        <w:rPr>
          <w:sz w:val="24"/>
          <w:lang w:val="es-CR"/>
        </w:rPr>
        <w:t xml:space="preserve"> </w:t>
      </w:r>
      <w:r>
        <w:rPr>
          <w:sz w:val="24"/>
          <w:lang w:val="es-CR"/>
        </w:rPr>
        <w:t>para cada una de ellas.</w:t>
      </w:r>
    </w:p>
    <w:p w:rsidR="00E669A5" w:rsidP="00E669A5" w:rsidRDefault="00E669A5" w14:paraId="454B548B" w14:textId="77777777">
      <w:pPr>
        <w:spacing w:line="240" w:lineRule="auto"/>
        <w:ind w:left="567" w:hanging="283"/>
        <w:rPr>
          <w:sz w:val="24"/>
        </w:rPr>
      </w:pPr>
    </w:p>
    <w:p w:rsidR="00E669A5" w:rsidP="00E669A5" w:rsidRDefault="00E669A5" w14:paraId="75F744C4" w14:textId="77777777">
      <w:pPr>
        <w:numPr>
          <w:ilvl w:val="0"/>
          <w:numId w:val="3"/>
        </w:numPr>
        <w:spacing w:line="240" w:lineRule="auto"/>
        <w:ind w:left="567" w:hanging="283"/>
        <w:rPr>
          <w:sz w:val="24"/>
        </w:rPr>
      </w:pPr>
      <w:r w:rsidRPr="00155C55">
        <w:rPr>
          <w:sz w:val="24"/>
        </w:rPr>
        <w:t xml:space="preserve">Dicho plan debe </w:t>
      </w:r>
      <w:r>
        <w:rPr>
          <w:sz w:val="24"/>
        </w:rPr>
        <w:t>estar</w:t>
      </w:r>
      <w:r w:rsidRPr="00155C55">
        <w:rPr>
          <w:sz w:val="24"/>
        </w:rPr>
        <w:t xml:space="preserve"> debidamente aprobado por el Órgano de Dirección, de lo cual deben remitir evidencia a esta Superintendencia.</w:t>
      </w:r>
    </w:p>
    <w:p w:rsidR="00E669A5" w:rsidP="00E669A5" w:rsidRDefault="00E669A5" w14:paraId="2A15FF1A" w14:textId="77777777">
      <w:pPr>
        <w:spacing w:line="240" w:lineRule="auto"/>
        <w:ind w:left="567" w:hanging="283"/>
        <w:rPr>
          <w:sz w:val="24"/>
        </w:rPr>
      </w:pPr>
    </w:p>
    <w:p w:rsidR="00E669A5" w:rsidP="00E669A5" w:rsidRDefault="00E669A5" w14:paraId="28E85181" w14:textId="77777777">
      <w:pPr>
        <w:numPr>
          <w:ilvl w:val="0"/>
          <w:numId w:val="3"/>
        </w:numPr>
        <w:spacing w:line="240" w:lineRule="auto"/>
        <w:ind w:left="567" w:hanging="283"/>
        <w:rPr>
          <w:sz w:val="24"/>
        </w:rPr>
      </w:pPr>
      <w:r w:rsidRPr="00155C55">
        <w:rPr>
          <w:sz w:val="24"/>
        </w:rPr>
        <w:t xml:space="preserve">Con la finalidad de asegurar un adecuado monitoreo y cumplimiento del citado Plan, la Gerencia General debe </w:t>
      </w:r>
      <w:r>
        <w:rPr>
          <w:sz w:val="24"/>
        </w:rPr>
        <w:t>remitir</w:t>
      </w:r>
      <w:r w:rsidRPr="00155C55">
        <w:rPr>
          <w:sz w:val="24"/>
        </w:rPr>
        <w:t xml:space="preserve"> informes</w:t>
      </w:r>
      <w:r>
        <w:rPr>
          <w:sz w:val="24"/>
        </w:rPr>
        <w:t xml:space="preserve"> bimestrales</w:t>
      </w:r>
      <w:r w:rsidRPr="00155C55">
        <w:rPr>
          <w:sz w:val="24"/>
        </w:rPr>
        <w:t xml:space="preserve"> de avance </w:t>
      </w:r>
      <w:r>
        <w:rPr>
          <w:sz w:val="24"/>
        </w:rPr>
        <w:t>a esta Superintendencia, d</w:t>
      </w:r>
      <w:r w:rsidRPr="00155C55">
        <w:rPr>
          <w:sz w:val="24"/>
        </w:rPr>
        <w:t xml:space="preserve">entro de los 15 días hábiles posteriores a la finalización de </w:t>
      </w:r>
      <w:r>
        <w:rPr>
          <w:sz w:val="24"/>
        </w:rPr>
        <w:t>esos períodos</w:t>
      </w:r>
      <w:r w:rsidRPr="00155C55">
        <w:rPr>
          <w:sz w:val="24"/>
        </w:rPr>
        <w:t xml:space="preserve">, iniciando con corte al </w:t>
      </w:r>
      <w:r>
        <w:rPr>
          <w:sz w:val="24"/>
        </w:rPr>
        <w:t>28</w:t>
      </w:r>
      <w:r w:rsidRPr="00155C55">
        <w:rPr>
          <w:sz w:val="24"/>
        </w:rPr>
        <w:t xml:space="preserve"> de </w:t>
      </w:r>
      <w:r>
        <w:rPr>
          <w:sz w:val="24"/>
        </w:rPr>
        <w:t>febrero</w:t>
      </w:r>
      <w:r w:rsidRPr="00155C55">
        <w:rPr>
          <w:sz w:val="24"/>
        </w:rPr>
        <w:t xml:space="preserve"> de 202</w:t>
      </w:r>
      <w:r>
        <w:rPr>
          <w:sz w:val="24"/>
        </w:rPr>
        <w:t>1.</w:t>
      </w:r>
    </w:p>
    <w:p w:rsidR="00E669A5" w:rsidP="00E669A5" w:rsidRDefault="00E669A5" w14:paraId="738B7928" w14:textId="77777777">
      <w:pPr>
        <w:spacing w:line="240" w:lineRule="auto"/>
        <w:ind w:left="567" w:hanging="283"/>
        <w:rPr>
          <w:sz w:val="24"/>
        </w:rPr>
      </w:pPr>
    </w:p>
    <w:p w:rsidR="00E669A5" w:rsidP="00E669A5" w:rsidRDefault="00E669A5" w14:paraId="48B3F5AE" w14:textId="77777777">
      <w:pPr>
        <w:numPr>
          <w:ilvl w:val="0"/>
          <w:numId w:val="3"/>
        </w:numPr>
        <w:spacing w:line="240" w:lineRule="auto"/>
        <w:ind w:left="567" w:hanging="283"/>
        <w:rPr>
          <w:sz w:val="24"/>
        </w:rPr>
      </w:pPr>
      <w:r>
        <w:rPr>
          <w:sz w:val="24"/>
        </w:rPr>
        <w:t>Además del citado plan, deben remitir la siguiente información:</w:t>
      </w:r>
    </w:p>
    <w:p w:rsidR="00E669A5" w:rsidP="00E669A5" w:rsidRDefault="00E669A5" w14:paraId="3AE501AF" w14:textId="77777777">
      <w:pPr>
        <w:pStyle w:val="Prrafodelista"/>
        <w:spacing w:line="240" w:lineRule="auto"/>
        <w:ind w:left="1152"/>
        <w:rPr>
          <w:sz w:val="24"/>
          <w:lang w:val="es-CR"/>
        </w:rPr>
      </w:pPr>
    </w:p>
    <w:p w:rsidR="00E669A5" w:rsidP="00E669A5" w:rsidRDefault="00E669A5" w14:paraId="7E7E5882" w14:textId="77777777">
      <w:pPr>
        <w:pStyle w:val="Prrafodelista"/>
        <w:numPr>
          <w:ilvl w:val="0"/>
          <w:numId w:val="4"/>
        </w:numPr>
        <w:spacing w:line="240" w:lineRule="auto"/>
        <w:ind w:left="851" w:hanging="284"/>
        <w:rPr>
          <w:sz w:val="24"/>
          <w:lang w:val="es-CR"/>
        </w:rPr>
      </w:pPr>
      <w:r>
        <w:rPr>
          <w:sz w:val="24"/>
          <w:lang w:val="es-CR"/>
        </w:rPr>
        <w:t>Datos sobre l</w:t>
      </w:r>
      <w:r w:rsidRPr="00392448">
        <w:rPr>
          <w:sz w:val="24"/>
          <w:lang w:val="es-CR"/>
        </w:rPr>
        <w:t xml:space="preserve">as operaciones financieras (tipo de activo, pasivo) impactadas por </w:t>
      </w:r>
      <w:r>
        <w:rPr>
          <w:sz w:val="24"/>
          <w:lang w:val="es-CR"/>
        </w:rPr>
        <w:t>la tasa de referencia Libor</w:t>
      </w:r>
      <w:r w:rsidRPr="00392448">
        <w:rPr>
          <w:sz w:val="24"/>
          <w:lang w:val="es-CR"/>
        </w:rPr>
        <w:t>, con vencimiento posterior al 31 de diciembre de 2021</w:t>
      </w:r>
      <w:r>
        <w:rPr>
          <w:sz w:val="24"/>
          <w:lang w:val="es-CR"/>
        </w:rPr>
        <w:t>, según formato d</w:t>
      </w:r>
      <w:r w:rsidRPr="00392448">
        <w:rPr>
          <w:sz w:val="24"/>
          <w:lang w:val="es-CR"/>
        </w:rPr>
        <w:t>el cuadro adjunto:</w:t>
      </w:r>
    </w:p>
    <w:p w:rsidR="00E669A5" w:rsidP="00E669A5" w:rsidRDefault="00E669A5" w14:paraId="50166D6F" w14:textId="77777777">
      <w:pPr>
        <w:pStyle w:val="Prrafodelista"/>
        <w:spacing w:line="240" w:lineRule="auto"/>
        <w:ind w:left="851"/>
        <w:rPr>
          <w:sz w:val="24"/>
          <w:lang w:val="es-CR"/>
        </w:rPr>
      </w:pPr>
    </w:p>
    <w:tbl>
      <w:tblPr>
        <w:tblStyle w:val="Tablaconcuadrcula"/>
        <w:tblW w:w="0" w:type="auto"/>
        <w:jc w:val="right"/>
        <w:tblLook w:val="04A0" w:firstRow="1" w:lastRow="0" w:firstColumn="1" w:lastColumn="0" w:noHBand="0" w:noVBand="1"/>
      </w:tblPr>
      <w:tblGrid>
        <w:gridCol w:w="2122"/>
        <w:gridCol w:w="3827"/>
        <w:gridCol w:w="2005"/>
      </w:tblGrid>
      <w:tr w:rsidRPr="00392448" w:rsidR="00E669A5" w:rsidTr="00E669A5" w14:paraId="70E2D02F" w14:textId="77777777">
        <w:trPr>
          <w:jc w:val="right"/>
        </w:trPr>
        <w:tc>
          <w:tcPr>
            <w:tcW w:w="2122" w:type="dxa"/>
            <w:vAlign w:val="center"/>
          </w:tcPr>
          <w:p w:rsidRPr="006E51A2" w:rsidR="00E669A5" w:rsidP="00E669A5" w:rsidRDefault="00E669A5" w14:paraId="07711F0F" w14:textId="77777777">
            <w:pPr>
              <w:spacing w:line="240" w:lineRule="auto"/>
              <w:jc w:val="center"/>
              <w:rPr>
                <w:b/>
                <w:bCs/>
                <w:sz w:val="20"/>
                <w:szCs w:val="20"/>
                <w:lang w:val="es-CR"/>
              </w:rPr>
            </w:pPr>
            <w:r w:rsidRPr="006E51A2">
              <w:rPr>
                <w:b/>
                <w:bCs/>
                <w:sz w:val="20"/>
                <w:szCs w:val="20"/>
                <w:lang w:val="es-CR"/>
              </w:rPr>
              <w:t>Tipo de operación</w:t>
            </w:r>
          </w:p>
        </w:tc>
        <w:tc>
          <w:tcPr>
            <w:tcW w:w="3827" w:type="dxa"/>
            <w:vAlign w:val="center"/>
          </w:tcPr>
          <w:p w:rsidRPr="006E51A2" w:rsidR="00E669A5" w:rsidP="00E669A5" w:rsidRDefault="00E669A5" w14:paraId="19C12CDC" w14:textId="77777777">
            <w:pPr>
              <w:spacing w:line="240" w:lineRule="auto"/>
              <w:jc w:val="center"/>
              <w:rPr>
                <w:b/>
                <w:bCs/>
                <w:sz w:val="20"/>
                <w:szCs w:val="20"/>
                <w:lang w:val="es-CR"/>
              </w:rPr>
            </w:pPr>
            <w:r w:rsidRPr="006E51A2">
              <w:rPr>
                <w:b/>
                <w:bCs/>
                <w:sz w:val="20"/>
                <w:szCs w:val="20"/>
                <w:lang w:val="es-CR"/>
              </w:rPr>
              <w:t>Cantidad de contratos con vencimiento posterior al 31 de diciembre de 2021</w:t>
            </w:r>
          </w:p>
        </w:tc>
        <w:tc>
          <w:tcPr>
            <w:tcW w:w="2005" w:type="dxa"/>
            <w:vAlign w:val="center"/>
          </w:tcPr>
          <w:p w:rsidRPr="006E51A2" w:rsidR="00E669A5" w:rsidP="00E669A5" w:rsidRDefault="00E669A5" w14:paraId="22E2C66C" w14:textId="77777777">
            <w:pPr>
              <w:spacing w:line="240" w:lineRule="auto"/>
              <w:jc w:val="center"/>
              <w:rPr>
                <w:b/>
                <w:bCs/>
                <w:sz w:val="20"/>
                <w:szCs w:val="20"/>
                <w:lang w:val="es-CR"/>
              </w:rPr>
            </w:pPr>
            <w:r w:rsidRPr="006E51A2">
              <w:rPr>
                <w:b/>
                <w:bCs/>
                <w:sz w:val="20"/>
                <w:szCs w:val="20"/>
                <w:lang w:val="es-CR"/>
              </w:rPr>
              <w:t xml:space="preserve">Monto en </w:t>
            </w:r>
            <w:r>
              <w:rPr>
                <w:b/>
                <w:bCs/>
                <w:sz w:val="20"/>
                <w:szCs w:val="20"/>
                <w:lang w:val="es-CR"/>
              </w:rPr>
              <w:t>millones de colones</w:t>
            </w:r>
          </w:p>
        </w:tc>
      </w:tr>
      <w:tr w:rsidRPr="00392448" w:rsidR="00E669A5" w:rsidTr="00E669A5" w14:paraId="4D1A7397" w14:textId="77777777">
        <w:trPr>
          <w:jc w:val="right"/>
        </w:trPr>
        <w:tc>
          <w:tcPr>
            <w:tcW w:w="2122" w:type="dxa"/>
            <w:vAlign w:val="center"/>
          </w:tcPr>
          <w:p w:rsidRPr="006E51A2" w:rsidR="00E669A5" w:rsidP="00E669A5" w:rsidRDefault="00E669A5" w14:paraId="485988B2" w14:textId="77777777">
            <w:pPr>
              <w:spacing w:line="240" w:lineRule="auto"/>
              <w:rPr>
                <w:sz w:val="20"/>
                <w:szCs w:val="20"/>
                <w:lang w:val="es-CR"/>
              </w:rPr>
            </w:pPr>
            <w:r w:rsidRPr="006E51A2">
              <w:rPr>
                <w:sz w:val="20"/>
                <w:szCs w:val="20"/>
                <w:lang w:val="es-CR"/>
              </w:rPr>
              <w:t>Derivados</w:t>
            </w:r>
          </w:p>
        </w:tc>
        <w:tc>
          <w:tcPr>
            <w:tcW w:w="3827" w:type="dxa"/>
            <w:vAlign w:val="center"/>
          </w:tcPr>
          <w:p w:rsidRPr="006E51A2" w:rsidR="00E669A5" w:rsidP="00E669A5" w:rsidRDefault="00E669A5" w14:paraId="2DDDE49D" w14:textId="77777777">
            <w:pPr>
              <w:spacing w:line="240" w:lineRule="auto"/>
              <w:rPr>
                <w:sz w:val="20"/>
                <w:szCs w:val="20"/>
                <w:lang w:val="es-CR"/>
              </w:rPr>
            </w:pPr>
          </w:p>
        </w:tc>
        <w:tc>
          <w:tcPr>
            <w:tcW w:w="2005" w:type="dxa"/>
            <w:vAlign w:val="center"/>
          </w:tcPr>
          <w:p w:rsidRPr="006E51A2" w:rsidR="00E669A5" w:rsidP="00E669A5" w:rsidRDefault="00E669A5" w14:paraId="34982D9B" w14:textId="77777777">
            <w:pPr>
              <w:spacing w:line="240" w:lineRule="auto"/>
              <w:rPr>
                <w:sz w:val="20"/>
                <w:szCs w:val="20"/>
                <w:lang w:val="es-CR"/>
              </w:rPr>
            </w:pPr>
          </w:p>
        </w:tc>
      </w:tr>
      <w:tr w:rsidRPr="00392448" w:rsidR="00E669A5" w:rsidTr="00E669A5" w14:paraId="369A0E75" w14:textId="77777777">
        <w:trPr>
          <w:jc w:val="right"/>
        </w:trPr>
        <w:tc>
          <w:tcPr>
            <w:tcW w:w="2122" w:type="dxa"/>
            <w:vAlign w:val="center"/>
          </w:tcPr>
          <w:p w:rsidRPr="006E51A2" w:rsidR="00E669A5" w:rsidP="00E669A5" w:rsidRDefault="00E669A5" w14:paraId="0AD1515C" w14:textId="77777777">
            <w:pPr>
              <w:spacing w:line="240" w:lineRule="auto"/>
              <w:rPr>
                <w:sz w:val="20"/>
                <w:szCs w:val="20"/>
                <w:lang w:val="es-CR"/>
              </w:rPr>
            </w:pPr>
            <w:r w:rsidRPr="006E51A2">
              <w:rPr>
                <w:sz w:val="20"/>
                <w:szCs w:val="20"/>
                <w:lang w:val="es-CR"/>
              </w:rPr>
              <w:t>Créditos de Consumo</w:t>
            </w:r>
          </w:p>
        </w:tc>
        <w:tc>
          <w:tcPr>
            <w:tcW w:w="3827" w:type="dxa"/>
            <w:vAlign w:val="center"/>
          </w:tcPr>
          <w:p w:rsidRPr="006E51A2" w:rsidR="00E669A5" w:rsidP="00E669A5" w:rsidRDefault="00E669A5" w14:paraId="1B2AE04F" w14:textId="77777777">
            <w:pPr>
              <w:spacing w:line="240" w:lineRule="auto"/>
              <w:rPr>
                <w:sz w:val="20"/>
                <w:szCs w:val="20"/>
                <w:lang w:val="es-CR"/>
              </w:rPr>
            </w:pPr>
          </w:p>
        </w:tc>
        <w:tc>
          <w:tcPr>
            <w:tcW w:w="2005" w:type="dxa"/>
            <w:vAlign w:val="center"/>
          </w:tcPr>
          <w:p w:rsidRPr="006E51A2" w:rsidR="00E669A5" w:rsidP="00E669A5" w:rsidRDefault="00E669A5" w14:paraId="56EBFEC7" w14:textId="77777777">
            <w:pPr>
              <w:spacing w:line="240" w:lineRule="auto"/>
              <w:rPr>
                <w:sz w:val="20"/>
                <w:szCs w:val="20"/>
                <w:lang w:val="es-CR"/>
              </w:rPr>
            </w:pPr>
          </w:p>
        </w:tc>
      </w:tr>
      <w:tr w:rsidRPr="00392448" w:rsidR="00E669A5" w:rsidTr="00E669A5" w14:paraId="732CABEF" w14:textId="77777777">
        <w:trPr>
          <w:jc w:val="right"/>
        </w:trPr>
        <w:tc>
          <w:tcPr>
            <w:tcW w:w="2122" w:type="dxa"/>
            <w:vAlign w:val="center"/>
          </w:tcPr>
          <w:p w:rsidRPr="006E51A2" w:rsidR="00E669A5" w:rsidP="00E669A5" w:rsidRDefault="00E669A5" w14:paraId="4F296323" w14:textId="77777777">
            <w:pPr>
              <w:spacing w:line="240" w:lineRule="auto"/>
              <w:rPr>
                <w:sz w:val="20"/>
                <w:szCs w:val="20"/>
                <w:lang w:val="es-CR"/>
              </w:rPr>
            </w:pPr>
            <w:r w:rsidRPr="006E51A2">
              <w:rPr>
                <w:sz w:val="20"/>
                <w:szCs w:val="20"/>
                <w:lang w:val="es-CR"/>
              </w:rPr>
              <w:t>Créditos Corporativos</w:t>
            </w:r>
          </w:p>
        </w:tc>
        <w:tc>
          <w:tcPr>
            <w:tcW w:w="3827" w:type="dxa"/>
            <w:vAlign w:val="center"/>
          </w:tcPr>
          <w:p w:rsidRPr="006E51A2" w:rsidR="00E669A5" w:rsidP="00E669A5" w:rsidRDefault="00E669A5" w14:paraId="01CD1E3E" w14:textId="77777777">
            <w:pPr>
              <w:spacing w:line="240" w:lineRule="auto"/>
              <w:rPr>
                <w:sz w:val="20"/>
                <w:szCs w:val="20"/>
                <w:lang w:val="es-CR"/>
              </w:rPr>
            </w:pPr>
          </w:p>
        </w:tc>
        <w:tc>
          <w:tcPr>
            <w:tcW w:w="2005" w:type="dxa"/>
            <w:vAlign w:val="center"/>
          </w:tcPr>
          <w:p w:rsidRPr="006E51A2" w:rsidR="00E669A5" w:rsidP="00E669A5" w:rsidRDefault="00E669A5" w14:paraId="350DF2E9" w14:textId="77777777">
            <w:pPr>
              <w:spacing w:line="240" w:lineRule="auto"/>
              <w:rPr>
                <w:sz w:val="20"/>
                <w:szCs w:val="20"/>
                <w:lang w:val="es-CR"/>
              </w:rPr>
            </w:pPr>
          </w:p>
        </w:tc>
      </w:tr>
      <w:tr w:rsidRPr="00392448" w:rsidR="00E669A5" w:rsidTr="00E669A5" w14:paraId="50F0A387" w14:textId="77777777">
        <w:trPr>
          <w:jc w:val="right"/>
        </w:trPr>
        <w:tc>
          <w:tcPr>
            <w:tcW w:w="2122" w:type="dxa"/>
            <w:vAlign w:val="center"/>
          </w:tcPr>
          <w:p w:rsidRPr="006E51A2" w:rsidR="00E669A5" w:rsidP="00E669A5" w:rsidRDefault="00E669A5" w14:paraId="13CCF81F" w14:textId="77777777">
            <w:pPr>
              <w:spacing w:line="240" w:lineRule="auto"/>
              <w:rPr>
                <w:sz w:val="20"/>
                <w:szCs w:val="20"/>
                <w:lang w:val="es-CR"/>
              </w:rPr>
            </w:pPr>
            <w:r w:rsidRPr="006E51A2">
              <w:rPr>
                <w:sz w:val="20"/>
                <w:szCs w:val="20"/>
                <w:lang w:val="es-CR"/>
              </w:rPr>
              <w:t>Pasivos</w:t>
            </w:r>
          </w:p>
        </w:tc>
        <w:tc>
          <w:tcPr>
            <w:tcW w:w="3827" w:type="dxa"/>
            <w:vAlign w:val="center"/>
          </w:tcPr>
          <w:p w:rsidRPr="006E51A2" w:rsidR="00E669A5" w:rsidP="00E669A5" w:rsidRDefault="00E669A5" w14:paraId="39578053" w14:textId="77777777">
            <w:pPr>
              <w:spacing w:line="240" w:lineRule="auto"/>
              <w:rPr>
                <w:sz w:val="20"/>
                <w:szCs w:val="20"/>
                <w:lang w:val="es-CR"/>
              </w:rPr>
            </w:pPr>
          </w:p>
        </w:tc>
        <w:tc>
          <w:tcPr>
            <w:tcW w:w="2005" w:type="dxa"/>
            <w:vAlign w:val="center"/>
          </w:tcPr>
          <w:p w:rsidRPr="006E51A2" w:rsidR="00E669A5" w:rsidP="00E669A5" w:rsidRDefault="00E669A5" w14:paraId="6CE2B96E" w14:textId="77777777">
            <w:pPr>
              <w:spacing w:line="240" w:lineRule="auto"/>
              <w:rPr>
                <w:sz w:val="20"/>
                <w:szCs w:val="20"/>
                <w:lang w:val="es-CR"/>
              </w:rPr>
            </w:pPr>
          </w:p>
        </w:tc>
      </w:tr>
      <w:tr w:rsidRPr="00392448" w:rsidR="00E669A5" w:rsidTr="00E669A5" w14:paraId="03500B09" w14:textId="77777777">
        <w:trPr>
          <w:jc w:val="right"/>
        </w:trPr>
        <w:tc>
          <w:tcPr>
            <w:tcW w:w="2122" w:type="dxa"/>
            <w:vAlign w:val="center"/>
          </w:tcPr>
          <w:p w:rsidRPr="006E51A2" w:rsidR="00E669A5" w:rsidP="00E669A5" w:rsidRDefault="00E669A5" w14:paraId="3ABE418B" w14:textId="77777777">
            <w:pPr>
              <w:spacing w:line="240" w:lineRule="auto"/>
              <w:rPr>
                <w:sz w:val="20"/>
                <w:szCs w:val="20"/>
                <w:lang w:val="es-CR"/>
              </w:rPr>
            </w:pPr>
            <w:r w:rsidRPr="006E51A2">
              <w:rPr>
                <w:sz w:val="20"/>
                <w:szCs w:val="20"/>
                <w:lang w:val="es-CR"/>
              </w:rPr>
              <w:t>Otros</w:t>
            </w:r>
          </w:p>
        </w:tc>
        <w:tc>
          <w:tcPr>
            <w:tcW w:w="3827" w:type="dxa"/>
            <w:vAlign w:val="center"/>
          </w:tcPr>
          <w:p w:rsidRPr="006E51A2" w:rsidR="00E669A5" w:rsidP="00E669A5" w:rsidRDefault="00E669A5" w14:paraId="2FE5409F" w14:textId="77777777">
            <w:pPr>
              <w:spacing w:line="240" w:lineRule="auto"/>
              <w:rPr>
                <w:sz w:val="20"/>
                <w:szCs w:val="20"/>
                <w:lang w:val="es-CR"/>
              </w:rPr>
            </w:pPr>
          </w:p>
        </w:tc>
        <w:tc>
          <w:tcPr>
            <w:tcW w:w="2005" w:type="dxa"/>
            <w:vAlign w:val="center"/>
          </w:tcPr>
          <w:p w:rsidRPr="006E51A2" w:rsidR="00E669A5" w:rsidP="00E669A5" w:rsidRDefault="00E669A5" w14:paraId="08ECE669" w14:textId="77777777">
            <w:pPr>
              <w:spacing w:line="240" w:lineRule="auto"/>
              <w:rPr>
                <w:sz w:val="20"/>
                <w:szCs w:val="20"/>
                <w:lang w:val="es-CR"/>
              </w:rPr>
            </w:pPr>
          </w:p>
        </w:tc>
      </w:tr>
    </w:tbl>
    <w:p w:rsidR="00E669A5" w:rsidP="00E669A5" w:rsidRDefault="00E669A5" w14:paraId="30C41749" w14:textId="77777777">
      <w:pPr>
        <w:pStyle w:val="Prrafodelista"/>
        <w:spacing w:line="240" w:lineRule="auto"/>
        <w:rPr>
          <w:sz w:val="24"/>
          <w:lang w:val="es-CR"/>
        </w:rPr>
      </w:pPr>
    </w:p>
    <w:p w:rsidR="00E669A5" w:rsidP="00E669A5" w:rsidRDefault="00E669A5" w14:paraId="6DBE1C24" w14:textId="77777777">
      <w:pPr>
        <w:pStyle w:val="Prrafodelista"/>
        <w:numPr>
          <w:ilvl w:val="0"/>
          <w:numId w:val="4"/>
        </w:numPr>
        <w:spacing w:line="240" w:lineRule="auto"/>
        <w:ind w:left="851" w:hanging="284"/>
        <w:rPr>
          <w:sz w:val="24"/>
          <w:lang w:val="es-CR"/>
        </w:rPr>
      </w:pPr>
      <w:r>
        <w:rPr>
          <w:sz w:val="24"/>
          <w:lang w:val="es-CR"/>
        </w:rPr>
        <w:t>P</w:t>
      </w:r>
      <w:r w:rsidRPr="00392448">
        <w:rPr>
          <w:sz w:val="24"/>
          <w:lang w:val="es-CR"/>
        </w:rPr>
        <w:t>lazo definido para implementar los cambios en los contratos vigentes</w:t>
      </w:r>
      <w:r>
        <w:rPr>
          <w:sz w:val="24"/>
          <w:lang w:val="es-CR"/>
        </w:rPr>
        <w:t>.</w:t>
      </w:r>
    </w:p>
    <w:p w:rsidRPr="00392448" w:rsidR="00E669A5" w:rsidP="00E669A5" w:rsidRDefault="00E669A5" w14:paraId="314A9301" w14:textId="77777777">
      <w:pPr>
        <w:pStyle w:val="Prrafodelista"/>
        <w:spacing w:line="240" w:lineRule="auto"/>
        <w:ind w:left="851" w:hanging="284"/>
        <w:rPr>
          <w:sz w:val="24"/>
          <w:lang w:val="es-CR"/>
        </w:rPr>
      </w:pPr>
    </w:p>
    <w:p w:rsidR="00E669A5" w:rsidP="00E669A5" w:rsidRDefault="00E669A5" w14:paraId="14F66602" w14:textId="77777777">
      <w:pPr>
        <w:pStyle w:val="Prrafodelista"/>
        <w:numPr>
          <w:ilvl w:val="0"/>
          <w:numId w:val="4"/>
        </w:numPr>
        <w:spacing w:line="240" w:lineRule="auto"/>
        <w:ind w:left="851" w:hanging="284"/>
        <w:rPr>
          <w:sz w:val="24"/>
          <w:lang w:val="es-CR"/>
        </w:rPr>
      </w:pPr>
      <w:r>
        <w:rPr>
          <w:sz w:val="24"/>
          <w:lang w:val="es-CR"/>
        </w:rPr>
        <w:t>C</w:t>
      </w:r>
      <w:r w:rsidRPr="00392448">
        <w:rPr>
          <w:sz w:val="24"/>
          <w:lang w:val="es-CR"/>
        </w:rPr>
        <w:t xml:space="preserve">láusulas que </w:t>
      </w:r>
      <w:r>
        <w:rPr>
          <w:sz w:val="24"/>
          <w:lang w:val="es-CR"/>
        </w:rPr>
        <w:t>están siendo incorporadas</w:t>
      </w:r>
      <w:r w:rsidRPr="00392448">
        <w:rPr>
          <w:sz w:val="24"/>
          <w:lang w:val="es-CR"/>
        </w:rPr>
        <w:t xml:space="preserve"> en los contratos </w:t>
      </w:r>
      <w:r>
        <w:rPr>
          <w:sz w:val="24"/>
          <w:lang w:val="es-CR"/>
        </w:rPr>
        <w:t xml:space="preserve">vigentes </w:t>
      </w:r>
      <w:r w:rsidRPr="00392448">
        <w:rPr>
          <w:sz w:val="24"/>
          <w:lang w:val="es-CR"/>
        </w:rPr>
        <w:t xml:space="preserve">de operaciones que utilizan como referencia la tasa </w:t>
      </w:r>
      <w:r>
        <w:rPr>
          <w:sz w:val="24"/>
          <w:lang w:val="es-CR"/>
        </w:rPr>
        <w:t>Libor</w:t>
      </w:r>
      <w:r w:rsidRPr="00392448">
        <w:rPr>
          <w:sz w:val="24"/>
          <w:lang w:val="es-CR"/>
        </w:rPr>
        <w:t>.</w:t>
      </w:r>
    </w:p>
    <w:p w:rsidRPr="006B461B" w:rsidR="00E669A5" w:rsidP="00E669A5" w:rsidRDefault="00E669A5" w14:paraId="4BB409A2" w14:textId="77777777">
      <w:pPr>
        <w:pStyle w:val="Prrafodelista"/>
        <w:spacing w:line="240" w:lineRule="auto"/>
        <w:ind w:left="851" w:hanging="284"/>
        <w:rPr>
          <w:sz w:val="24"/>
          <w:lang w:val="es-CR"/>
        </w:rPr>
      </w:pPr>
    </w:p>
    <w:p w:rsidR="00E669A5" w:rsidP="00E669A5" w:rsidRDefault="00E669A5" w14:paraId="54E25A73" w14:textId="58DCEC18">
      <w:pPr>
        <w:pStyle w:val="Prrafodelista"/>
        <w:numPr>
          <w:ilvl w:val="0"/>
          <w:numId w:val="4"/>
        </w:numPr>
        <w:spacing w:line="240" w:lineRule="auto"/>
        <w:ind w:left="851" w:hanging="284"/>
        <w:rPr>
          <w:sz w:val="24"/>
          <w:lang w:val="es-CR"/>
        </w:rPr>
      </w:pPr>
      <w:r>
        <w:rPr>
          <w:sz w:val="24"/>
          <w:lang w:val="es-CR"/>
        </w:rPr>
        <w:t>A</w:t>
      </w:r>
      <w:r w:rsidRPr="00392448">
        <w:rPr>
          <w:sz w:val="24"/>
          <w:lang w:val="es-CR"/>
        </w:rPr>
        <w:t xml:space="preserve">nálisis efectuados en torno a las tasas </w:t>
      </w:r>
      <w:r>
        <w:rPr>
          <w:sz w:val="24"/>
          <w:lang w:val="es-CR"/>
        </w:rPr>
        <w:t>de referencia</w:t>
      </w:r>
      <w:r w:rsidRPr="00392448">
        <w:rPr>
          <w:sz w:val="24"/>
          <w:lang w:val="es-CR"/>
        </w:rPr>
        <w:t xml:space="preserve"> que </w:t>
      </w:r>
      <w:r>
        <w:rPr>
          <w:sz w:val="24"/>
          <w:lang w:val="es-CR"/>
        </w:rPr>
        <w:t>podrían sustituir</w:t>
      </w:r>
      <w:r w:rsidRPr="00392448">
        <w:rPr>
          <w:sz w:val="24"/>
          <w:lang w:val="es-CR"/>
        </w:rPr>
        <w:t xml:space="preserve"> la tasa Libor</w:t>
      </w:r>
      <w:r>
        <w:rPr>
          <w:sz w:val="24"/>
          <w:lang w:val="es-CR"/>
        </w:rPr>
        <w:t>,</w:t>
      </w:r>
      <w:r w:rsidRPr="00392448">
        <w:rPr>
          <w:sz w:val="24"/>
          <w:lang w:val="es-CR"/>
        </w:rPr>
        <w:t xml:space="preserve"> y si ha</w:t>
      </w:r>
      <w:r>
        <w:rPr>
          <w:sz w:val="24"/>
          <w:lang w:val="es-CR"/>
        </w:rPr>
        <w:t>n</w:t>
      </w:r>
      <w:r w:rsidRPr="00392448">
        <w:rPr>
          <w:sz w:val="24"/>
          <w:lang w:val="es-CR"/>
        </w:rPr>
        <w:t xml:space="preserve"> formalizado la </w:t>
      </w:r>
      <w:r>
        <w:rPr>
          <w:sz w:val="24"/>
          <w:lang w:val="es-CR"/>
        </w:rPr>
        <w:t xml:space="preserve">decisión en cuanto a la </w:t>
      </w:r>
      <w:r w:rsidRPr="00392448">
        <w:rPr>
          <w:sz w:val="24"/>
          <w:lang w:val="es-CR"/>
        </w:rPr>
        <w:t>tasa de referencia que estaría optando a partir de enero</w:t>
      </w:r>
      <w:r>
        <w:rPr>
          <w:sz w:val="24"/>
          <w:lang w:val="es-CR"/>
        </w:rPr>
        <w:t xml:space="preserve"> de</w:t>
      </w:r>
      <w:r w:rsidRPr="00392448">
        <w:rPr>
          <w:sz w:val="24"/>
          <w:lang w:val="es-CR"/>
        </w:rPr>
        <w:t xml:space="preserve"> 2022.</w:t>
      </w:r>
    </w:p>
    <w:p w:rsidRPr="00E669A5" w:rsidR="00E669A5" w:rsidP="00E669A5" w:rsidRDefault="00E669A5" w14:paraId="554B8F06" w14:textId="77777777">
      <w:pPr>
        <w:pStyle w:val="Prrafodelista"/>
        <w:spacing w:line="240" w:lineRule="auto"/>
        <w:rPr>
          <w:sz w:val="24"/>
          <w:lang w:val="es-CR"/>
        </w:rPr>
      </w:pPr>
    </w:p>
    <w:p w:rsidR="00E669A5" w:rsidP="00E669A5" w:rsidRDefault="00E669A5" w14:paraId="7AE066FE" w14:textId="77777777">
      <w:pPr>
        <w:pStyle w:val="Prrafodelista"/>
        <w:numPr>
          <w:ilvl w:val="0"/>
          <w:numId w:val="4"/>
        </w:numPr>
        <w:spacing w:line="240" w:lineRule="auto"/>
        <w:ind w:left="851" w:hanging="284"/>
        <w:rPr>
          <w:sz w:val="24"/>
          <w:lang w:val="es-CR"/>
        </w:rPr>
      </w:pPr>
      <w:r>
        <w:rPr>
          <w:sz w:val="24"/>
          <w:lang w:val="es-CR"/>
        </w:rPr>
        <w:lastRenderedPageBreak/>
        <w:t xml:space="preserve">Número de contratos y tasas o tasas de referencias </w:t>
      </w:r>
      <w:r w:rsidRPr="00392448">
        <w:rPr>
          <w:sz w:val="24"/>
          <w:lang w:val="es-CR"/>
        </w:rPr>
        <w:t>que ha</w:t>
      </w:r>
      <w:r>
        <w:rPr>
          <w:sz w:val="24"/>
          <w:lang w:val="es-CR"/>
        </w:rPr>
        <w:t>n</w:t>
      </w:r>
      <w:r w:rsidRPr="00392448">
        <w:rPr>
          <w:sz w:val="24"/>
          <w:lang w:val="es-CR"/>
        </w:rPr>
        <w:t xml:space="preserve"> sido incorporada</w:t>
      </w:r>
      <w:r>
        <w:rPr>
          <w:sz w:val="24"/>
          <w:lang w:val="es-CR"/>
        </w:rPr>
        <w:t>s</w:t>
      </w:r>
      <w:r w:rsidRPr="00392448">
        <w:rPr>
          <w:sz w:val="24"/>
          <w:lang w:val="es-CR"/>
        </w:rPr>
        <w:t xml:space="preserve"> en l</w:t>
      </w:r>
      <w:r>
        <w:rPr>
          <w:sz w:val="24"/>
          <w:lang w:val="es-CR"/>
        </w:rPr>
        <w:t>a</w:t>
      </w:r>
      <w:r w:rsidRPr="00392448">
        <w:rPr>
          <w:sz w:val="24"/>
          <w:lang w:val="es-CR"/>
        </w:rPr>
        <w:t>s operaciones nuevas</w:t>
      </w:r>
      <w:r>
        <w:rPr>
          <w:sz w:val="24"/>
          <w:lang w:val="es-CR"/>
        </w:rPr>
        <w:t xml:space="preserve"> o vigentes en sustitución de la tasa Libor.</w:t>
      </w:r>
    </w:p>
    <w:p w:rsidR="00E669A5" w:rsidP="00E669A5" w:rsidRDefault="00E669A5" w14:paraId="0DDC1C75" w14:textId="77777777">
      <w:pPr>
        <w:pStyle w:val="Prrafodelista"/>
        <w:spacing w:line="240" w:lineRule="auto"/>
        <w:ind w:left="851"/>
        <w:rPr>
          <w:sz w:val="24"/>
          <w:lang w:val="es-CR"/>
        </w:rPr>
      </w:pPr>
    </w:p>
    <w:p w:rsidRPr="002232BC" w:rsidR="00E669A5" w:rsidP="00E669A5" w:rsidRDefault="00E669A5" w14:paraId="503C637C" w14:textId="77777777">
      <w:pPr>
        <w:pStyle w:val="Prrafodelista"/>
        <w:numPr>
          <w:ilvl w:val="0"/>
          <w:numId w:val="4"/>
        </w:numPr>
        <w:spacing w:line="240" w:lineRule="auto"/>
        <w:ind w:left="851" w:hanging="284"/>
        <w:rPr>
          <w:sz w:val="24"/>
          <w:lang w:val="es-CR"/>
        </w:rPr>
      </w:pPr>
      <w:r>
        <w:rPr>
          <w:sz w:val="24"/>
          <w:lang w:val="es-CR"/>
        </w:rPr>
        <w:t>Gestiones efectuadas para la protección de los clientes.</w:t>
      </w:r>
    </w:p>
    <w:p w:rsidR="00E669A5" w:rsidP="00E669A5" w:rsidRDefault="00E669A5" w14:paraId="37C1619E" w14:textId="77777777">
      <w:pPr>
        <w:pStyle w:val="Texto"/>
        <w:spacing w:before="0" w:after="0" w:line="240" w:lineRule="auto"/>
        <w:rPr>
          <w:sz w:val="24"/>
        </w:rPr>
      </w:pPr>
    </w:p>
    <w:p w:rsidRPr="002E2B0A" w:rsidR="00E669A5" w:rsidP="00E669A5" w:rsidRDefault="00E669A5" w14:paraId="10CAAE83" w14:textId="77777777">
      <w:pPr>
        <w:pStyle w:val="Texto"/>
        <w:spacing w:before="0" w:after="0" w:line="240" w:lineRule="auto"/>
        <w:rPr>
          <w:sz w:val="24"/>
        </w:rPr>
      </w:pPr>
      <w:r w:rsidRPr="002E2B0A">
        <w:rPr>
          <w:sz w:val="24"/>
        </w:rPr>
        <w:t>Atentamente,</w:t>
      </w:r>
    </w:p>
    <w:p w:rsidRPr="002E2B0A" w:rsidR="00E669A5" w:rsidP="00E669A5" w:rsidRDefault="00E669A5" w14:paraId="4A958F56" w14:textId="77777777">
      <w:pPr>
        <w:spacing w:line="240" w:lineRule="auto"/>
        <w:rPr>
          <w:sz w:val="24"/>
        </w:rPr>
      </w:pPr>
      <w:r>
        <w:rPr>
          <w:noProof/>
          <w:lang w:val="es-CR" w:eastAsia="es-CR"/>
        </w:rPr>
        <w:drawing>
          <wp:anchor distT="0" distB="0" distL="114300" distR="114300" simplePos="0" relativeHeight="251659264" behindDoc="1" locked="0" layoutInCell="1" allowOverlap="1" wp14:editId="3143F548" wp14:anchorId="2BCEA2B0">
            <wp:simplePos x="0" y="0"/>
            <wp:positionH relativeFrom="column">
              <wp:posOffset>-165735</wp:posOffset>
            </wp:positionH>
            <wp:positionV relativeFrom="paragraph">
              <wp:posOffset>93537</wp:posOffset>
            </wp:positionV>
            <wp:extent cx="2517892" cy="38166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28758" cy="383310"/>
                    </a:xfrm>
                    <a:prstGeom prst="rect">
                      <a:avLst/>
                    </a:prstGeom>
                    <a:noFill/>
                  </pic:spPr>
                </pic:pic>
              </a:graphicData>
            </a:graphic>
            <wp14:sizeRelH relativeFrom="page">
              <wp14:pctWidth>0</wp14:pctWidth>
            </wp14:sizeRelH>
            <wp14:sizeRelV relativeFrom="page">
              <wp14:pctHeight>0</wp14:pctHeight>
            </wp14:sizeRelV>
          </wp:anchor>
        </w:drawing>
      </w:r>
    </w:p>
    <w:p w:rsidR="00E669A5" w:rsidP="00E669A5" w:rsidRDefault="00E669A5" w14:paraId="66A8B579" w14:textId="77777777">
      <w:pPr>
        <w:pStyle w:val="Negrita"/>
        <w:spacing w:line="240" w:lineRule="auto"/>
        <w:jc w:val="left"/>
        <w:rPr>
          <w:b w:val="0"/>
          <w:sz w:val="24"/>
        </w:rPr>
      </w:pPr>
    </w:p>
    <w:p w:rsidR="00E669A5" w:rsidP="00E669A5" w:rsidRDefault="00E669A5" w14:paraId="7146DDFD" w14:textId="77777777">
      <w:pPr>
        <w:spacing w:line="240" w:lineRule="auto"/>
        <w:jc w:val="left"/>
        <w:rPr>
          <w:sz w:val="24"/>
        </w:rPr>
      </w:pPr>
    </w:p>
    <w:p w:rsidR="00E669A5" w:rsidP="00E669A5" w:rsidRDefault="00E669A5" w14:paraId="46BF167D" w14:textId="0F323341">
      <w:pPr>
        <w:spacing w:line="240" w:lineRule="auto"/>
        <w:jc w:val="left"/>
        <w:rPr>
          <w:b/>
          <w:bCs/>
          <w:sz w:val="24"/>
        </w:rPr>
      </w:pPr>
      <w:r w:rsidRPr="00111293">
        <w:rPr>
          <w:sz w:val="24"/>
        </w:rPr>
        <w:t>Rocío Aguilar Montoya</w:t>
      </w:r>
      <w:r w:rsidRPr="00111293">
        <w:rPr>
          <w:sz w:val="24"/>
        </w:rPr>
        <w:br/>
      </w:r>
      <w:r w:rsidRPr="00111293">
        <w:rPr>
          <w:b/>
          <w:bCs/>
          <w:sz w:val="24"/>
        </w:rPr>
        <w:t>Superintendente General</w:t>
      </w:r>
    </w:p>
    <w:p w:rsidR="00E669A5" w:rsidP="00E669A5" w:rsidRDefault="00E669A5" w14:paraId="13E4F94A" w14:textId="523C59F5">
      <w:pPr>
        <w:spacing w:line="240" w:lineRule="auto"/>
        <w:jc w:val="left"/>
        <w:rPr>
          <w:b/>
          <w:bCs/>
          <w:sz w:val="24"/>
        </w:rPr>
      </w:pPr>
    </w:p>
    <w:p w:rsidRPr="00E669A5" w:rsidR="00E669A5" w:rsidP="00E669A5" w:rsidRDefault="00E669A5" w14:paraId="7053F02E" w14:textId="0CF2E020">
      <w:pPr>
        <w:spacing w:line="240" w:lineRule="auto"/>
        <w:jc w:val="left"/>
        <w:rPr>
          <w:sz w:val="14"/>
        </w:rPr>
      </w:pPr>
      <w:r w:rsidRPr="00E669A5">
        <w:rPr>
          <w:bCs/>
          <w:sz w:val="16"/>
        </w:rPr>
        <w:t>AAC/</w:t>
      </w:r>
      <w:proofErr w:type="spellStart"/>
      <w:r w:rsidRPr="00E669A5">
        <w:rPr>
          <w:bCs/>
          <w:sz w:val="16"/>
        </w:rPr>
        <w:t>nbm</w:t>
      </w:r>
      <w:proofErr w:type="spellEnd"/>
    </w:p>
    <w:p w:rsidR="00E669A5" w:rsidP="00E669A5" w:rsidRDefault="00E669A5" w14:paraId="2E5A3261" w14:textId="77777777">
      <w:pPr>
        <w:pStyle w:val="Prrafodelista"/>
        <w:spacing w:line="240" w:lineRule="auto"/>
        <w:ind w:left="851"/>
        <w:rPr>
          <w:sz w:val="24"/>
          <w:lang w:val="es-CR"/>
        </w:rPr>
      </w:pPr>
    </w:p>
    <w:p w:rsidRPr="003F2FD1" w:rsidR="00E669A5" w:rsidP="00E669A5" w:rsidRDefault="00E669A5" w14:paraId="0C3781A5" w14:textId="7DAB56E6">
      <w:pPr>
        <w:spacing w:after="160" w:line="259" w:lineRule="auto"/>
        <w:jc w:val="left"/>
        <w:rPr>
          <w:sz w:val="24"/>
          <w:lang w:val="es-CR"/>
        </w:rPr>
      </w:pPr>
      <w:r>
        <w:rPr>
          <w:sz w:val="24"/>
          <w:lang w:val="es-CR"/>
        </w:rPr>
        <w:br w:type="page"/>
      </w:r>
    </w:p>
    <w:p w:rsidRPr="006972C9" w:rsidR="00AF06C5" w:rsidP="00E669A5" w:rsidRDefault="00AF06C5" w14:paraId="6716C4DF" w14:textId="664A4B3C">
      <w:pPr>
        <w:pStyle w:val="Texto"/>
        <w:spacing w:before="0" w:after="0" w:line="240" w:lineRule="auto"/>
        <w:jc w:val="center"/>
      </w:pPr>
    </w:p>
    <w:sectPr w:rsidRPr="006972C9" w:rsidR="00AF06C5" w:rsidSect="00E669A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993" w:left="1701" w:header="708" w:footer="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D4E5A" w14:textId="77777777" w:rsidR="000E1C2D" w:rsidRDefault="000E1C2D" w:rsidP="009349F3">
      <w:pPr>
        <w:spacing w:line="240" w:lineRule="auto"/>
      </w:pPr>
      <w:r>
        <w:separator/>
      </w:r>
    </w:p>
  </w:endnote>
  <w:endnote w:type="continuationSeparator" w:id="0">
    <w:p w14:paraId="3AA44EB8" w14:textId="77777777" w:rsidR="000E1C2D" w:rsidRDefault="000E1C2D"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9A5" w:rsidRDefault="00E669A5" w14:paraId="452E9EFB"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9A5" w:rsidRDefault="00E669A5" w14:paraId="17628AB2" w14:textId="77777777"/>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E669A5" w14:paraId="52414C8D" w14:textId="77777777">
      <w:tc>
        <w:tcPr>
          <w:tcW w:w="2890" w:type="dxa"/>
        </w:tcPr>
        <w:p w:rsidR="00517D62" w:rsidRDefault="00517D62" w14:paraId="3A2B79C0"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CF2210">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30EA7CC3"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CF2210">
            <w:rPr>
              <w:b/>
              <w:color w:val="7F7F7F" w:themeColor="text1" w:themeTint="80"/>
              <w:sz w:val="16"/>
              <w:szCs w:val="16"/>
            </w:rPr>
            <w:t>-4849</w:t>
          </w:r>
        </w:p>
        <w:p w:rsidRPr="009349F3" w:rsidR="00517D62" w:rsidRDefault="00517D62" w14:paraId="2EC11FA8" w14:textId="77777777">
          <w:pPr>
            <w:pStyle w:val="Piedepgina"/>
            <w:rPr>
              <w:b/>
              <w:color w:val="7F7F7F" w:themeColor="text1" w:themeTint="80"/>
              <w:sz w:val="16"/>
              <w:szCs w:val="16"/>
            </w:rPr>
          </w:pPr>
        </w:p>
      </w:tc>
      <w:tc>
        <w:tcPr>
          <w:tcW w:w="2890" w:type="dxa"/>
        </w:tcPr>
        <w:p w:rsidRPr="009349F3" w:rsidR="00517D62" w:rsidP="00855792" w:rsidRDefault="00517D62" w14:paraId="41E82934"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617" w:type="dxa"/>
        </w:tcPr>
        <w:p w:rsidRPr="009349F3" w:rsidR="00517D62" w:rsidRDefault="00517D62" w14:paraId="02817A13"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41" w:type="dxa"/>
        </w:tcPr>
        <w:p w:rsidRPr="009349F3" w:rsidR="00517D62" w:rsidP="00517D62" w:rsidRDefault="006972C9" w14:paraId="3C34D7A3"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7C57EE">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2E22A0E1"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9A5" w:rsidRDefault="00E669A5" w14:paraId="3D0E1EB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9CF0C" w14:textId="77777777" w:rsidR="000E1C2D" w:rsidRDefault="000E1C2D" w:rsidP="009349F3">
      <w:pPr>
        <w:spacing w:line="240" w:lineRule="auto"/>
      </w:pPr>
      <w:r>
        <w:separator/>
      </w:r>
    </w:p>
  </w:footnote>
  <w:footnote w:type="continuationSeparator" w:id="0">
    <w:p w14:paraId="15A34D45" w14:textId="77777777" w:rsidR="000E1C2D" w:rsidRDefault="000E1C2D"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9A5" w:rsidRDefault="00E669A5" w14:paraId="2201A982"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9A5" w:rsidP="00E669A5" w:rsidRDefault="009349F3" w14:paraId="64B6503E" w14:textId="77777777">
    <w:pPr>
      <w:pStyle w:val="Encabezado"/>
      <w:tabs>
        <w:tab w:val="clear" w:pos="4419"/>
        <w:tab w:val="center" w:pos="3119"/>
      </w:tabs>
    </w:pPr>
    <w:r>
      <w:ptab w:alignment="center" w:relativeTo="margin" w:leader="none"/>
    </w:r>
    <w:r>
      <w:rPr>
        <w:noProof/>
        <w:lang w:val="es-CR" w:eastAsia="es-CR"/>
      </w:rPr>
      <w:drawing>
        <wp:inline distT="0" distB="0" distL="0" distR="0" wp14:anchorId="0AAC15BC" wp14:editId="06CA9036">
          <wp:extent cx="1473145" cy="691055"/>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p w:rsidR="009349F3" w:rsidRDefault="009349F3" w14:paraId="056AE2FA" w14:textId="3A22D0F0">
    <w:pPr>
      <w:pStyle w:val="Encabezado"/>
    </w:pP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9A5" w:rsidRDefault="00E669A5" w14:paraId="15C07E3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069"/>
    <w:multiLevelType w:val="hybridMultilevel"/>
    <w:tmpl w:val="DC100B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26D37DB"/>
    <w:multiLevelType w:val="hybridMultilevel"/>
    <w:tmpl w:val="ED2C7212"/>
    <w:lvl w:ilvl="0" w:tplc="0C0A000F">
      <w:start w:val="1"/>
      <w:numFmt w:val="decimal"/>
      <w:lvlText w:val="%1."/>
      <w:lvlJc w:val="left"/>
      <w:pPr>
        <w:ind w:left="792" w:hanging="360"/>
      </w:pPr>
      <w:rPr>
        <w:rFonts w:hint="default"/>
      </w:rPr>
    </w:lvl>
    <w:lvl w:ilvl="1" w:tplc="140A0019">
      <w:start w:val="1"/>
      <w:numFmt w:val="lowerLetter"/>
      <w:lvlText w:val="%2."/>
      <w:lvlJc w:val="left"/>
      <w:pPr>
        <w:ind w:left="1512" w:hanging="360"/>
      </w:pPr>
    </w:lvl>
    <w:lvl w:ilvl="2" w:tplc="140A001B" w:tentative="1">
      <w:start w:val="1"/>
      <w:numFmt w:val="lowerRoman"/>
      <w:lvlText w:val="%3."/>
      <w:lvlJc w:val="right"/>
      <w:pPr>
        <w:ind w:left="2232" w:hanging="180"/>
      </w:pPr>
    </w:lvl>
    <w:lvl w:ilvl="3" w:tplc="140A000F" w:tentative="1">
      <w:start w:val="1"/>
      <w:numFmt w:val="decimal"/>
      <w:lvlText w:val="%4."/>
      <w:lvlJc w:val="left"/>
      <w:pPr>
        <w:ind w:left="2952" w:hanging="360"/>
      </w:pPr>
    </w:lvl>
    <w:lvl w:ilvl="4" w:tplc="140A0019" w:tentative="1">
      <w:start w:val="1"/>
      <w:numFmt w:val="lowerLetter"/>
      <w:lvlText w:val="%5."/>
      <w:lvlJc w:val="left"/>
      <w:pPr>
        <w:ind w:left="3672" w:hanging="360"/>
      </w:pPr>
    </w:lvl>
    <w:lvl w:ilvl="5" w:tplc="140A001B" w:tentative="1">
      <w:start w:val="1"/>
      <w:numFmt w:val="lowerRoman"/>
      <w:lvlText w:val="%6."/>
      <w:lvlJc w:val="right"/>
      <w:pPr>
        <w:ind w:left="4392" w:hanging="180"/>
      </w:pPr>
    </w:lvl>
    <w:lvl w:ilvl="6" w:tplc="140A000F" w:tentative="1">
      <w:start w:val="1"/>
      <w:numFmt w:val="decimal"/>
      <w:lvlText w:val="%7."/>
      <w:lvlJc w:val="left"/>
      <w:pPr>
        <w:ind w:left="5112" w:hanging="360"/>
      </w:pPr>
    </w:lvl>
    <w:lvl w:ilvl="7" w:tplc="140A0019" w:tentative="1">
      <w:start w:val="1"/>
      <w:numFmt w:val="lowerLetter"/>
      <w:lvlText w:val="%8."/>
      <w:lvlJc w:val="left"/>
      <w:pPr>
        <w:ind w:left="5832" w:hanging="360"/>
      </w:pPr>
    </w:lvl>
    <w:lvl w:ilvl="8" w:tplc="140A001B" w:tentative="1">
      <w:start w:val="1"/>
      <w:numFmt w:val="lowerRoman"/>
      <w:lvlText w:val="%9."/>
      <w:lvlJc w:val="right"/>
      <w:pPr>
        <w:ind w:left="6552"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BE04150"/>
    <w:multiLevelType w:val="hybridMultilevel"/>
    <w:tmpl w:val="B7B08E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6BF90984"/>
    <w:multiLevelType w:val="hybridMultilevel"/>
    <w:tmpl w:val="A08A5AB4"/>
    <w:lvl w:ilvl="0" w:tplc="A94A1A5E">
      <w:start w:val="1"/>
      <w:numFmt w:val="lowerLetter"/>
      <w:lvlText w:val="%1."/>
      <w:lvlJc w:val="left"/>
      <w:pPr>
        <w:ind w:left="1152" w:hanging="360"/>
      </w:pPr>
      <w:rPr>
        <w:rFonts w:hint="default"/>
      </w:rPr>
    </w:lvl>
    <w:lvl w:ilvl="1" w:tplc="140A0019">
      <w:start w:val="1"/>
      <w:numFmt w:val="lowerLetter"/>
      <w:lvlText w:val="%2."/>
      <w:lvlJc w:val="left"/>
      <w:pPr>
        <w:ind w:left="1872" w:hanging="360"/>
      </w:pPr>
    </w:lvl>
    <w:lvl w:ilvl="2" w:tplc="2252109E">
      <w:start w:val="2"/>
      <w:numFmt w:val="decimal"/>
      <w:lvlText w:val="%3."/>
      <w:lvlJc w:val="left"/>
      <w:pPr>
        <w:ind w:left="2772" w:hanging="360"/>
      </w:pPr>
      <w:rPr>
        <w:rFonts w:hint="default"/>
      </w:rPr>
    </w:lvl>
    <w:lvl w:ilvl="3" w:tplc="140A000F" w:tentative="1">
      <w:start w:val="1"/>
      <w:numFmt w:val="decimal"/>
      <w:lvlText w:val="%4."/>
      <w:lvlJc w:val="left"/>
      <w:pPr>
        <w:ind w:left="3312" w:hanging="360"/>
      </w:pPr>
    </w:lvl>
    <w:lvl w:ilvl="4" w:tplc="140A0019" w:tentative="1">
      <w:start w:val="1"/>
      <w:numFmt w:val="lowerLetter"/>
      <w:lvlText w:val="%5."/>
      <w:lvlJc w:val="left"/>
      <w:pPr>
        <w:ind w:left="4032" w:hanging="360"/>
      </w:pPr>
    </w:lvl>
    <w:lvl w:ilvl="5" w:tplc="140A001B" w:tentative="1">
      <w:start w:val="1"/>
      <w:numFmt w:val="lowerRoman"/>
      <w:lvlText w:val="%6."/>
      <w:lvlJc w:val="right"/>
      <w:pPr>
        <w:ind w:left="4752" w:hanging="180"/>
      </w:pPr>
    </w:lvl>
    <w:lvl w:ilvl="6" w:tplc="140A000F" w:tentative="1">
      <w:start w:val="1"/>
      <w:numFmt w:val="decimal"/>
      <w:lvlText w:val="%7."/>
      <w:lvlJc w:val="left"/>
      <w:pPr>
        <w:ind w:left="5472" w:hanging="360"/>
      </w:pPr>
    </w:lvl>
    <w:lvl w:ilvl="7" w:tplc="140A0019" w:tentative="1">
      <w:start w:val="1"/>
      <w:numFmt w:val="lowerLetter"/>
      <w:lvlText w:val="%8."/>
      <w:lvlJc w:val="left"/>
      <w:pPr>
        <w:ind w:left="6192" w:hanging="360"/>
      </w:pPr>
    </w:lvl>
    <w:lvl w:ilvl="8" w:tplc="140A001B" w:tentative="1">
      <w:start w:val="1"/>
      <w:numFmt w:val="lowerRoman"/>
      <w:lvlText w:val="%9."/>
      <w:lvlJc w:val="right"/>
      <w:pPr>
        <w:ind w:left="6912"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2D"/>
    <w:rsid w:val="000E1C2D"/>
    <w:rsid w:val="00517D62"/>
    <w:rsid w:val="006972C9"/>
    <w:rsid w:val="007C57EE"/>
    <w:rsid w:val="008200B7"/>
    <w:rsid w:val="00836E93"/>
    <w:rsid w:val="00855792"/>
    <w:rsid w:val="00900B79"/>
    <w:rsid w:val="00921AE2"/>
    <w:rsid w:val="009349F3"/>
    <w:rsid w:val="00A61441"/>
    <w:rsid w:val="00AF06C5"/>
    <w:rsid w:val="00B7752A"/>
    <w:rsid w:val="00C27EB8"/>
    <w:rsid w:val="00CF2210"/>
    <w:rsid w:val="00D67F08"/>
    <w:rsid w:val="00D927DC"/>
    <w:rsid w:val="00DC07D5"/>
    <w:rsid w:val="00DE2D06"/>
    <w:rsid w:val="00E669A5"/>
    <w:rsid w:val="00FB47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490BCF"/>
  <w15:chartTrackingRefBased/>
  <w15:docId w15:val="{E6C25C47-65CE-4666-B5C4-151F8C25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B47B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47B8"/>
    <w:rPr>
      <w:rFonts w:ascii="Segoe UI" w:eastAsia="Times New Roman" w:hAnsi="Segoe UI" w:cs="Segoe UI"/>
      <w:sz w:val="18"/>
      <w:szCs w:val="18"/>
      <w:lang w:val="es-ES"/>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E669A5"/>
    <w:pPr>
      <w:ind w:left="720"/>
      <w:contextualSpacing/>
    </w:p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E669A5"/>
    <w:rPr>
      <w:rFonts w:ascii="Cambria" w:eastAsia="Times New Roman" w:hAnsi="Cambria" w:cs="Times New Roman"/>
      <w:szCs w:val="24"/>
      <w:lang w:val="es-ES"/>
    </w:rPr>
  </w:style>
  <w:style w:type="paragraph" w:customStyle="1" w:styleId="Default">
    <w:name w:val="Default"/>
    <w:rsid w:val="00E669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bancos_publico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3601A73BEF445E9AFEE831252AEB1D"/>
        <w:category>
          <w:name w:val="General"/>
          <w:gallery w:val="placeholder"/>
        </w:category>
        <w:types>
          <w:type w:val="bbPlcHdr"/>
        </w:types>
        <w:behaviors>
          <w:behavior w:val="content"/>
        </w:behaviors>
        <w:guid w:val="{44697994-C178-4714-AB1A-1EBAECD82371}"/>
      </w:docPartPr>
      <w:docPartBody>
        <w:p w:rsidR="00574A08" w:rsidRDefault="00437493">
          <w:pPr>
            <w:pStyle w:val="7B3601A73BEF445E9AFEE831252AEB1D"/>
          </w:pPr>
          <w:r w:rsidRPr="001E0779">
            <w:rPr>
              <w:rStyle w:val="Textodelmarcadordeposicin"/>
            </w:rPr>
            <w:t>Haga clic aquí para escribir texto.</w:t>
          </w:r>
        </w:p>
      </w:docPartBody>
    </w:docPart>
    <w:docPart>
      <w:docPartPr>
        <w:name w:val="877D19983FD64F6CBB299194CC4047E9"/>
        <w:category>
          <w:name w:val="General"/>
          <w:gallery w:val="placeholder"/>
        </w:category>
        <w:types>
          <w:type w:val="bbPlcHdr"/>
        </w:types>
        <w:behaviors>
          <w:behavior w:val="content"/>
        </w:behaviors>
        <w:guid w:val="{5DC3107E-5B3A-4CD3-8E59-603044F082C8}"/>
      </w:docPartPr>
      <w:docPartBody>
        <w:p w:rsidR="00574A08" w:rsidRDefault="00437493">
          <w:pPr>
            <w:pStyle w:val="877D19983FD64F6CBB299194CC4047E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93"/>
    <w:rsid w:val="00437493"/>
    <w:rsid w:val="00574A0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7493"/>
  </w:style>
  <w:style w:type="paragraph" w:customStyle="1" w:styleId="7B3601A73BEF445E9AFEE831252AEB1D">
    <w:name w:val="7B3601A73BEF445E9AFEE831252AEB1D"/>
  </w:style>
  <w:style w:type="paragraph" w:customStyle="1" w:styleId="877D19983FD64F6CBB299194CC4047E9">
    <w:name w:val="877D19983FD64F6CBB299194CC4047E9"/>
  </w:style>
  <w:style w:type="paragraph" w:customStyle="1" w:styleId="B906BD72231940F484EE0746C48E33AE">
    <w:name w:val="B906BD72231940F484EE0746C48E33AE"/>
    <w:rsid w:val="00437493"/>
  </w:style>
  <w:style w:type="paragraph" w:customStyle="1" w:styleId="C8496C17FC66459B9849869713DD8666">
    <w:name w:val="C8496C17FC66459B9849869713DD8666"/>
    <w:rsid w:val="00437493"/>
  </w:style>
  <w:style w:type="paragraph" w:customStyle="1" w:styleId="7F701B60708A40B790005F54F24AB19E">
    <w:name w:val="7F701B60708A40B790005F54F24AB19E"/>
    <w:rsid w:val="00437493"/>
  </w:style>
  <w:style w:type="paragraph" w:customStyle="1" w:styleId="37605FBCAEB74E1EA83613D4CE093ADD">
    <w:name w:val="37605FBCAEB74E1EA83613D4CE093ADD"/>
    <w:rsid w:val="00437493"/>
  </w:style>
  <w:style w:type="paragraph" w:customStyle="1" w:styleId="632E5B65FCA746888DA2FBBE17C1C656">
    <w:name w:val="632E5B65FCA746888DA2FBBE17C1C656"/>
    <w:rsid w:val="00437493"/>
  </w:style>
  <w:style w:type="paragraph" w:customStyle="1" w:styleId="D81AECA8F6054602BFD223C57EE242FF">
    <w:name w:val="D81AECA8F6054602BFD223C57EE242FF"/>
    <w:rsid w:val="00437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M4RZd/mNpdoA6GwHgA3Pp4WRI6WMNRjo0NcIM3tGMao=</DigestValue>
    </Reference>
    <Reference Type="http://www.w3.org/2000/09/xmldsig#Object" URI="#idOfficeObject">
      <DigestMethod Algorithm="http://www.w3.org/2001/04/xmlenc#sha256"/>
      <DigestValue>BgkmpNQHnoQ0T2x3CSqbSBpnavWekmr04aV472H36nQ=</DigestValue>
    </Reference>
    <Reference Type="http://uri.etsi.org/01903#SignedProperties" URI="#idSignedProperties">
      <Transforms>
        <Transform Algorithm="http://www.w3.org/TR/2001/REC-xml-c14n-20010315"/>
      </Transforms>
      <DigestMethod Algorithm="http://www.w3.org/2001/04/xmlenc#sha256"/>
      <DigestValue>+MQYMVzg5smk4IkWp4wOYvRtCaVgarmd4fwu5U8OktQ=</DigestValue>
    </Reference>
  </SignedInfo>
  <SignatureValue>Vm76SlwOZsvckLMWuSJOutJH6FJ1EEBy3AnnVtz4Gr/B3RZ6bmNOF+WRC+cxBRWGqcwx29Ue++77
HP+Aw9K5jV5H3ySecOjDiLOXtj8vhUuIemQry4O/pbPjTI84xD6jfLrsdJkqmDfWCDnzBmmMe7id
C16I/AIC5WSkI8uhZ1oAg/a4kK8G8QhK4Jnkb9uSap+pWLyQW4d2uD18t1+N39kVTslALvjvWW1S
7RR2WJ7bIykESJgbJ0VZ/DdE9sAFXbC9vyQ5IjN4CRXD9hcE+cD8gQCfrpVJYzthQX6iTpL9d41a
SdfJFVHYigttq8tE8cin67ASLBWWhlFt9Ko1sA==</SignatureValue>
  <KeyInfo>
    <X509Data>
      <X509Certificate>MIIFuTCCBKGgAwIBAgITFAABXMFPe7CJ2YdyOgAAAAFcwTANBgkqhkiG9w0BAQsFADCBmTEZMBcGA1UEBRMQQ1BKLTQtMDAwLTAwNDAxNzELMAkGA1UEBhMCQ1IxJDAiBgNVBAoTG0JBTkNPIENFTlRSQUwgREUgQ09TVEEgUklDQTEiMCAGA1UECxMZRElWSVNJT04gU0lTVEVNQVMgREUgUEFHTzElMCMGA1UEAxMcQ0EgU0lOUEUgLSBQRVJTT05BIEZJU0lDQSB2MjAeFw0xNzAzMzEyMTEzMDdaFw0yMTAzMzAyMTEzMDd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Nvwr4Ld/1OlB0kmwoZUtyDbCVV0XbSi/GM8VgI3bRH3tgYw06KwaUeocO51jwhfc2cvj+FtXz1Y8WvUcQlUccpkbXVMiKVNq4LYBtwK+0LOQRsMofWMRtd816VHlvtSDsENurDV1+OpL+6TX+DJfL7FZlzg+gRhhqAqS33MX/7pruMmWwWy9aPWdMsfUujIBLRXuoFtAD8KyCc1bUrqAfiQyaSgyCObq5oiy0f8sxs3RFjPQCSjl1b3NirThLsQ+V7dy8iHSGXcpWVbV8zcJfDsLOgFm2sEplYckjKbB6Ugw1F3Kd6v8QgUi81mFxT9wxqbuvt/xuNv/vAsDluZ39MCAwEAAaOCAdQwggHQMB0GA1UdDgQWBBSLj1zf9Y+W9ZvFRblRurilJ14DgD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mnC5c5Cx5t8k1E2cgX5TYtG5WK9zyeIRXkvXhfk++dAxOQLcp+hRFfFbwqgbDzZqQ+dwq3/JaLpcG7rxI8E7JnXMa09Vr+FlgU1JW2gtT91SyOlk5CU4WzVhDZgNpZjeheliCwCbL4/pgVatmYFv+CYgQiB6RskQkJICwGUCmlroUKA7siAPbWn6zmqpb+3gsGMGabH7AC6LwoHDjaFBQW0wdYEef2Phw6y1A9tKXKr8GLBIcXZF1oifMsSo5dBzJbM7myX/01EX+7v+z5IyhacQ2U1tFgvTlKJVHpfC7tymXG2ldl1mNVJ8CajfQdR6iK06kq443CYi0/Ym63B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W6wESlsWD4FQQV448X1JWKZrK+C0TDkY58MfU2vBm0Y=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+ysjwuTIRkZh/J56hXyan86oERhACyxmGdz2PgS8dbo=</DigestValue>
      </Reference>
      <Reference URI="/word/document.xml?ContentType=application/vnd.openxmlformats-officedocument.wordprocessingml.document.main+xml">
        <DigestMethod Algorithm="http://www.w3.org/2001/04/xmlenc#sha256"/>
        <DigestValue>1SmqJ1F9nGEOxmBOnx9r7J9VwxUe8YZFbeddCJrgi6g=</DigestValue>
      </Reference>
      <Reference URI="/word/endnotes.xml?ContentType=application/vnd.openxmlformats-officedocument.wordprocessingml.endnotes+xml">
        <DigestMethod Algorithm="http://www.w3.org/2001/04/xmlenc#sha256"/>
        <DigestValue>c7JMZWJjTtC/P6A6Adqa+wWZn2OG4axVxaaPLwJ83Xk=</DigestValue>
      </Reference>
      <Reference URI="/word/fontTable.xml?ContentType=application/vnd.openxmlformats-officedocument.wordprocessingml.fontTable+xml">
        <DigestMethod Algorithm="http://www.w3.org/2001/04/xmlenc#sha256"/>
        <DigestValue>KdJGGrbgRUVkFAyivm5JajhhJJOtKB9clLIQuMdeCkw=</DigestValue>
      </Reference>
      <Reference URI="/word/footer1.xml?ContentType=application/vnd.openxmlformats-officedocument.wordprocessingml.footer+xml">
        <DigestMethod Algorithm="http://www.w3.org/2001/04/xmlenc#sha256"/>
        <DigestValue>ty4AqkPHIA+FU2sRRqVFkpGciQPEM+9ptOuOcLCcmQQ=</DigestValue>
      </Reference>
      <Reference URI="/word/footer2.xml?ContentType=application/vnd.openxmlformats-officedocument.wordprocessingml.footer+xml">
        <DigestMethod Algorithm="http://www.w3.org/2001/04/xmlenc#sha256"/>
        <DigestValue>GXBRUioQrc3pjdFDXpDR/eLplNQ4isazZByYMlG8290=</DigestValue>
      </Reference>
      <Reference URI="/word/footer3.xml?ContentType=application/vnd.openxmlformats-officedocument.wordprocessingml.footer+xml">
        <DigestMethod Algorithm="http://www.w3.org/2001/04/xmlenc#sha256"/>
        <DigestValue>oe4Hws35FBTmRfZZ/DUPKsp9glidUiYH8vkgStHtMic=</DigestValue>
      </Reference>
      <Reference URI="/word/footnotes.xml?ContentType=application/vnd.openxmlformats-officedocument.wordprocessingml.footnotes+xml">
        <DigestMethod Algorithm="http://www.w3.org/2001/04/xmlenc#sha256"/>
        <DigestValue>+wlEWYItozvD7uq0K0HiskWA6IiDQ3NzLqdc0TSb8CE=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v0lQyhTbm0f996ZWPqJSxlSrogUwY+b/2GFS3C3yEiI=</DigestValue>
      </Reference>
      <Reference URI="/word/glossary/fontTable.xml?ContentType=application/vnd.openxmlformats-officedocument.wordprocessingml.fontTable+xml">
        <DigestMethod Algorithm="http://www.w3.org/2001/04/xmlenc#sha256"/>
        <DigestValue>KdJGGrbgRUVkFAyivm5JajhhJJOtKB9clLIQuMdeCkw=</DigestValue>
      </Reference>
      <Reference URI="/word/glossary/settings.xml?ContentType=application/vnd.openxmlformats-officedocument.wordprocessingml.settings+xml">
        <DigestMethod Algorithm="http://www.w3.org/2001/04/xmlenc#sha256"/>
        <DigestValue>rlw2lHUIhGL+WfT1H2cGsKpF0cxkyxgytXTFLu2Dajs=</DigestValue>
      </Reference>
      <Reference URI="/word/glossary/styles.xml?ContentType=application/vnd.openxmlformats-officedocument.wordprocessingml.styles+xml">
        <DigestMethod Algorithm="http://www.w3.org/2001/04/xmlenc#sha256"/>
        <DigestValue>ydBk81f0aHW7hpg0e3R+X7zWrYMsSvLzyGU50if3jsI=</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8CpvqIuCefsqgEWS6XNRt7A0rdLRtqwDo6HgRxzKrow=</DigestValue>
      </Reference>
      <Reference URI="/word/header2.xml?ContentType=application/vnd.openxmlformats-officedocument.wordprocessingml.header+xml">
        <DigestMethod Algorithm="http://www.w3.org/2001/04/xmlenc#sha256"/>
        <DigestValue>XwHlXDsvN5TGPUoXO41HWlxWfeJXTdKiOr77M74KafY=</DigestValue>
      </Reference>
      <Reference URI="/word/header3.xml?ContentType=application/vnd.openxmlformats-officedocument.wordprocessingml.header+xml">
        <DigestMethod Algorithm="http://www.w3.org/2001/04/xmlenc#sha256"/>
        <DigestValue>4UCHTuxWeTUgT66kIezTIOiIjbxzFOqsgAX06mXo6uI=</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RnfFrCnbWXdVJUl98OI7aumqOGMVZU3HHXV9kwq2S3o=</DigestValue>
      </Reference>
      <Reference URI="/word/settings.xml?ContentType=application/vnd.openxmlformats-officedocument.wordprocessingml.settings+xml">
        <DigestMethod Algorithm="http://www.w3.org/2001/04/xmlenc#sha256"/>
        <DigestValue>o9wVh+5hhwrx0kdHPFUXcbs58+c9LjV0WjvtCk0XOrg=</DigestValue>
      </Reference>
      <Reference URI="/word/styles.xml?ContentType=application/vnd.openxmlformats-officedocument.wordprocessingml.styles+xml">
        <DigestMethod Algorithm="http://www.w3.org/2001/04/xmlenc#sha256"/>
        <DigestValue>/KodsvLbBIBD+d13AsaKN5V3eS/HKxKe4u1FkL3DiiA=</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2021-01-29T15:26:43Z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2021-01-29T15:26:43Z</xd:SigningTime>
          <xd:SigningCertificate>
            <xd:Cert>
              <xd:CertDigest>
                <DigestMethod Algorithm="http://www.w3.org/2001/04/xmlenc#sha256"/>
                <DigestValue>gVdwtgFeNQUovnibP9bmcCXozNaI9wlMkNH6S8pZs+E=</DigestValue>
              </xd:CertDigest>
              <xd:IssuerSerial>
                <X509IssuerName>CN=CA SINPE - PERSONA FISICA v2, OU=DIVISION SISTEMAS DE PAGO, O=BANCO CENTRAL DE COSTA RICA, C=CR, SERIALNUMBER=CPJ-4-000-004017</X509IssuerName>
                <X509SerialNumber>446015367545680399737349422673286063246630081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Rvm/hVUQC/UdIPYd2dbHd9LBjT7nnC9m/MFdJPRwdKACBAsT8lIYDzIwMjEwMTI5MTUyNjQ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</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rG5A1NDYzd8RwipXJ2Q5mam9fvI=</xd:ByKey>
                  </xd:ResponderID>
                  <xd:ProducedAt>2021-01-29T15:26:03Z</xd:ProducedAt>
                </xd:OCSPIdentifier>
                <xd:DigestAlgAndValue>
                  <DigestMethod Algorithm="http://www.w3.org/2001/04/xmlenc#sha256"/>
                  <DigestValue>VNsbryMTvRRuWuODcA95GdP+heEgNbOmMd63laHAtR4=</DigestValue>
                </xd:DigestAlgAndValue>
              </xd:OCSPRef>
            </xd:OCSPRefs>
            <xd:CRLRefs>
              <xd:CRLRef>
                <xd:DigestAlgAndValue>
                  <DigestMethod Algorithm="http://www.w3.org/2001/04/xmlenc#sha256"/>
                  <DigestValue>eScaBoLdLyb2GwoxjA5oPtWskDu7BUqbBnUIOCNLHfk=</DigestValue>
                </xd:DigestAlgAndValue>
                <xd:CRLIdentifier>
                  <xd:Issuer>CN=CA POLITICA PERSONA FISICA - COSTA RICA v2, OU=DCFD, O=MICITT, C=CR, SERIALNUMBER=CPJ-2-100-098311</xd:Issuer>
                  <xd:IssueTime>2020-12-04T20:23:45Z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OCSPValues>
              <xd:EncapsulatedOCSPValue>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</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8XR2cYpd5iziJiV1rjCFvY/w9J52Hb5NCElW+/teFFYCBAsT8lMYDzIwMjEwMTI5MTUyNjQ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TODAS LAS ENTIDADES </OtraEntidadExterna>
    <Firmado xmlns="b875e23b-67d9-4b2e-bdec-edacbf90b326">true</Firmado>
    <Responsable xmlns="b875e23b-67d9-4b2e-bdec-edacbf90b326">
      <UserInfo>
        <DisplayName>ARRIOLA CRUZ ALEXANDER</DisplayName>
        <AccountId>1825</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i:0#.w|pdc-atlantida\arriolaca</DisplayName>
        <AccountId>1825</AccountId>
        <AccountType/>
      </UserInfo>
      <UserInfo>
        <DisplayName>i:0#.w|pdc-atlantida\badillamn</DisplayName>
        <AccountId>288</AccountId>
        <AccountType/>
      </UserInfo>
      <UserInfo>
        <DisplayName>i:0#.w|pdc-atlantida\sanchocc</DisplayName>
        <AccountId>1728</AccountId>
        <AccountType/>
      </UserInfo>
      <UserInfo>
        <DisplayName>i:0#.w|pdc-atlantida\hernandezam</DisplayName>
        <AccountId>307</AccountId>
        <AccountType/>
      </UserInfo>
      <UserInfo>
        <DisplayName>i:0#.w|pdc-atlantida\seguraca</DisplayName>
        <AccountId>1761</AccountId>
        <AccountType/>
      </UserInfo>
      <UserInfo>
        <DisplayName>i:0#.w|pdc-atlantida\solisce</DisplayName>
        <AccountId>1826</AccountId>
        <AccountType/>
      </UserInfo>
      <UserInfo>
        <DisplayName>i:0#.w|pdc-atlantida\fallasmj</DisplayName>
        <AccountId>2532</AccountId>
        <AccountType/>
      </UserInfo>
      <UserInfo>
        <DisplayName>i:0#.w|pdc-atlantida\moralesbo</DisplayName>
        <AccountId>297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2021-01-28T06:00:00+00:00</FechaDocumento>
    <RemitenteOriginal xmlns="b875e23b-67d9-4b2e-bdec-edacbf90b326">División Supervisión de Bancos Públicos y Mutuales</RemitenteOriginal>
    <Secretaria xmlns="b875e23b-67d9-4b2e-bdec-edacbf90b326">
      <UserInfo>
        <DisplayName>BADILLA MORA NANCY JOHANNA</DisplayName>
        <AccountId>288</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 solicitud plan transición salida tasa LIBOR vf</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D277783A-DAAE-4BB3-B2FC-13278F4BBE5F}">
  <ds:schemaRefs>
    <ds:schemaRef ds:uri="Microsoft.SharePoint.Taxonomy.ContentTypeSync"/>
  </ds:schemaRefs>
</ds:datastoreItem>
</file>

<file path=customXml/itemProps2.xml><?xml version="1.0" encoding="utf-8"?>
<ds:datastoreItem xmlns:ds="http://schemas.openxmlformats.org/officeDocument/2006/customXml" ds:itemID="{71831FC4-D37E-467F-8B7F-5190AA0B1663}">
  <ds:schemaRefs>
    <ds:schemaRef ds:uri="http://purl.org/dc/elements/1.1/"/>
    <ds:schemaRef ds:uri="http://schemas.openxmlformats.org/package/2006/metadata/core-properties"/>
    <ds:schemaRef ds:uri="http://schemas.microsoft.com/office/2006/documentManagement/types"/>
    <ds:schemaRef ds:uri="b875e23b-67d9-4b2e-bdec-edacbf90b326"/>
    <ds:schemaRef ds:uri="http://purl.org/dc/terms/"/>
    <ds:schemaRef ds:uri="http://purl.org/dc/dcmitype/"/>
    <ds:schemaRef ds:uri="http://schemas.microsoft.com/sharepoint/v3"/>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A152843-A570-4B15-BD7D-DD8B521A8CCD}">
  <ds:schemaRefs>
    <ds:schemaRef ds:uri="http://schemas.microsoft.com/sharepoint/v3/contenttype/forms"/>
  </ds:schemaRefs>
</ds:datastoreItem>
</file>

<file path=customXml/itemProps4.xml><?xml version="1.0" encoding="utf-8"?>
<ds:datastoreItem xmlns:ds="http://schemas.openxmlformats.org/officeDocument/2006/customXml" ds:itemID="{EC764A90-99FA-4F93-8A63-145F24A3F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BAAF38-ABB3-4BE8-BC0D-7124A1E4C831}">
  <ds:schemaRefs>
    <ds:schemaRef ds:uri="office.server.policy"/>
  </ds:schemaRefs>
</ds:datastoreItem>
</file>

<file path=customXml/itemProps6.xml><?xml version="1.0" encoding="utf-8"?>
<ds:datastoreItem xmlns:ds="http://schemas.openxmlformats.org/officeDocument/2006/customXml" ds:itemID="{D69A7C62-D075-4D57-BED6-B8CB8B74B4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plantillas-SGF-13</Template>
  <TotalTime>16</TotalTime>
  <Pages>4</Pages>
  <Words>667</Words>
  <Characters>3669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BADILLA MORA NANCY JOHANNA</dc:creator>
  <cp:keywords/>
  <dc:description/>
  <cp:lastModifiedBy>BADILLA MORA NANCY JOHANNA</cp:lastModifiedBy>
  <cp:revision>4</cp:revision>
  <dcterms:created xsi:type="dcterms:W3CDTF">2021-01-28T15:42:00Z</dcterms:created>
  <dcterms:modified xsi:type="dcterms:W3CDTF">2021-01-29T14:30:00Z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426;#Circular|a95dd0af-ef18-4305-9c8d-aa79141c6059</vt:lpwstr>
  </property>
  <property fmtid="{D5CDD505-2E9C-101B-9397-08002B2CF9AE}" pid="4" name="Unidad de Destino">
    <vt:lpwstr/>
  </property>
  <property fmtid="{D5CDD505-2E9C-101B-9397-08002B2CF9AE}" pid="5" name="Confidencialidad1">
    <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Disponibilidad">
    <vt:lpwstr>161;#Alta|7fca731c-4c62-4f1c-9061-e9f164c964b2</vt:lpwstr>
  </property>
  <property fmtid="{D5CDD505-2E9C-101B-9397-08002B2CF9AE}" pid="9" name="Integridad">
    <vt:lpwstr>128;#Alta|0fd17ec2-e5d0-4d9f-8e18-466324d0fdd4</vt:lpwstr>
  </property>
  <property fmtid="{D5CDD505-2E9C-101B-9397-08002B2CF9AE}" pid="10" name="ConfidencialidadNueva">
    <vt:lpwstr>1;#Público|99c2402f-8ec3-4ca8-8024-be52e4e7f629</vt:lpwstr>
  </property>
  <property fmtid="{D5CDD505-2E9C-101B-9397-08002B2CF9AE}" pid="11" name="Order">
    <vt:r8>82800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dc9be4ca-c6c9-41a3-8f1b-604965ed1693,5;7dedacbb-5c77-4a35-8847-40abd1245d4d,7;</vt:lpwstr>
  </property>
</Properties>
</file>