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6972C9" w:rsidRDefault="00891BAF" w14:paraId="2D30FC82" w14:textId="04352DEB">
      <w:pPr>
        <w:pStyle w:val="Texto"/>
        <w:spacing w:before="0" w:after="0" w:line="240" w:lineRule="auto"/>
        <w:rPr>
          <w:sz w:val="24"/>
        </w:rPr>
      </w:pPr>
      <w:r>
        <w:rPr>
          <w:sz w:val="24"/>
        </w:rPr>
        <w:t>23</w:t>
      </w:r>
      <w:r w:rsidR="00516156">
        <w:rPr>
          <w:sz w:val="24"/>
        </w:rPr>
        <w:t xml:space="preserve"> de diciembre 2019</w:t>
      </w:r>
    </w:p>
    <w:sdt>
      <w:sdtPr>
        <w:rPr>
          <w:sz w:val="24"/>
        </w:rPr>
        <w:alias w:val="Consecutivo"/>
        <w:tag w:val="Consecutivo"/>
        <w:id w:val="2052717023"/>
        <w:placeholder>
          <w:docPart w:val="172E6CD00EB04120BCA866749F4EE65A"/>
        </w:placeholder>
        <w:text/>
      </w:sdtPr>
      <w:sdtEndPr/>
      <w:sdtContent>
        <w:p w:rsidR="006972C9" w:rsidP="006972C9" w:rsidRDefault="006972C9" w14:paraId="4B53DD18" w14:textId="77777777">
          <w:pPr>
            <w:tabs>
              <w:tab w:val="left" w:pos="2843"/>
            </w:tabs>
            <w:spacing w:line="240" w:lineRule="auto"/>
            <w:rPr>
              <w:sz w:val="24"/>
            </w:rPr>
          </w:pPr>
          <w:r>
            <w:t>SGF-3960-2019</w:t>
          </w:r>
        </w:p>
      </w:sdtContent>
    </w:sdt>
    <w:p w:rsidR="006972C9" w:rsidP="006972C9" w:rsidRDefault="00891BAF" w14:paraId="6B55C1B3" w14:textId="77777777">
      <w:pPr>
        <w:tabs>
          <w:tab w:val="left" w:pos="2843"/>
        </w:tabs>
        <w:spacing w:line="240" w:lineRule="auto"/>
        <w:rPr>
          <w:sz w:val="24"/>
        </w:rPr>
      </w:pPr>
      <w:sdt>
        <w:sdtPr>
          <w:rPr>
            <w:sz w:val="24"/>
          </w:rPr>
          <w:alias w:val="Confidencialidad"/>
          <w:tag w:val="Confidencialidad"/>
          <w:id w:val="1447896894"/>
          <w:placeholder>
            <w:docPart w:val="77D8F328BBAF419BA46D993EADA4C80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16156">
            <w:rPr>
              <w:sz w:val="24"/>
            </w:rPr>
            <w:t>SGF-PUBLICO</w:t>
          </w:r>
        </w:sdtContent>
      </w:sdt>
    </w:p>
    <w:p w:rsidRPr="002E2B0A" w:rsidR="006972C9" w:rsidP="006972C9" w:rsidRDefault="006972C9" w14:paraId="53F4E404" w14:textId="77777777">
      <w:pPr>
        <w:tabs>
          <w:tab w:val="left" w:pos="2843"/>
        </w:tabs>
        <w:spacing w:line="240" w:lineRule="auto"/>
        <w:rPr>
          <w:sz w:val="24"/>
        </w:rPr>
      </w:pPr>
      <w:r w:rsidRPr="002E2B0A">
        <w:rPr>
          <w:sz w:val="24"/>
        </w:rPr>
        <w:tab/>
      </w:r>
    </w:p>
    <w:p w:rsidRPr="0027680E" w:rsidR="00516156" w:rsidP="00516156" w:rsidRDefault="00516156" w14:paraId="74DC4E2F" w14:textId="77777777">
      <w:pPr>
        <w:spacing w:line="240" w:lineRule="auto"/>
        <w:jc w:val="center"/>
        <w:rPr>
          <w:szCs w:val="22"/>
        </w:rPr>
      </w:pPr>
      <w:r w:rsidRPr="0027680E">
        <w:rPr>
          <w:b/>
          <w:szCs w:val="22"/>
        </w:rPr>
        <w:t>CIRCULAR EXTERNA</w:t>
      </w:r>
    </w:p>
    <w:p w:rsidR="00516156" w:rsidP="00516156" w:rsidRDefault="00516156" w14:paraId="42B04E05" w14:textId="77777777">
      <w:pPr>
        <w:tabs>
          <w:tab w:val="left" w:pos="2843"/>
        </w:tabs>
        <w:spacing w:line="240" w:lineRule="auto"/>
        <w:rPr>
          <w:szCs w:val="22"/>
        </w:rPr>
      </w:pPr>
    </w:p>
    <w:p w:rsidR="00516156" w:rsidP="00516156" w:rsidRDefault="00516156" w14:paraId="00ADF3DB" w14:textId="77777777">
      <w:pPr>
        <w:tabs>
          <w:tab w:val="left" w:pos="2843"/>
        </w:tabs>
        <w:spacing w:line="240" w:lineRule="auto"/>
        <w:rPr>
          <w:szCs w:val="22"/>
        </w:rPr>
      </w:pPr>
    </w:p>
    <w:p w:rsidRPr="0027680E" w:rsidR="00516156" w:rsidP="00516156" w:rsidRDefault="00516156" w14:paraId="2C70CA76" w14:textId="77777777">
      <w:pPr>
        <w:tabs>
          <w:tab w:val="left" w:pos="2843"/>
        </w:tabs>
        <w:spacing w:line="240" w:lineRule="auto"/>
        <w:rPr>
          <w:szCs w:val="22"/>
        </w:rPr>
      </w:pPr>
    </w:p>
    <w:p w:rsidRPr="0027680E" w:rsidR="00516156" w:rsidP="00516156" w:rsidRDefault="00516156" w14:paraId="7E13E9A8" w14:textId="77777777">
      <w:pPr>
        <w:widowControl w:val="0"/>
        <w:ind w:left="34" w:right="86"/>
        <w:outlineLvl w:val="0"/>
        <w:rPr>
          <w:rFonts w:asciiTheme="majorHAnsi" w:hAnsiTheme="majorHAnsi"/>
          <w:b/>
          <w:szCs w:val="22"/>
          <w:lang w:val="es-CR"/>
        </w:rPr>
      </w:pPr>
      <w:r w:rsidRPr="0027680E">
        <w:rPr>
          <w:rFonts w:asciiTheme="majorHAnsi" w:hAnsiTheme="majorHAnsi"/>
          <w:b/>
          <w:szCs w:val="22"/>
          <w:lang w:val="es-CR"/>
        </w:rPr>
        <w:t xml:space="preserve">Dirigida a: </w:t>
      </w:r>
    </w:p>
    <w:p w:rsidRPr="0027680E" w:rsidR="00516156" w:rsidP="00516156" w:rsidRDefault="00516156" w14:paraId="5CF7C0BD" w14:textId="77777777">
      <w:pPr>
        <w:widowControl w:val="0"/>
        <w:ind w:left="34" w:right="86"/>
        <w:outlineLvl w:val="0"/>
        <w:rPr>
          <w:rFonts w:asciiTheme="majorHAnsi" w:hAnsiTheme="majorHAnsi"/>
          <w:b/>
          <w:szCs w:val="22"/>
          <w:lang w:val="es-CR"/>
        </w:rPr>
      </w:pPr>
    </w:p>
    <w:p w:rsidRPr="008979A1" w:rsidR="00516156" w:rsidP="00516156" w:rsidRDefault="00516156" w14:paraId="27A9E7B5"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Bancos Comerciales del Estado</w:t>
      </w:r>
    </w:p>
    <w:p w:rsidRPr="008979A1" w:rsidR="00516156" w:rsidP="00516156" w:rsidRDefault="00516156" w14:paraId="3C2AC473"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Bancos Creados por Leyes Especiales</w:t>
      </w:r>
    </w:p>
    <w:p w:rsidRPr="008979A1" w:rsidR="00516156" w:rsidP="00516156" w:rsidRDefault="00516156" w14:paraId="4FBF445F"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Bancos Privados</w:t>
      </w:r>
    </w:p>
    <w:p w:rsidRPr="008979A1" w:rsidR="00516156" w:rsidP="00516156" w:rsidRDefault="00516156" w14:paraId="77AECD1F"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Empresas Financieras no Bancarias</w:t>
      </w:r>
    </w:p>
    <w:p w:rsidRPr="008979A1" w:rsidR="00516156" w:rsidP="00516156" w:rsidRDefault="00516156" w14:paraId="08000B96"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Otras Entidades Financieras</w:t>
      </w:r>
    </w:p>
    <w:p w:rsidRPr="008979A1" w:rsidR="00516156" w:rsidP="00516156" w:rsidRDefault="00516156" w14:paraId="04C92D92"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Organizaciones Cooperativas de Ahorro y Crédito</w:t>
      </w:r>
    </w:p>
    <w:p w:rsidRPr="008979A1" w:rsidR="00516156" w:rsidP="00516156" w:rsidRDefault="00516156" w14:paraId="34E5F6BB"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Entidades Autorizadas del Sistema Financiera Nacional para la Vivienda</w:t>
      </w:r>
    </w:p>
    <w:p w:rsidRPr="008979A1" w:rsidR="00516156" w:rsidP="00516156" w:rsidRDefault="00516156" w14:paraId="753742B7" w14:textId="77777777">
      <w:pPr>
        <w:widowControl w:val="0"/>
        <w:numPr>
          <w:ilvl w:val="0"/>
          <w:numId w:val="4"/>
        </w:numPr>
        <w:spacing w:after="200" w:line="240" w:lineRule="auto"/>
        <w:ind w:left="567" w:right="86" w:hanging="567"/>
        <w:contextualSpacing/>
        <w:rPr>
          <w:b/>
          <w:sz w:val="24"/>
          <w:lang w:eastAsia="es-ES"/>
        </w:rPr>
      </w:pPr>
      <w:r w:rsidRPr="008979A1">
        <w:rPr>
          <w:b/>
          <w:sz w:val="24"/>
          <w:lang w:eastAsia="es-ES"/>
        </w:rPr>
        <w:t>Consejo Rector del Sistema de Banca de Desarrollo</w:t>
      </w:r>
    </w:p>
    <w:p w:rsidR="00516156" w:rsidP="00516156" w:rsidRDefault="00516156" w14:paraId="64075E10" w14:textId="77777777">
      <w:pPr>
        <w:rPr>
          <w:rFonts w:asciiTheme="majorHAnsi" w:hAnsiTheme="majorHAnsi"/>
          <w:b/>
          <w:szCs w:val="22"/>
        </w:rPr>
      </w:pPr>
    </w:p>
    <w:p w:rsidRPr="0027680E" w:rsidR="00516156" w:rsidP="00516156" w:rsidRDefault="00516156" w14:paraId="09B0881F" w14:textId="77777777">
      <w:pPr>
        <w:rPr>
          <w:rFonts w:asciiTheme="majorHAnsi" w:hAnsiTheme="majorHAnsi"/>
          <w:b/>
          <w:szCs w:val="22"/>
        </w:rPr>
      </w:pPr>
    </w:p>
    <w:p w:rsidRPr="0027680E" w:rsidR="00516156" w:rsidP="00516156" w:rsidRDefault="00516156" w14:paraId="5462CDD9" w14:textId="29F1EFD2">
      <w:pPr>
        <w:rPr>
          <w:szCs w:val="22"/>
        </w:rPr>
      </w:pPr>
      <w:r w:rsidRPr="0027680E">
        <w:rPr>
          <w:rFonts w:asciiTheme="majorHAnsi" w:hAnsiTheme="majorHAnsi"/>
          <w:b/>
          <w:szCs w:val="22"/>
        </w:rPr>
        <w:t xml:space="preserve">Asunto: </w:t>
      </w:r>
      <w:r>
        <w:rPr>
          <w:szCs w:val="22"/>
        </w:rPr>
        <w:t xml:space="preserve">Creación de código en la tabla </w:t>
      </w:r>
      <w:r w:rsidR="00891BAF">
        <w:rPr>
          <w:szCs w:val="22"/>
        </w:rPr>
        <w:t xml:space="preserve">Tipo Operación </w:t>
      </w:r>
      <w:r>
        <w:rPr>
          <w:szCs w:val="22"/>
        </w:rPr>
        <w:t xml:space="preserve"> amparadas a la Directriz N°59-H (Crédito de Salvamento).</w:t>
      </w:r>
    </w:p>
    <w:p w:rsidR="00516156" w:rsidP="00516156" w:rsidRDefault="00516156" w14:paraId="6D7FEDB3" w14:textId="77777777">
      <w:pPr>
        <w:contextualSpacing/>
        <w:rPr>
          <w:rFonts w:asciiTheme="majorHAnsi" w:hAnsiTheme="majorHAnsi"/>
          <w:szCs w:val="22"/>
        </w:rPr>
      </w:pPr>
    </w:p>
    <w:p w:rsidRPr="00516156" w:rsidR="00516156" w:rsidP="00516156" w:rsidRDefault="00516156" w14:paraId="5FCECD22" w14:textId="77777777">
      <w:pPr>
        <w:contextualSpacing/>
        <w:rPr>
          <w:szCs w:val="22"/>
        </w:rPr>
      </w:pPr>
    </w:p>
    <w:p w:rsidRPr="00516156" w:rsidR="00516156" w:rsidP="00516156" w:rsidRDefault="00516156" w14:paraId="1BA07AC7" w14:textId="77777777">
      <w:pPr>
        <w:contextualSpacing/>
        <w:rPr>
          <w:szCs w:val="22"/>
        </w:rPr>
      </w:pPr>
      <w:r w:rsidRPr="00516156">
        <w:rPr>
          <w:szCs w:val="22"/>
        </w:rPr>
        <w:t xml:space="preserve">El Despacho del Superintendente de la Superintendencia General de Entidades Financieras (SUGEF), </w:t>
      </w:r>
    </w:p>
    <w:p w:rsidRPr="00516156" w:rsidR="00516156" w:rsidP="00516156" w:rsidRDefault="00516156" w14:paraId="7692ED92" w14:textId="77777777">
      <w:pPr>
        <w:tabs>
          <w:tab w:val="left" w:pos="2843"/>
        </w:tabs>
        <w:contextualSpacing/>
        <w:rPr>
          <w:szCs w:val="22"/>
        </w:rPr>
      </w:pPr>
    </w:p>
    <w:p w:rsidRPr="0027680E" w:rsidR="00516156" w:rsidP="00516156" w:rsidRDefault="00516156" w14:paraId="7DB0EC9A" w14:textId="77777777">
      <w:pPr>
        <w:tabs>
          <w:tab w:val="left" w:pos="2843"/>
        </w:tabs>
        <w:contextualSpacing/>
        <w:rPr>
          <w:rFonts w:asciiTheme="majorHAnsi" w:hAnsiTheme="majorHAnsi"/>
          <w:b/>
          <w:szCs w:val="22"/>
        </w:rPr>
      </w:pPr>
      <w:r w:rsidRPr="0027680E">
        <w:rPr>
          <w:rFonts w:asciiTheme="majorHAnsi" w:hAnsiTheme="majorHAnsi"/>
          <w:b/>
          <w:szCs w:val="22"/>
        </w:rPr>
        <w:t>Considerando que:</w:t>
      </w:r>
    </w:p>
    <w:p w:rsidRPr="0027680E" w:rsidR="00516156" w:rsidP="00516156" w:rsidRDefault="00516156" w14:paraId="0771C5D0" w14:textId="77777777">
      <w:pPr>
        <w:tabs>
          <w:tab w:val="left" w:pos="6990"/>
        </w:tabs>
        <w:contextualSpacing/>
        <w:rPr>
          <w:rFonts w:asciiTheme="majorHAnsi" w:hAnsiTheme="majorHAnsi"/>
          <w:szCs w:val="22"/>
        </w:rPr>
      </w:pPr>
      <w:r w:rsidRPr="0027680E">
        <w:rPr>
          <w:rFonts w:asciiTheme="majorHAnsi" w:hAnsiTheme="majorHAnsi"/>
          <w:szCs w:val="22"/>
        </w:rPr>
        <w:tab/>
      </w:r>
    </w:p>
    <w:p w:rsidRPr="00516156" w:rsidR="00516156" w:rsidP="00516156" w:rsidRDefault="00516156" w14:paraId="32BE6566" w14:textId="77777777">
      <w:pPr>
        <w:numPr>
          <w:ilvl w:val="0"/>
          <w:numId w:val="3"/>
        </w:numPr>
        <w:spacing w:line="240" w:lineRule="auto"/>
        <w:contextualSpacing/>
        <w:rPr>
          <w:szCs w:val="22"/>
        </w:rPr>
      </w:pPr>
      <w:r>
        <w:rPr>
          <w:szCs w:val="22"/>
        </w:rPr>
        <w:t>Que con fundamento en los artículos 25.1, 26 inciso b), 27.1, 99 y 100 de la Ley General de la Administración Pública, el Gobierno de la República decreta la Directriz N°059-H, “Creación del Programa de Crédito de Salvamento para personas sobreendeudadas”.</w:t>
      </w:r>
    </w:p>
    <w:p w:rsidRPr="00516156" w:rsidR="00516156" w:rsidP="00516156" w:rsidRDefault="00516156" w14:paraId="4D44D3AB" w14:textId="77777777">
      <w:pPr>
        <w:spacing w:line="240" w:lineRule="auto"/>
        <w:ind w:left="360"/>
        <w:contextualSpacing/>
        <w:rPr>
          <w:szCs w:val="22"/>
        </w:rPr>
      </w:pPr>
    </w:p>
    <w:p w:rsidRPr="00516156" w:rsidR="00516156" w:rsidP="00516156" w:rsidRDefault="00516156" w14:paraId="64792A40" w14:textId="77777777">
      <w:pPr>
        <w:pStyle w:val="Prrafodelista"/>
        <w:numPr>
          <w:ilvl w:val="0"/>
          <w:numId w:val="3"/>
        </w:numPr>
        <w:contextualSpacing/>
        <w:jc w:val="both"/>
        <w:outlineLvl w:val="0"/>
        <w:rPr>
          <w:rFonts w:ascii="Cambria" w:hAnsi="Cambria"/>
          <w:sz w:val="22"/>
          <w:szCs w:val="22"/>
          <w:lang w:eastAsia="en-US"/>
        </w:rPr>
      </w:pPr>
      <w:r w:rsidRPr="00516156">
        <w:rPr>
          <w:rFonts w:ascii="Cambria" w:hAnsi="Cambria"/>
          <w:sz w:val="22"/>
          <w:szCs w:val="22"/>
          <w:lang w:eastAsia="en-US"/>
        </w:rPr>
        <w:t>Es necesario identificar las operaciones formalizadas al amparo de la Directriz y poder atender futuros requerimientos tanto internos como por parte de las autoridades.</w:t>
      </w:r>
    </w:p>
    <w:p w:rsidRPr="00516156" w:rsidR="00516156" w:rsidP="00516156" w:rsidRDefault="00516156" w14:paraId="1756BF01" w14:textId="77777777">
      <w:pPr>
        <w:pStyle w:val="Prrafodelista"/>
        <w:rPr>
          <w:rFonts w:ascii="Cambria" w:hAnsi="Cambria"/>
          <w:sz w:val="22"/>
          <w:szCs w:val="22"/>
          <w:lang w:eastAsia="en-US"/>
        </w:rPr>
      </w:pPr>
    </w:p>
    <w:p w:rsidRPr="00516156" w:rsidR="00516156" w:rsidP="00516156" w:rsidRDefault="00516156" w14:paraId="75EA5676" w14:textId="77777777">
      <w:pPr>
        <w:pStyle w:val="Prrafodelista"/>
        <w:numPr>
          <w:ilvl w:val="0"/>
          <w:numId w:val="3"/>
        </w:numPr>
        <w:contextualSpacing/>
        <w:jc w:val="both"/>
        <w:outlineLvl w:val="0"/>
        <w:rPr>
          <w:rFonts w:ascii="Cambria" w:hAnsi="Cambria"/>
          <w:sz w:val="22"/>
          <w:szCs w:val="22"/>
          <w:lang w:eastAsia="en-US"/>
        </w:rPr>
      </w:pPr>
      <w:r w:rsidRPr="00516156">
        <w:rPr>
          <w:rFonts w:ascii="Cambria" w:hAnsi="Cambria"/>
          <w:sz w:val="22"/>
          <w:szCs w:val="22"/>
          <w:lang w:eastAsia="en-US"/>
        </w:rPr>
        <w:t>Es necesario divulgar las modificaciones al “Manual de Clases de Datos”.</w:t>
      </w:r>
    </w:p>
    <w:p w:rsidRPr="00516156" w:rsidR="00516156" w:rsidP="00516156" w:rsidRDefault="00516156" w14:paraId="3A03E98C" w14:textId="77777777">
      <w:pPr>
        <w:pStyle w:val="Prrafodelista"/>
        <w:ind w:left="360"/>
        <w:jc w:val="both"/>
        <w:rPr>
          <w:rFonts w:ascii="Cambria" w:hAnsi="Cambria"/>
          <w:sz w:val="22"/>
          <w:szCs w:val="22"/>
          <w:lang w:eastAsia="en-US"/>
        </w:rPr>
      </w:pPr>
    </w:p>
    <w:p w:rsidR="00516156" w:rsidP="00516156" w:rsidRDefault="00516156" w14:paraId="4323834A" w14:textId="77777777">
      <w:pPr>
        <w:pStyle w:val="Prrafodelista"/>
        <w:ind w:left="360"/>
        <w:jc w:val="both"/>
        <w:rPr>
          <w:rFonts w:asciiTheme="majorHAnsi" w:hAnsiTheme="majorHAnsi"/>
          <w:b/>
          <w:sz w:val="22"/>
          <w:szCs w:val="22"/>
        </w:rPr>
      </w:pPr>
    </w:p>
    <w:p w:rsidRPr="00516156" w:rsidR="00516156" w:rsidP="00516156" w:rsidRDefault="00516156" w14:paraId="44708925" w14:textId="77777777">
      <w:pPr>
        <w:contextualSpacing/>
        <w:rPr>
          <w:b/>
          <w:lang w:val="es-MX"/>
        </w:rPr>
      </w:pPr>
      <w:r w:rsidRPr="00516156">
        <w:rPr>
          <w:b/>
          <w:lang w:val="es-MX"/>
        </w:rPr>
        <w:t>Dispone:</w:t>
      </w:r>
    </w:p>
    <w:p w:rsidRPr="0027680E" w:rsidR="00516156" w:rsidP="00516156" w:rsidRDefault="00516156" w14:paraId="2C4A336C" w14:textId="77777777">
      <w:pPr>
        <w:contextualSpacing/>
        <w:rPr>
          <w:rFonts w:asciiTheme="majorHAnsi" w:hAnsiTheme="majorHAnsi"/>
          <w:b/>
          <w:szCs w:val="22"/>
        </w:rPr>
      </w:pPr>
    </w:p>
    <w:p w:rsidRPr="005A377A" w:rsidR="00516156" w:rsidP="00516156" w:rsidRDefault="00516156" w14:paraId="35A38E0D" w14:textId="086D481B">
      <w:pPr>
        <w:rPr>
          <w:lang w:val="es-MX"/>
        </w:rPr>
      </w:pPr>
      <w:r>
        <w:t>Crear el</w:t>
      </w:r>
      <w:r>
        <w:rPr>
          <w:lang w:val="es-MX"/>
        </w:rPr>
        <w:t xml:space="preserve"> código </w:t>
      </w:r>
      <w:r w:rsidRPr="00577270">
        <w:rPr>
          <w:b/>
          <w:lang w:val="es-MX"/>
        </w:rPr>
        <w:t>9</w:t>
      </w:r>
      <w:r>
        <w:rPr>
          <w:b/>
          <w:bCs/>
          <w:lang w:val="es-MX"/>
        </w:rPr>
        <w:t xml:space="preserve"> “Crédito de Salvamento”, </w:t>
      </w:r>
      <w:r>
        <w:rPr>
          <w:lang w:val="es-MX"/>
        </w:rPr>
        <w:t xml:space="preserve">en la tabla </w:t>
      </w:r>
      <w:r w:rsidRPr="00577270" w:rsidR="00891BAF">
        <w:rPr>
          <w:b/>
          <w:bCs/>
          <w:i/>
          <w:lang w:val="es-MX"/>
        </w:rPr>
        <w:t>Tipo Operación</w:t>
      </w:r>
      <w:r>
        <w:rPr>
          <w:lang w:val="es-MX"/>
        </w:rPr>
        <w:t xml:space="preserve"> del XML de Operaciones, para que las entidades sujetas a la Directriz </w:t>
      </w:r>
      <w:r>
        <w:rPr>
          <w:szCs w:val="22"/>
        </w:rPr>
        <w:t xml:space="preserve">N°059-H, “Creación del Programa de Crédito de Salvamento para personas sobreendeudadas”, </w:t>
      </w:r>
      <w:r>
        <w:rPr>
          <w:lang w:val="es-MX"/>
        </w:rPr>
        <w:t xml:space="preserve">reporten en el XML de operaciones, las operaciones formalizadas al amparo de lo establecido en la Directriz. </w:t>
      </w:r>
    </w:p>
    <w:p w:rsidRPr="00516156" w:rsidR="00516156" w:rsidP="00516156" w:rsidRDefault="00516156" w14:paraId="5E8D5E10" w14:textId="77777777">
      <w:pPr>
        <w:rPr>
          <w:szCs w:val="22"/>
        </w:rPr>
      </w:pPr>
    </w:p>
    <w:p w:rsidRPr="00516156" w:rsidR="00516156" w:rsidP="00516156" w:rsidRDefault="00516156" w14:paraId="705E87BE" w14:textId="77777777">
      <w:pPr>
        <w:rPr>
          <w:szCs w:val="22"/>
        </w:rPr>
      </w:pPr>
      <w:r w:rsidRPr="00516156">
        <w:rPr>
          <w:szCs w:val="22"/>
        </w:rPr>
        <w:t>Los cambios en el manual SICVECA motivados por este nuevo código, estarán siendo comunicados oportunamente.</w:t>
      </w:r>
    </w:p>
    <w:p w:rsidRPr="00516156" w:rsidR="00516156" w:rsidP="00516156" w:rsidRDefault="00516156" w14:paraId="758A6E7E" w14:textId="77777777">
      <w:pPr>
        <w:rPr>
          <w:szCs w:val="22"/>
        </w:rPr>
      </w:pPr>
    </w:p>
    <w:p w:rsidR="00516156" w:rsidP="00516156" w:rsidRDefault="00516156" w14:paraId="5ABDDC52" w14:textId="77777777">
      <w:pPr>
        <w:pStyle w:val="Prrafodelista"/>
        <w:ind w:left="502"/>
        <w:jc w:val="both"/>
        <w:rPr>
          <w:rFonts w:asciiTheme="majorHAnsi" w:hAnsiTheme="majorHAnsi"/>
          <w:sz w:val="22"/>
          <w:szCs w:val="22"/>
        </w:rPr>
      </w:pPr>
    </w:p>
    <w:p w:rsidR="00516156" w:rsidP="00516156" w:rsidRDefault="00516156" w14:paraId="40BA1C11" w14:textId="1C7F3317">
      <w:pPr>
        <w:pStyle w:val="Ttulo3"/>
        <w:jc w:val="center"/>
        <w:rPr>
          <w:b/>
          <w:i/>
          <w:color w:val="auto"/>
        </w:rPr>
      </w:pPr>
      <w:bookmarkStart w:name="_Toc294622265" w:id="0"/>
      <w:bookmarkStart w:name="_Toc13064674" w:id="1"/>
      <w:r w:rsidRPr="00BE472F">
        <w:rPr>
          <w:b/>
          <w:i/>
          <w:color w:val="auto"/>
        </w:rPr>
        <w:lastRenderedPageBreak/>
        <w:t>Nombre de la tabla</w:t>
      </w:r>
      <w:bookmarkStart w:name="_GoBack" w:id="2"/>
      <w:bookmarkEnd w:id="2"/>
      <w:r w:rsidRPr="00BE472F" w:rsidR="00891BAF">
        <w:rPr>
          <w:b/>
          <w:i/>
          <w:color w:val="auto"/>
        </w:rPr>
        <w:t>: Tipo</w:t>
      </w:r>
      <w:r w:rsidR="00891BAF">
        <w:rPr>
          <w:b/>
          <w:i/>
          <w:color w:val="auto"/>
        </w:rPr>
        <w:t xml:space="preserve"> </w:t>
      </w:r>
      <w:r w:rsidRPr="00BE472F">
        <w:rPr>
          <w:b/>
          <w:i/>
          <w:color w:val="auto"/>
        </w:rPr>
        <w:t>_</w:t>
      </w:r>
      <w:bookmarkEnd w:id="0"/>
      <w:bookmarkEnd w:id="1"/>
      <w:r w:rsidRPr="00BE472F" w:rsidR="00891BAF">
        <w:rPr>
          <w:b/>
          <w:i/>
          <w:color w:val="auto"/>
        </w:rPr>
        <w:t>Operación</w:t>
      </w:r>
    </w:p>
    <w:p w:rsidRPr="00891BAF" w:rsidR="00891BAF" w:rsidP="00891BAF" w:rsidRDefault="00891BAF" w14:paraId="418A0D73" w14:textId="77777777"/>
    <w:tbl>
      <w:tblPr>
        <w:tblStyle w:val="Tabladecuadrcula4-nfasis5"/>
        <w:tblW w:w="9209" w:type="dxa"/>
        <w:jc w:val="center"/>
        <w:tbl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insideH w:val="single" w:color="D0CECE" w:themeColor="background2" w:themeShade="E6" w:sz="4" w:space="0"/>
          <w:insideV w:val="single" w:color="D0CECE" w:themeColor="background2" w:themeShade="E6" w:sz="4" w:space="0"/>
        </w:tblBorders>
        <w:tblLook w:val="01E0" w:firstRow="1" w:lastRow="1" w:firstColumn="1" w:lastColumn="1" w:noHBand="0" w:noVBand="0"/>
      </w:tblPr>
      <w:tblGrid>
        <w:gridCol w:w="892"/>
        <w:gridCol w:w="1400"/>
        <w:gridCol w:w="6917"/>
      </w:tblGrid>
      <w:tr w:rsidRPr="009259F5" w:rsidR="00516156" w:rsidTr="008A6A6D" w14:paraId="7D707F64" w14:textId="77777777">
        <w:trPr>
          <w:cnfStyle w:val="100000000000" w:firstRow="1" w:lastRow="0" w:firstColumn="0" w:lastColumn="0" w:oddVBand="0" w:evenVBand="0" w:oddHBand="0" w:evenHBand="0" w:firstRowFirstColumn="0" w:firstRowLastColumn="0" w:lastRowFirstColumn="0" w:lastRowLastColumn="0"/>
          <w:trHeight w:val="717"/>
          <w:jc w:val="center"/>
        </w:trPr>
        <w:tc>
          <w:tcPr>
            <w:cnfStyle w:val="001000000000" w:firstRow="0" w:lastRow="0" w:firstColumn="1" w:lastColumn="0" w:oddVBand="0" w:evenVBand="0" w:oddHBand="0" w:evenHBand="0" w:firstRowFirstColumn="0" w:firstRowLastColumn="0" w:lastRowFirstColumn="0" w:lastRowLastColumn="0"/>
            <w:tcW w:w="892" w:type="dxa"/>
            <w:tcBorders>
              <w:top w:val="none" w:color="auto" w:sz="0" w:space="0"/>
              <w:left w:val="none" w:color="auto" w:sz="0" w:space="0"/>
              <w:bottom w:val="none" w:color="auto" w:sz="0" w:space="0"/>
              <w:right w:val="none" w:color="auto" w:sz="0" w:space="0"/>
            </w:tcBorders>
            <w:shd w:val="clear" w:color="auto" w:fill="1F3864" w:themeFill="accent5" w:themeFillShade="80"/>
            <w:noWrap/>
            <w:vAlign w:val="center"/>
          </w:tcPr>
          <w:p w:rsidRPr="00B54CD7" w:rsidR="00516156" w:rsidP="008A6A6D" w:rsidRDefault="00516156" w14:paraId="3ED38FB1" w14:textId="77777777">
            <w:pPr>
              <w:jc w:val="center"/>
              <w:rPr>
                <w:i/>
                <w:iCs/>
              </w:rPr>
            </w:pPr>
            <w:r w:rsidRPr="00B54CD7">
              <w:rPr>
                <w:i/>
                <w:iCs/>
              </w:rPr>
              <w:t>Código</w:t>
            </w:r>
          </w:p>
        </w:tc>
        <w:tc>
          <w:tcPr>
            <w:cnfStyle w:val="000010000000" w:firstRow="0" w:lastRow="0" w:firstColumn="0" w:lastColumn="0" w:oddVBand="1" w:evenVBand="0" w:oddHBand="0" w:evenHBand="0" w:firstRowFirstColumn="0" w:firstRowLastColumn="0" w:lastRowFirstColumn="0" w:lastRowLastColumn="0"/>
            <w:tcW w:w="1400" w:type="dxa"/>
            <w:tcBorders>
              <w:top w:val="none" w:color="auto" w:sz="0" w:space="0"/>
              <w:left w:val="none" w:color="auto" w:sz="0" w:space="0"/>
              <w:bottom w:val="none" w:color="auto" w:sz="0" w:space="0"/>
              <w:right w:val="none" w:color="auto" w:sz="0" w:space="0"/>
            </w:tcBorders>
            <w:shd w:val="clear" w:color="auto" w:fill="1F3864" w:themeFill="accent5" w:themeFillShade="80"/>
            <w:noWrap/>
            <w:vAlign w:val="center"/>
          </w:tcPr>
          <w:p w:rsidRPr="00B54CD7" w:rsidR="00516156" w:rsidP="008A6A6D" w:rsidRDefault="00516156" w14:paraId="553C5922" w14:textId="77777777">
            <w:pPr>
              <w:jc w:val="center"/>
              <w:rPr>
                <w:i/>
                <w:iCs/>
              </w:rPr>
            </w:pPr>
            <w:r w:rsidRPr="00B54CD7">
              <w:rPr>
                <w:i/>
                <w:iCs/>
              </w:rPr>
              <w:t>Tipo_ Operacion</w:t>
            </w:r>
          </w:p>
        </w:tc>
        <w:tc>
          <w:tcPr>
            <w:cnfStyle w:val="000100000000" w:firstRow="0" w:lastRow="0" w:firstColumn="0" w:lastColumn="1" w:oddVBand="0" w:evenVBand="0" w:oddHBand="0" w:evenHBand="0" w:firstRowFirstColumn="0" w:firstRowLastColumn="0" w:lastRowFirstColumn="0" w:lastRowLastColumn="0"/>
            <w:tcW w:w="6917" w:type="dxa"/>
            <w:tcBorders>
              <w:top w:val="none" w:color="auto" w:sz="0" w:space="0"/>
              <w:left w:val="none" w:color="auto" w:sz="0" w:space="0"/>
              <w:bottom w:val="none" w:color="auto" w:sz="0" w:space="0"/>
              <w:right w:val="none" w:color="auto" w:sz="0" w:space="0"/>
            </w:tcBorders>
            <w:shd w:val="clear" w:color="auto" w:fill="1F3864" w:themeFill="accent5" w:themeFillShade="80"/>
            <w:vAlign w:val="center"/>
          </w:tcPr>
          <w:p w:rsidRPr="00B54CD7" w:rsidR="00516156" w:rsidP="008A6A6D" w:rsidRDefault="00516156" w14:paraId="07345368" w14:textId="77777777">
            <w:pPr>
              <w:jc w:val="center"/>
              <w:rPr>
                <w:i/>
                <w:iCs/>
              </w:rPr>
            </w:pPr>
            <w:r w:rsidRPr="00B54CD7">
              <w:rPr>
                <w:i/>
                <w:iCs/>
              </w:rPr>
              <w:t>Restricciones (R) / Observaciones (O)</w:t>
            </w:r>
          </w:p>
        </w:tc>
      </w:tr>
      <w:tr w:rsidRPr="009259F5" w:rsidR="00516156" w:rsidTr="008A6A6D" w14:paraId="4E043726" w14:textId="77777777">
        <w:trPr>
          <w:cnfStyle w:val="010000000000" w:firstRow="0" w:lastRow="1"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892" w:type="dxa"/>
            <w:tcBorders>
              <w:top w:val="none" w:color="auto" w:sz="0" w:space="0"/>
            </w:tcBorders>
            <w:noWrap/>
            <w:vAlign w:val="center"/>
          </w:tcPr>
          <w:p w:rsidRPr="000315AB" w:rsidR="00516156" w:rsidP="008A6A6D" w:rsidRDefault="00516156" w14:paraId="5FD40B86" w14:textId="77777777">
            <w:pPr>
              <w:autoSpaceDE w:val="0"/>
              <w:autoSpaceDN w:val="0"/>
              <w:adjustRightInd w:val="0"/>
              <w:jc w:val="center"/>
              <w:rPr>
                <w:i/>
                <w:iCs/>
                <w:color w:val="000000" w:themeColor="text1"/>
              </w:rPr>
            </w:pPr>
            <w:r>
              <w:rPr>
                <w:i/>
                <w:iCs/>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00" w:type="dxa"/>
            <w:tcBorders>
              <w:top w:val="none" w:color="auto" w:sz="0" w:space="0"/>
            </w:tcBorders>
            <w:noWrap/>
            <w:vAlign w:val="center"/>
          </w:tcPr>
          <w:p w:rsidRPr="000315AB" w:rsidR="00516156" w:rsidP="008A6A6D" w:rsidRDefault="00516156" w14:paraId="64CAF89B" w14:textId="77777777">
            <w:pPr>
              <w:autoSpaceDE w:val="0"/>
              <w:autoSpaceDN w:val="0"/>
              <w:adjustRightInd w:val="0"/>
              <w:jc w:val="center"/>
              <w:rPr>
                <w:color w:val="000000" w:themeColor="text1"/>
              </w:rPr>
            </w:pPr>
            <w:r>
              <w:rPr>
                <w:color w:val="000000" w:themeColor="text1"/>
              </w:rPr>
              <w:t>Crédito Salvamento</w:t>
            </w:r>
          </w:p>
        </w:tc>
        <w:tc>
          <w:tcPr>
            <w:cnfStyle w:val="000100000000" w:firstRow="0" w:lastRow="0" w:firstColumn="0" w:lastColumn="1" w:oddVBand="0" w:evenVBand="0" w:oddHBand="0" w:evenHBand="0" w:firstRowFirstColumn="0" w:firstRowLastColumn="0" w:lastRowFirstColumn="0" w:lastRowLastColumn="0"/>
            <w:tcW w:w="6917" w:type="dxa"/>
            <w:tcBorders>
              <w:top w:val="none" w:color="auto" w:sz="0" w:space="0"/>
            </w:tcBorders>
          </w:tcPr>
          <w:p w:rsidRPr="000315AB" w:rsidR="00516156" w:rsidP="008A6A6D" w:rsidRDefault="00516156" w14:paraId="59B045D9" w14:textId="77777777">
            <w:pPr>
              <w:autoSpaceDE w:val="0"/>
              <w:autoSpaceDN w:val="0"/>
              <w:adjustRightInd w:val="0"/>
              <w:rPr>
                <w:color w:val="000000" w:themeColor="text1"/>
              </w:rPr>
            </w:pPr>
            <w:r w:rsidRPr="000315AB">
              <w:rPr>
                <w:color w:val="000000" w:themeColor="text1"/>
              </w:rPr>
              <w:t>R: Los campos “SaldoPorDesembolsarConCompromiso”, “SaldoComisiones” y “SaldoPrincipalConDepositoPrevio” deben reportarse en cero. Además</w:t>
            </w:r>
            <w:r>
              <w:rPr>
                <w:color w:val="000000" w:themeColor="text1"/>
              </w:rPr>
              <w:t>,</w:t>
            </w:r>
            <w:r w:rsidRPr="000315AB">
              <w:rPr>
                <w:color w:val="000000" w:themeColor="text1"/>
              </w:rPr>
              <w:t xml:space="preserve"> el campo “SaldoPendienteUtilizacionSinCompromiso” no debe reportarse. </w:t>
            </w:r>
          </w:p>
          <w:p w:rsidRPr="000315AB" w:rsidR="00516156" w:rsidP="008A6A6D" w:rsidRDefault="00516156" w14:paraId="5A74731E" w14:textId="77777777">
            <w:pPr>
              <w:autoSpaceDE w:val="0"/>
              <w:autoSpaceDN w:val="0"/>
              <w:adjustRightInd w:val="0"/>
              <w:rPr>
                <w:color w:val="000000" w:themeColor="text1"/>
              </w:rPr>
            </w:pPr>
          </w:p>
          <w:p w:rsidRPr="000315AB" w:rsidR="00516156" w:rsidP="008A6A6D" w:rsidRDefault="00516156" w14:paraId="40712535" w14:textId="77777777">
            <w:pPr>
              <w:autoSpaceDE w:val="0"/>
              <w:autoSpaceDN w:val="0"/>
              <w:adjustRightInd w:val="0"/>
              <w:rPr>
                <w:color w:val="000000" w:themeColor="text1"/>
              </w:rPr>
            </w:pPr>
            <w:r w:rsidRPr="000315AB">
              <w:rPr>
                <w:color w:val="000000" w:themeColor="text1"/>
              </w:rPr>
              <w:t>O1: Debe tener “SaldoPrincipal”</w:t>
            </w:r>
            <w:r>
              <w:rPr>
                <w:color w:val="000000" w:themeColor="text1"/>
              </w:rPr>
              <w:t xml:space="preserve"> mayor a cero</w:t>
            </w:r>
            <w:r w:rsidRPr="000315AB">
              <w:rPr>
                <w:color w:val="000000" w:themeColor="text1"/>
              </w:rPr>
              <w:t>, puede tener con saldo mayor que cero los saldos</w:t>
            </w:r>
            <w:r>
              <w:rPr>
                <w:color w:val="000000" w:themeColor="text1"/>
              </w:rPr>
              <w:t xml:space="preserve"> de los campos</w:t>
            </w:r>
            <w:r w:rsidRPr="000315AB">
              <w:rPr>
                <w:color w:val="000000" w:themeColor="text1"/>
              </w:rPr>
              <w:t xml:space="preserve"> “SaldoProductos” y “SaldoCuentasCobrarAsociadasOperacion”</w:t>
            </w:r>
            <w:r>
              <w:rPr>
                <w:color w:val="000000" w:themeColor="text1"/>
              </w:rPr>
              <w:t>.</w:t>
            </w:r>
          </w:p>
          <w:p w:rsidRPr="000315AB" w:rsidR="00516156" w:rsidP="008A6A6D" w:rsidRDefault="00516156" w14:paraId="4FAD3DE4" w14:textId="77777777">
            <w:pPr>
              <w:autoSpaceDE w:val="0"/>
              <w:autoSpaceDN w:val="0"/>
              <w:adjustRightInd w:val="0"/>
              <w:rPr>
                <w:color w:val="000000" w:themeColor="text1"/>
              </w:rPr>
            </w:pPr>
          </w:p>
          <w:p w:rsidR="00516156" w:rsidP="008A6A6D" w:rsidRDefault="00516156" w14:paraId="442C3349" w14:textId="77777777">
            <w:pPr>
              <w:autoSpaceDE w:val="0"/>
              <w:autoSpaceDN w:val="0"/>
              <w:adjustRightInd w:val="0"/>
              <w:rPr>
                <w:color w:val="000000" w:themeColor="text1"/>
              </w:rPr>
            </w:pPr>
            <w:r>
              <w:rPr>
                <w:color w:val="000000" w:themeColor="text1"/>
              </w:rPr>
              <w:t>O2</w:t>
            </w:r>
            <w:r w:rsidRPr="000315AB">
              <w:rPr>
                <w:color w:val="000000" w:themeColor="text1"/>
              </w:rPr>
              <w:t xml:space="preserve">: </w:t>
            </w:r>
            <w:r>
              <w:rPr>
                <w:color w:val="000000" w:themeColor="text1"/>
              </w:rPr>
              <w:t>Las operaciones con este código no deben reportar el campo “idlinea”.</w:t>
            </w:r>
            <w:r w:rsidRPr="000315AB">
              <w:rPr>
                <w:color w:val="000000" w:themeColor="text1"/>
              </w:rPr>
              <w:t xml:space="preserve"> </w:t>
            </w:r>
          </w:p>
          <w:p w:rsidR="00516156" w:rsidP="008A6A6D" w:rsidRDefault="00516156" w14:paraId="6EB86117" w14:textId="77777777">
            <w:pPr>
              <w:autoSpaceDE w:val="0"/>
              <w:autoSpaceDN w:val="0"/>
              <w:adjustRightInd w:val="0"/>
              <w:rPr>
                <w:color w:val="000000" w:themeColor="text1"/>
              </w:rPr>
            </w:pPr>
          </w:p>
          <w:p w:rsidRPr="000315AB" w:rsidR="00516156" w:rsidP="008A6A6D" w:rsidRDefault="00516156" w14:paraId="3271ACF0" w14:textId="77777777">
            <w:pPr>
              <w:autoSpaceDE w:val="0"/>
              <w:autoSpaceDN w:val="0"/>
              <w:adjustRightInd w:val="0"/>
              <w:rPr>
                <w:color w:val="000000" w:themeColor="text1"/>
              </w:rPr>
            </w:pPr>
            <w:r>
              <w:rPr>
                <w:color w:val="000000" w:themeColor="text1"/>
              </w:rPr>
              <w:t xml:space="preserve">Nota: Código creado en atención a la </w:t>
            </w:r>
            <w:r w:rsidRPr="005F4CEF">
              <w:rPr>
                <w:color w:val="000000" w:themeColor="text1"/>
              </w:rPr>
              <w:t>Directriz N°059-H, “Creación del Programa de Crédito de Salvamento para personas sobreendeudadas”</w:t>
            </w:r>
            <w:r>
              <w:rPr>
                <w:color w:val="000000" w:themeColor="text1"/>
              </w:rPr>
              <w:t>.</w:t>
            </w:r>
          </w:p>
        </w:tc>
      </w:tr>
    </w:tbl>
    <w:p w:rsidR="00516156" w:rsidP="00516156" w:rsidRDefault="00516156" w14:paraId="12C47CFB" w14:textId="563AE02E">
      <w:pPr>
        <w:pStyle w:val="Prrafodelista"/>
        <w:ind w:left="502"/>
        <w:jc w:val="both"/>
        <w:rPr>
          <w:rFonts w:asciiTheme="majorHAnsi" w:hAnsiTheme="majorHAnsi"/>
          <w:sz w:val="22"/>
          <w:szCs w:val="22"/>
        </w:rPr>
      </w:pPr>
    </w:p>
    <w:p w:rsidR="00891BAF" w:rsidP="00516156" w:rsidRDefault="00891BAF" w14:paraId="5415751E" w14:textId="77777777">
      <w:pPr>
        <w:pStyle w:val="Prrafodelista"/>
        <w:ind w:left="502"/>
        <w:jc w:val="both"/>
        <w:rPr>
          <w:rFonts w:asciiTheme="majorHAnsi" w:hAnsiTheme="majorHAnsi"/>
          <w:sz w:val="22"/>
          <w:szCs w:val="22"/>
        </w:rPr>
      </w:pPr>
    </w:p>
    <w:p w:rsidR="00891BAF" w:rsidP="00516156" w:rsidRDefault="00891BAF" w14:paraId="4A7517E8" w14:textId="77777777">
      <w:pPr>
        <w:pStyle w:val="Prrafodelista"/>
        <w:ind w:left="502"/>
        <w:jc w:val="both"/>
        <w:rPr>
          <w:rFonts w:asciiTheme="majorHAnsi" w:hAnsiTheme="majorHAnsi"/>
          <w:sz w:val="22"/>
          <w:szCs w:val="22"/>
        </w:rPr>
      </w:pPr>
    </w:p>
    <w:p w:rsidR="00891BAF" w:rsidP="00891BAF" w:rsidRDefault="00891BAF" w14:paraId="4A0B4D6A" w14:textId="77777777">
      <w:pPr>
        <w:rPr>
          <w:szCs w:val="22"/>
        </w:rPr>
      </w:pPr>
    </w:p>
    <w:p w:rsidRPr="00891BAF" w:rsidR="00891BAF" w:rsidP="00891BAF" w:rsidRDefault="00891BAF" w14:paraId="5EFFDE30" w14:textId="71260D2D">
      <w:pPr>
        <w:rPr>
          <w:szCs w:val="22"/>
        </w:rPr>
      </w:pPr>
      <w:r>
        <w:rPr>
          <w:noProof/>
          <w:lang w:val="es-CR" w:eastAsia="es-CR"/>
        </w:rPr>
        <w:drawing>
          <wp:anchor distT="0" distB="0" distL="114300" distR="114300" simplePos="0" relativeHeight="251659264" behindDoc="1" locked="0" layoutInCell="1" allowOverlap="1" wp14:editId="1C706F03" wp14:anchorId="131FA05E">
            <wp:simplePos x="0" y="0"/>
            <wp:positionH relativeFrom="column">
              <wp:posOffset>-97155</wp:posOffset>
            </wp:positionH>
            <wp:positionV relativeFrom="paragraph">
              <wp:posOffset>179705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91BAF">
        <w:rPr>
          <w:szCs w:val="22"/>
        </w:rPr>
        <w:t>Atentamente:</w:t>
      </w:r>
    </w:p>
    <w:p w:rsidR="00891BAF" w:rsidP="00516156" w:rsidRDefault="00891BAF" w14:paraId="04EC0C56" w14:textId="6CA0D55C">
      <w:pPr>
        <w:pStyle w:val="Prrafodelista"/>
        <w:ind w:left="502"/>
        <w:jc w:val="both"/>
        <w:rPr>
          <w:rFonts w:asciiTheme="majorHAnsi" w:hAnsiTheme="majorHAnsi"/>
          <w:sz w:val="22"/>
          <w:szCs w:val="22"/>
        </w:rPr>
      </w:pPr>
    </w:p>
    <w:p w:rsidR="00516156" w:rsidP="00516156" w:rsidRDefault="00516156" w14:paraId="16FB6A4D" w14:textId="3AEC1798">
      <w:pPr>
        <w:rPr>
          <w:rFonts w:asciiTheme="majorHAnsi" w:hAnsiTheme="majorHAnsi"/>
          <w:szCs w:val="22"/>
          <w:lang w:eastAsia="es-ES"/>
        </w:rPr>
      </w:pPr>
    </w:p>
    <w:p w:rsidRPr="00891BAF" w:rsidR="00725C3A" w:rsidP="00891BAF" w:rsidRDefault="00725C3A" w14:paraId="49BF5AAA" w14:textId="5BADD450">
      <w:pPr>
        <w:pStyle w:val="Prrafodelista"/>
        <w:ind w:left="502"/>
        <w:jc w:val="both"/>
        <w:rPr>
          <w:rFonts w:asciiTheme="majorHAnsi" w:hAnsiTheme="majorHAnsi"/>
          <w:sz w:val="22"/>
          <w:szCs w:val="22"/>
        </w:rPr>
      </w:pPr>
    </w:p>
    <w:p w:rsidRPr="002733E1" w:rsidR="00725C3A" w:rsidP="00725C3A" w:rsidRDefault="00725C3A" w14:paraId="4D0617CE" w14:textId="408B11CE">
      <w:pPr>
        <w:pStyle w:val="Negrita"/>
        <w:jc w:val="left"/>
        <w:rPr>
          <w:b w:val="0"/>
          <w:sz w:val="24"/>
        </w:rPr>
      </w:pPr>
      <w:r w:rsidRPr="002733E1">
        <w:rPr>
          <w:b w:val="0"/>
          <w:sz w:val="24"/>
        </w:rPr>
        <w:t>José Armando Fallas Martínez</w:t>
      </w:r>
    </w:p>
    <w:p w:rsidR="006972C9" w:rsidP="006972C9" w:rsidRDefault="00725C3A" w14:paraId="7DCC10D3" w14:textId="04FFF9C6">
      <w:pPr>
        <w:pStyle w:val="Negrita"/>
        <w:jc w:val="left"/>
        <w:rPr>
          <w:noProof/>
          <w:lang w:val="es-CR" w:eastAsia="es-CR"/>
        </w:rPr>
      </w:pPr>
      <w:r>
        <w:rPr>
          <w:sz w:val="24"/>
        </w:rPr>
        <w:t>Intendente</w:t>
      </w:r>
      <w:r w:rsidRPr="00A35D0A">
        <w:rPr>
          <w:sz w:val="24"/>
        </w:rPr>
        <w:t xml:space="preserve"> </w:t>
      </w:r>
      <w:r>
        <w:rPr>
          <w:noProof/>
          <w:lang w:val="es-CR" w:eastAsia="es-CR"/>
        </w:rPr>
        <w:t xml:space="preserve"> </w:t>
      </w:r>
      <w:r w:rsidR="006972C9">
        <w:rPr>
          <w:noProof/>
          <w:lang w:val="es-CR" w:eastAsia="es-CR"/>
        </w:rPr>
        <w:t xml:space="preserve"> </w:t>
      </w:r>
    </w:p>
    <w:p w:rsidRPr="00891BAF" w:rsidR="006972C9" w:rsidP="006972C9" w:rsidRDefault="006972C9" w14:paraId="781B0210" w14:textId="3A26118C">
      <w:pPr>
        <w:pStyle w:val="Negrita"/>
        <w:rPr>
          <w:sz w:val="16"/>
          <w:szCs w:val="16"/>
        </w:rPr>
      </w:pPr>
    </w:p>
    <w:p w:rsidRPr="00891BAF" w:rsidR="006972C9" w:rsidP="006972C9" w:rsidRDefault="00891BAF" w14:paraId="3F2B0976" w14:textId="39CC61CD">
      <w:pPr>
        <w:pStyle w:val="CC"/>
        <w:rPr>
          <w:sz w:val="16"/>
          <w:szCs w:val="16"/>
        </w:rPr>
      </w:pPr>
      <w:r w:rsidRPr="00891BAF">
        <w:rPr>
          <w:sz w:val="16"/>
          <w:szCs w:val="16"/>
        </w:rPr>
        <w:t>JFM/OMB/svv</w:t>
      </w:r>
    </w:p>
    <w:p w:rsidRPr="00891BAF" w:rsidR="006972C9" w:rsidP="006972C9" w:rsidRDefault="006972C9" w14:paraId="7116D233" w14:textId="77777777">
      <w:pPr>
        <w:rPr>
          <w:sz w:val="16"/>
          <w:szCs w:val="16"/>
        </w:rPr>
      </w:pPr>
    </w:p>
    <w:p w:rsidRPr="00891BAF" w:rsidR="006972C9" w:rsidP="006972C9" w:rsidRDefault="006972C9" w14:paraId="138AE2AB" w14:textId="77777777">
      <w:pPr>
        <w:rPr>
          <w:sz w:val="16"/>
          <w:szCs w:val="16"/>
        </w:rPr>
      </w:pPr>
    </w:p>
    <w:p w:rsidRPr="00891BAF" w:rsidR="006972C9" w:rsidP="006972C9" w:rsidRDefault="006972C9" w14:paraId="52268293" w14:textId="77777777">
      <w:pPr>
        <w:rPr>
          <w:sz w:val="16"/>
          <w:szCs w:val="16"/>
        </w:rPr>
      </w:pPr>
    </w:p>
    <w:p w:rsidRPr="006972C9" w:rsidR="006972C9" w:rsidP="006972C9" w:rsidRDefault="006972C9" w14:paraId="2A6C340B" w14:textId="77777777"/>
    <w:p w:rsidRPr="006972C9" w:rsidR="00AF06C5" w:rsidP="006972C9" w:rsidRDefault="00AF06C5" w14:paraId="14156064" w14:textId="77777777">
      <w:pPr>
        <w:tabs>
          <w:tab w:val="left" w:pos="7187"/>
        </w:tabs>
      </w:pP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7213" w14:textId="77777777" w:rsidR="00516156" w:rsidRDefault="00516156" w:rsidP="009349F3">
      <w:pPr>
        <w:spacing w:line="240" w:lineRule="auto"/>
      </w:pPr>
      <w:r>
        <w:separator/>
      </w:r>
    </w:p>
  </w:endnote>
  <w:endnote w:type="continuationSeparator" w:id="0">
    <w:p w14:paraId="1A1A46FE" w14:textId="77777777" w:rsidR="00516156" w:rsidRDefault="0051615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2C13040" w14:textId="77777777">
      <w:tc>
        <w:tcPr>
          <w:tcW w:w="2942" w:type="dxa"/>
        </w:tcPr>
        <w:p w:rsidR="00517D62" w:rsidRDefault="00517D62" w14:paraId="73DFEA6E"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7031771E"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34B3AF2A" w14:textId="77777777">
          <w:pPr>
            <w:pStyle w:val="Piedepgina"/>
            <w:rPr>
              <w:b/>
              <w:color w:val="7F7F7F" w:themeColor="text1" w:themeTint="80"/>
              <w:sz w:val="16"/>
              <w:szCs w:val="16"/>
            </w:rPr>
          </w:pPr>
        </w:p>
      </w:tc>
      <w:tc>
        <w:tcPr>
          <w:tcW w:w="2943" w:type="dxa"/>
        </w:tcPr>
        <w:p w:rsidRPr="009349F3" w:rsidR="00517D62" w:rsidP="00855792" w:rsidRDefault="00517D62" w14:paraId="6C539C1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E97591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F42DA6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91BAF">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8650640"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A073A" w14:textId="77777777" w:rsidR="00516156" w:rsidRDefault="00516156" w:rsidP="009349F3">
      <w:pPr>
        <w:spacing w:line="240" w:lineRule="auto"/>
      </w:pPr>
      <w:r>
        <w:separator/>
      </w:r>
    </w:p>
  </w:footnote>
  <w:footnote w:type="continuationSeparator" w:id="0">
    <w:p w14:paraId="24B75F80" w14:textId="77777777" w:rsidR="00516156" w:rsidRDefault="00516156"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6DDC1C4" w14:textId="77777777">
    <w:pPr>
      <w:pStyle w:val="Encabezado"/>
    </w:pPr>
    <w:r>
      <w:ptab w:alignment="center" w:relativeTo="margin" w:leader="none"/>
    </w:r>
    <w:r>
      <w:rPr>
        <w:noProof/>
        <w:lang w:val="es-CR" w:eastAsia="es-CR"/>
      </w:rPr>
      <w:drawing>
        <wp:inline distT="0" distB="0" distL="0" distR="0" wp14:anchorId="6C194761" wp14:editId="20D4549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56"/>
    <w:rsid w:val="00021C9A"/>
    <w:rsid w:val="0002354D"/>
    <w:rsid w:val="00087A46"/>
    <w:rsid w:val="00100A90"/>
    <w:rsid w:val="002D6ACD"/>
    <w:rsid w:val="00333738"/>
    <w:rsid w:val="00342844"/>
    <w:rsid w:val="003534B8"/>
    <w:rsid w:val="00516156"/>
    <w:rsid w:val="00517D62"/>
    <w:rsid w:val="005F7C14"/>
    <w:rsid w:val="0066384E"/>
    <w:rsid w:val="006972C9"/>
    <w:rsid w:val="00725C3A"/>
    <w:rsid w:val="008200B7"/>
    <w:rsid w:val="00852F96"/>
    <w:rsid w:val="00855792"/>
    <w:rsid w:val="00891BAF"/>
    <w:rsid w:val="00900B79"/>
    <w:rsid w:val="009349F3"/>
    <w:rsid w:val="00AF06C5"/>
    <w:rsid w:val="00B448E3"/>
    <w:rsid w:val="00B728FA"/>
    <w:rsid w:val="00DE2D06"/>
    <w:rsid w:val="00F16F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0FA3F"/>
  <w15:chartTrackingRefBased/>
  <w15:docId w15:val="{84D7A9D3-BE05-4C17-8C49-23253DC5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3">
    <w:name w:val="heading 3"/>
    <w:basedOn w:val="Normal"/>
    <w:next w:val="Normal"/>
    <w:link w:val="Ttulo3Car"/>
    <w:uiPriority w:val="9"/>
    <w:semiHidden/>
    <w:unhideWhenUsed/>
    <w:qFormat/>
    <w:rsid w:val="0051615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character" w:customStyle="1" w:styleId="Ttulo3Car">
    <w:name w:val="Título 3 Car"/>
    <w:basedOn w:val="Fuentedeprrafopredeter"/>
    <w:link w:val="Ttulo3"/>
    <w:uiPriority w:val="9"/>
    <w:semiHidden/>
    <w:rsid w:val="00516156"/>
    <w:rPr>
      <w:rFonts w:asciiTheme="majorHAnsi" w:eastAsiaTheme="majorEastAsia" w:hAnsiTheme="majorHAnsi" w:cstheme="majorBidi"/>
      <w:color w:val="1F4D78" w:themeColor="accent1" w:themeShade="7F"/>
      <w:sz w:val="24"/>
      <w:szCs w:val="24"/>
      <w:lang w:val="es-ES"/>
    </w:rPr>
  </w:style>
  <w:style w:type="paragraph" w:styleId="Prrafodelista">
    <w:name w:val="List Paragraph"/>
    <w:basedOn w:val="Normal"/>
    <w:link w:val="PrrafodelistaCar"/>
    <w:uiPriority w:val="34"/>
    <w:qFormat/>
    <w:rsid w:val="00516156"/>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516156"/>
    <w:rPr>
      <w:rFonts w:ascii="Times New Roman" w:eastAsia="Times New Roman" w:hAnsi="Times New Roman" w:cs="Times New Roman"/>
      <w:sz w:val="24"/>
      <w:szCs w:val="24"/>
      <w:lang w:val="es-ES" w:eastAsia="es-ES"/>
    </w:rPr>
  </w:style>
  <w:style w:type="table" w:styleId="Tabladecuadrcula4-nfasis5">
    <w:name w:val="Grid Table 4 Accent 5"/>
    <w:basedOn w:val="Tablanormal"/>
    <w:uiPriority w:val="49"/>
    <w:rsid w:val="0051615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2E6CD00EB04120BCA866749F4EE65A"/>
        <w:category>
          <w:name w:val="General"/>
          <w:gallery w:val="placeholder"/>
        </w:category>
        <w:types>
          <w:type w:val="bbPlcHdr"/>
        </w:types>
        <w:behaviors>
          <w:behavior w:val="content"/>
        </w:behaviors>
        <w:guid w:val="{853B2B8C-7E4F-48AC-9007-DF5361A8A8B2}"/>
      </w:docPartPr>
      <w:docPartBody>
        <w:p w:rsidR="000F2BC4" w:rsidRDefault="00662815">
          <w:pPr>
            <w:pStyle w:val="172E6CD00EB04120BCA866749F4EE65A"/>
          </w:pPr>
          <w:r w:rsidRPr="001E0779">
            <w:rPr>
              <w:rStyle w:val="Textodelmarcadordeposicin"/>
            </w:rPr>
            <w:t>Haga clic aquí para escribir texto.</w:t>
          </w:r>
        </w:p>
      </w:docPartBody>
    </w:docPart>
    <w:docPart>
      <w:docPartPr>
        <w:name w:val="77D8F328BBAF419BA46D993EADA4C801"/>
        <w:category>
          <w:name w:val="General"/>
          <w:gallery w:val="placeholder"/>
        </w:category>
        <w:types>
          <w:type w:val="bbPlcHdr"/>
        </w:types>
        <w:behaviors>
          <w:behavior w:val="content"/>
        </w:behaviors>
        <w:guid w:val="{70D6D6C7-1B83-4A13-93A8-BB2D4FEC958A}"/>
      </w:docPartPr>
      <w:docPartBody>
        <w:p w:rsidR="000F2BC4" w:rsidRDefault="00662815">
          <w:pPr>
            <w:pStyle w:val="77D8F328BBAF419BA46D993EADA4C80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15"/>
    <w:rsid w:val="000F2BC4"/>
    <w:rsid w:val="006628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2815"/>
  </w:style>
  <w:style w:type="paragraph" w:customStyle="1" w:styleId="172E6CD00EB04120BCA866749F4EE65A">
    <w:name w:val="172E6CD00EB04120BCA866749F4EE65A"/>
  </w:style>
  <w:style w:type="paragraph" w:customStyle="1" w:styleId="77D8F328BBAF419BA46D993EADA4C801">
    <w:name w:val="77D8F328BBAF419BA46D993EADA4C801"/>
  </w:style>
  <w:style w:type="paragraph" w:customStyle="1" w:styleId="18616D2703F04CBFB51194F6F4A621AA">
    <w:name w:val="18616D2703F04CBFB51194F6F4A621AA"/>
    <w:rsid w:val="00662815"/>
  </w:style>
  <w:style w:type="paragraph" w:customStyle="1" w:styleId="137FB937FDBE42C9A48F16D617EEB0FB">
    <w:name w:val="137FB937FDBE42C9A48F16D617EEB0FB"/>
    <w:rsid w:val="00662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EexlUrP+zFqYmKihoTkL1Yn8eZIMkWe4iQbwlWCboS8=</DigestValue>
    </Reference>
    <Reference Type="http://www.w3.org/2000/09/xmldsig#Object" URI="#idOfficeObject">
      <DigestMethod Algorithm="http://www.w3.org/2001/04/xmlenc#sha256"/>
      <DigestValue>aHILoB5XZvQNyWQ5vHx5TziGvJE01ODMr8mWWe7Ik6k=</DigestValue>
    </Reference>
    <Reference Type="http://uri.etsi.org/01903#SignedProperties" URI="#idSignedProperties">
      <Transforms>
        <Transform Algorithm="http://www.w3.org/TR/2001/REC-xml-c14n-20010315"/>
      </Transforms>
      <DigestMethod Algorithm="http://www.w3.org/2001/04/xmlenc#sha256"/>
      <DigestValue>dRoTiGqpTe+LzLQcDYmpBl3ZUo2AZZvGm4E28VbZrGE=</DigestValue>
    </Reference>
  </SignedInfo>
  <SignatureValue>qgFqMHP5VhvjmxBMwfcVjo4GKn6Y0h/GPxmauMmaaaypkBQHX1Njyvzr5zDVQWJWRoYRBZVnwkPy
EgsaQouKv+lJpC0NJ1VusJLyL1JC0HykU4meOGOcTpUDAqE8yTyJlNgcOnguvGx/sp36t/X5f+iv
/MT24prcnz1/rps9At0DmJq0HH8M/HbIXMYlXONgoPvBHK0bxoBvYrsOdtSKpyt+d5uEskwsq2bi
JuAVmgeIe6m6DAYHdXQEMFMvixdcixp/eUPrjfE3GCLTXbxvnaR7UNHIHfGX7GLlU0TbcTs2/jl1
zoXN1iISB2wuENVbOJlVBWijx6eg5uWGDxvvVw==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IgQYp7b6ja8uOIwTdUaKd1rwmMIuAM9pX7pOLI/Zogg=</DigestValue>
      </Reference>
      <Reference URI="/word/endnotes.xml?ContentType=application/vnd.openxmlformats-officedocument.wordprocessingml.endnotes+xml">
        <DigestMethod Algorithm="http://www.w3.org/2001/04/xmlenc#sha256"/>
        <DigestValue>dUbls/IztWR7TOx5IUoUpJSYiyDCxwHt+OxG4kndrQA=</DigestValue>
      </Reference>
      <Reference URI="/word/fontTable.xml?ContentType=application/vnd.openxmlformats-officedocument.wordprocessingml.fontTable+xml">
        <DigestMethod Algorithm="http://www.w3.org/2001/04/xmlenc#sha256"/>
        <DigestValue>3BK0UubtBPnHpHRxioMfvUEKL4qPLT7VoOPb2Al58/I=</DigestValue>
      </Reference>
      <Reference URI="/word/footer1.xml?ContentType=application/vnd.openxmlformats-officedocument.wordprocessingml.footer+xml">
        <DigestMethod Algorithm="http://www.w3.org/2001/04/xmlenc#sha256"/>
        <DigestValue>leIaGF/EJNAAF/3SpylDryrVNswsrmpENyeOVa4+yYY=</DigestValue>
      </Reference>
      <Reference URI="/word/footnotes.xml?ContentType=application/vnd.openxmlformats-officedocument.wordprocessingml.footnotes+xml">
        <DigestMethod Algorithm="http://www.w3.org/2001/04/xmlenc#sha256"/>
        <DigestValue>2wwpQhRT+e/xmtRwpPMc9aZE9fLQ8+S2ocXrvnhhucU=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QmI3r5aq3Wt9puDyqoc82895ZLXF4UZxxGc1cGKe4to=</DigestValue>
      </Reference>
      <Reference URI="/word/glossary/fontTable.xml?ContentType=application/vnd.openxmlformats-officedocument.wordprocessingml.fontTable+xml">
        <DigestMethod Algorithm="http://www.w3.org/2001/04/xmlenc#sha256"/>
        <DigestValue>3BK0UubtBPnHpHRxioMfvUEKL4qPLT7VoOPb2Al58/I=</DigestValue>
      </Reference>
      <Reference URI="/word/glossary/settings.xml?ContentType=application/vnd.openxmlformats-officedocument.wordprocessingml.settings+xml">
        <DigestMethod Algorithm="http://www.w3.org/2001/04/xmlenc#sha256"/>
        <DigestValue>jkgvXRUh4Y4YcQ6wDj1wfGcBmAHSxnL9nv5NrzyP5Vs=</DigestValue>
      </Reference>
      <Reference URI="/word/glossary/styles.xml?ContentType=application/vnd.openxmlformats-officedocument.wordprocessingml.styles+xml">
        <DigestMethod Algorithm="http://www.w3.org/2001/04/xmlenc#sha256"/>
        <DigestValue>C3emgaisPNMYoTlK7DORVKEOc7usKvLvfkCRMQ8CPk0=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yHyoLUR+Pg5OFPK+9fu1xRCEcJD5wUYohtk3BS0o6kY=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UEm4J1nmv/DzAdSxF54l8npOLc367PVupTQhtcPI1Is=</DigestValue>
      </Reference>
      <Reference URI="/word/settings.xml?ContentType=application/vnd.openxmlformats-officedocument.wordprocessingml.settings+xml">
        <DigestMethod Algorithm="http://www.w3.org/2001/04/xmlenc#sha256"/>
        <DigestValue>glqUEZjec3OMIH7jF+VKpyNUlZ6rNSbDgUbGW0HInJw=</DigestValue>
      </Reference>
      <Reference URI="/word/styles.xml?ContentType=application/vnd.openxmlformats-officedocument.wordprocessingml.styles+xml">
        <DigestMethod Algorithm="http://www.w3.org/2001/04/xmlenc#sha256"/>
        <DigestValue>o3Fw0QDgec8ViVsWoJfd3tR5CD/YwuRrY2M6d7P59u4=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2019-12-23T21:19:10Z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2019-12-23T21:19:10Z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XKBtZ9RGGXFBzkXNBVr1biDNLajyAgZUbwHUUlqLHECBAka9YsYDzIwMTkxMjIzMjExOT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eoSzvDLRQLQ0EcR8agHjGdcqK7o=</xd:ByKey>
                  </xd:ResponderID>
                  <xd:ProducedAt>2019-12-23T21:19:08Z</xd:ProducedAt>
                </xd:OCSPIdentifier>
                <xd:DigestAlgAndValue>
                  <DigestMethod Algorithm="http://www.w3.org/2001/04/xmlenc#sha256"/>
                  <DigestValue>IfWi9YajflFORTv7MuIpkncN9ZXAMz3eg8MtKfOFfGY=</DigestValue>
                </xd:DigestAlgAndValue>
              </xd:OCSPRef>
            </xd:OCSPRefs>
            <xd:CRLRefs>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eUzXKH00m0TKlnH+K2RMsSHTrvIJ3tcYrOHxh9HCuACBAka9YwYDzIwMTkxMjIzMjExOT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UserInfo>
        <DisplayName>i:0#.w|pdc-atlantida\delgadohh</DisplayName>
        <AccountId>2552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2019-12-23T06:00:00+00:00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Solo a intermediarios financieros, o sea bancos, financieras, cajande, cooperativas , mutuales y SBD</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2019-12-20T17:14:00+00:00</FechaDocumento>
    <RemitenteOriginal xmlns="b875e23b-67d9-4b2e-bdec-edacbf90b326" xsi:nil="true"/>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CODIGO 9 CREDITO SALVAMENTO</Subject1>
    <_dlc_ExpireDateSaved xmlns="http://schemas.microsoft.com/sharepoint/v3" xsi:nil="true"/>
    <_dlc_ExpireDate xmlns="http://schemas.microsoft.com/sharepoint/v3">2020-01-06T06:00:00+00:00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5F070F1-CBA5-4EBC-88CB-2D58CB99583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b875e23b-67d9-4b2e-bdec-edacbf90b326"/>
    <ds:schemaRef ds:uri="http://purl.org/dc/dcmitype/"/>
  </ds:schemaRefs>
</ds:datastoreItem>
</file>

<file path=customXml/itemProps2.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3.xml><?xml version="1.0" encoding="utf-8"?>
<ds:datastoreItem xmlns:ds="http://schemas.openxmlformats.org/officeDocument/2006/customXml" ds:itemID="{7838FE54-D027-4E7D-B317-4A70DD73C1A9}"/>
</file>

<file path=customXml/itemProps4.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5.xml><?xml version="1.0" encoding="utf-8"?>
<ds:datastoreItem xmlns:ds="http://schemas.openxmlformats.org/officeDocument/2006/customXml" ds:itemID="{E08796B0-7AC1-4006-B51A-0C08810810C4}"/>
</file>

<file path=customXml/itemProps6.xml><?xml version="1.0" encoding="utf-8"?>
<ds:datastoreItem xmlns:ds="http://schemas.openxmlformats.org/officeDocument/2006/customXml" ds:itemID="{703C545F-BAAE-48AA-8CF6-7ADE9729578A}"/>
</file>

<file path=docProps/app.xml><?xml version="1.0" encoding="utf-8"?>
<Properties xmlns="http://schemas.openxmlformats.org/officeDocument/2006/extended-properties" xmlns:vt="http://schemas.openxmlformats.org/officeDocument/2006/docPropsVTypes">
  <Template>Normal</Template>
  <TotalTime>39</TotalTime>
  <Pages>2</Pages>
  <Words>374</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Mario Morales Berrocal</dc:creator>
  <cp:keywords/>
  <dc:description/>
  <cp:lastModifiedBy>VILLALOBOS VILLEGAS SHIRLEY</cp:lastModifiedBy>
  <cp:revision>2</cp:revision>
  <dcterms:created xsi:type="dcterms:W3CDTF">2019-12-21T00:49:00Z</dcterms:created>
  <dcterms:modified xsi:type="dcterms:W3CDTF">2019-12-23T14:54:00Z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17600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