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44F4" w:rsidR="0051405D" w:rsidP="0051405D" w:rsidRDefault="0051405D" w14:paraId="751EEAA0" w14:textId="1EEAE938">
      <w:pPr>
        <w:pStyle w:val="Texto"/>
        <w:spacing w:before="0" w:after="0" w:line="240" w:lineRule="auto"/>
        <w:jc w:val="center"/>
        <w:rPr>
          <w:b/>
          <w:bCs/>
          <w:sz w:val="24"/>
        </w:rPr>
      </w:pPr>
      <w:r w:rsidRPr="005544F4">
        <w:rPr>
          <w:b/>
          <w:bCs/>
          <w:sz w:val="24"/>
        </w:rPr>
        <w:t>Resolución</w:t>
      </w:r>
    </w:p>
    <w:p w:rsidRPr="0051405D" w:rsidR="00181ABF" w:rsidP="0051405D" w:rsidRDefault="00720FAA" w14:paraId="473CE32E" w14:textId="1985F894">
      <w:pPr>
        <w:pStyle w:val="Texto"/>
        <w:spacing w:before="0" w:after="0" w:line="240" w:lineRule="auto"/>
        <w:jc w:val="center"/>
        <w:rPr>
          <w:sz w:val="24"/>
        </w:rPr>
      </w:pPr>
      <w:r>
        <w:rPr>
          <w:sz w:val="24"/>
        </w:rPr>
        <w:t>1</w:t>
      </w:r>
      <w:r w:rsidR="005544F4">
        <w:rPr>
          <w:sz w:val="24"/>
        </w:rPr>
        <w:t>8</w:t>
      </w:r>
      <w:r w:rsidRPr="0051405D" w:rsidR="00181ABF">
        <w:rPr>
          <w:sz w:val="24"/>
        </w:rPr>
        <w:t xml:space="preserve"> de </w:t>
      </w:r>
      <w:r>
        <w:rPr>
          <w:sz w:val="24"/>
        </w:rPr>
        <w:t>diciembre</w:t>
      </w:r>
      <w:r w:rsidRPr="0051405D" w:rsidR="00181ABF">
        <w:rPr>
          <w:sz w:val="24"/>
        </w:rPr>
        <w:t xml:space="preserve"> de </w:t>
      </w:r>
      <w:r w:rsidRPr="0051405D" w:rsidR="0051405D">
        <w:rPr>
          <w:sz w:val="24"/>
        </w:rPr>
        <w:t>2023</w:t>
      </w:r>
    </w:p>
    <w:sdt>
      <w:sdtPr>
        <w:rPr>
          <w:sz w:val="24"/>
        </w:rPr>
        <w:alias w:val="Consecutivo"/>
        <w:tag w:val="Consecutivo"/>
        <w:id w:val="2052717023"/>
        <w:placeholder>
          <w:docPart w:val="B786FDA722B64DF7A22690D4C2AC6E3B"/>
        </w:placeholder>
        <w:text/>
      </w:sdtPr>
      <w:sdtEndPr/>
      <w:sdtContent>
        <w:p w:rsidRPr="0051405D" w:rsidR="00181ABF" w:rsidP="0051405D" w:rsidRDefault="00181ABF" w14:paraId="05E42CA3" w14:textId="77777777">
          <w:pPr>
            <w:tabs>
              <w:tab w:val="left" w:pos="2843"/>
            </w:tabs>
            <w:spacing w:line="240" w:lineRule="auto"/>
            <w:jc w:val="center"/>
            <w:rPr>
              <w:sz w:val="24"/>
            </w:rPr>
          </w:pPr>
          <w:r>
            <w:t>SGF-3306-2023</w:t>
          </w:r>
        </w:p>
      </w:sdtContent>
    </w:sdt>
    <w:p w:rsidRPr="0051405D" w:rsidR="00181ABF" w:rsidP="0051405D" w:rsidRDefault="008454C7" w14:paraId="1D912349" w14:textId="773C707B">
      <w:pPr>
        <w:tabs>
          <w:tab w:val="left" w:pos="2843"/>
        </w:tabs>
        <w:spacing w:line="240" w:lineRule="auto"/>
        <w:jc w:val="center"/>
        <w:rPr>
          <w:sz w:val="24"/>
        </w:rPr>
      </w:pPr>
      <w:sdt>
        <w:sdtPr>
          <w:rPr>
            <w:sz w:val="24"/>
          </w:rPr>
          <w:alias w:val="Confidencialidad"/>
          <w:tag w:val="Confidencialidad"/>
          <w:id w:val="1447896894"/>
          <w:placeholder>
            <w:docPart w:val="86CACA01EDF147A18292C58B1501B1C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51405D" w:rsidR="0051405D">
            <w:rPr>
              <w:sz w:val="24"/>
            </w:rPr>
            <w:t>SGF-PUBLICO</w:t>
          </w:r>
        </w:sdtContent>
      </w:sdt>
    </w:p>
    <w:p w:rsidRPr="0051405D" w:rsidR="00181ABF" w:rsidP="00181ABF" w:rsidRDefault="00181ABF" w14:paraId="64037897" w14:textId="77777777">
      <w:pPr>
        <w:tabs>
          <w:tab w:val="left" w:pos="2843"/>
        </w:tabs>
        <w:spacing w:line="240" w:lineRule="auto"/>
        <w:rPr>
          <w:sz w:val="24"/>
        </w:rPr>
      </w:pPr>
      <w:r w:rsidRPr="0051405D">
        <w:rPr>
          <w:sz w:val="24"/>
        </w:rPr>
        <w:tab/>
      </w:r>
    </w:p>
    <w:p w:rsidRPr="0051405D" w:rsidR="0051405D" w:rsidP="0051405D" w:rsidRDefault="0051405D" w14:paraId="28731BAB" w14:textId="77777777">
      <w:pPr>
        <w:widowControl w:val="0"/>
        <w:spacing w:before="240" w:line="240" w:lineRule="auto"/>
        <w:ind w:right="86"/>
        <w:outlineLvl w:val="0"/>
        <w:rPr>
          <w:b/>
          <w:sz w:val="24"/>
          <w:lang w:val="es-CR"/>
        </w:rPr>
      </w:pPr>
      <w:r w:rsidRPr="0051405D">
        <w:rPr>
          <w:b/>
          <w:sz w:val="24"/>
          <w:lang w:val="es-CR"/>
        </w:rPr>
        <w:t xml:space="preserve">Dirigida a: </w:t>
      </w:r>
    </w:p>
    <w:p w:rsidRPr="008668F1" w:rsidR="0051405D" w:rsidP="0051405D" w:rsidRDefault="0051405D" w14:paraId="62F938D9" w14:textId="77777777">
      <w:pPr>
        <w:widowControl w:val="0"/>
        <w:numPr>
          <w:ilvl w:val="0"/>
          <w:numId w:val="4"/>
        </w:numPr>
        <w:spacing w:line="240" w:lineRule="auto"/>
        <w:ind w:left="0" w:right="85" w:firstLine="0"/>
        <w:rPr>
          <w:bCs/>
          <w:sz w:val="24"/>
          <w:lang w:val="es-CR"/>
        </w:rPr>
      </w:pPr>
      <w:r w:rsidRPr="008668F1">
        <w:rPr>
          <w:bCs/>
          <w:sz w:val="24"/>
          <w:lang w:val="es-CR"/>
        </w:rPr>
        <w:t>Bancos Comerciales del Estado</w:t>
      </w:r>
    </w:p>
    <w:p w:rsidRPr="008668F1" w:rsidR="0051405D" w:rsidP="0051405D" w:rsidRDefault="0051405D" w14:paraId="0E06D2D9" w14:textId="77777777">
      <w:pPr>
        <w:widowControl w:val="0"/>
        <w:numPr>
          <w:ilvl w:val="0"/>
          <w:numId w:val="4"/>
        </w:numPr>
        <w:spacing w:line="240" w:lineRule="auto"/>
        <w:ind w:left="0" w:right="85" w:firstLine="0"/>
        <w:rPr>
          <w:bCs/>
          <w:sz w:val="24"/>
          <w:lang w:val="es-CR"/>
        </w:rPr>
      </w:pPr>
      <w:r w:rsidRPr="008668F1">
        <w:rPr>
          <w:bCs/>
          <w:sz w:val="24"/>
          <w:lang w:val="es-CR"/>
        </w:rPr>
        <w:t>Bancos Creados por Leyes Especiales</w:t>
      </w:r>
    </w:p>
    <w:p w:rsidRPr="008668F1" w:rsidR="0051405D" w:rsidP="0051405D" w:rsidRDefault="0051405D" w14:paraId="36D38588" w14:textId="77777777">
      <w:pPr>
        <w:widowControl w:val="0"/>
        <w:numPr>
          <w:ilvl w:val="0"/>
          <w:numId w:val="4"/>
        </w:numPr>
        <w:spacing w:line="240" w:lineRule="auto"/>
        <w:ind w:left="0" w:right="85" w:firstLine="0"/>
        <w:rPr>
          <w:bCs/>
          <w:sz w:val="24"/>
          <w:lang w:val="es-CR"/>
        </w:rPr>
      </w:pPr>
      <w:r w:rsidRPr="008668F1">
        <w:rPr>
          <w:bCs/>
          <w:sz w:val="24"/>
          <w:lang w:val="es-CR"/>
        </w:rPr>
        <w:t>Bancos Privados</w:t>
      </w:r>
    </w:p>
    <w:p w:rsidRPr="008668F1" w:rsidR="0051405D" w:rsidP="0051405D" w:rsidRDefault="0051405D" w14:paraId="6BB67CCF" w14:textId="77777777">
      <w:pPr>
        <w:widowControl w:val="0"/>
        <w:numPr>
          <w:ilvl w:val="0"/>
          <w:numId w:val="4"/>
        </w:numPr>
        <w:spacing w:line="240" w:lineRule="auto"/>
        <w:ind w:left="0" w:right="85" w:firstLine="0"/>
        <w:rPr>
          <w:bCs/>
          <w:sz w:val="24"/>
          <w:lang w:val="es-CR"/>
        </w:rPr>
      </w:pPr>
      <w:r w:rsidRPr="008668F1">
        <w:rPr>
          <w:bCs/>
          <w:sz w:val="24"/>
          <w:lang w:val="es-CR"/>
        </w:rPr>
        <w:t>Empresas Financieras no Bancarias</w:t>
      </w:r>
    </w:p>
    <w:p w:rsidRPr="008668F1" w:rsidR="0051405D" w:rsidP="0051405D" w:rsidRDefault="0051405D" w14:paraId="52DEF933" w14:textId="77777777">
      <w:pPr>
        <w:widowControl w:val="0"/>
        <w:numPr>
          <w:ilvl w:val="0"/>
          <w:numId w:val="4"/>
        </w:numPr>
        <w:spacing w:line="240" w:lineRule="auto"/>
        <w:ind w:left="0" w:right="85" w:firstLine="0"/>
        <w:rPr>
          <w:bCs/>
          <w:sz w:val="24"/>
          <w:lang w:val="es-CR"/>
        </w:rPr>
      </w:pPr>
      <w:r w:rsidRPr="008668F1">
        <w:rPr>
          <w:bCs/>
          <w:sz w:val="24"/>
          <w:lang w:val="es-CR"/>
        </w:rPr>
        <w:t>Otras Entidades Financieras</w:t>
      </w:r>
    </w:p>
    <w:p w:rsidRPr="008668F1" w:rsidR="0051405D" w:rsidP="0051405D" w:rsidRDefault="0051405D" w14:paraId="4F0AF7DD" w14:textId="77777777">
      <w:pPr>
        <w:widowControl w:val="0"/>
        <w:numPr>
          <w:ilvl w:val="0"/>
          <w:numId w:val="4"/>
        </w:numPr>
        <w:spacing w:line="240" w:lineRule="auto"/>
        <w:ind w:left="0" w:right="85" w:firstLine="0"/>
        <w:rPr>
          <w:bCs/>
          <w:sz w:val="24"/>
          <w:lang w:val="es-CR"/>
        </w:rPr>
      </w:pPr>
      <w:r w:rsidRPr="008668F1">
        <w:rPr>
          <w:bCs/>
          <w:sz w:val="24"/>
          <w:lang w:val="es-CR"/>
        </w:rPr>
        <w:t>Organizaciones Cooperativas de Ahorro y Crédito</w:t>
      </w:r>
    </w:p>
    <w:p w:rsidRPr="008668F1" w:rsidR="0051405D" w:rsidP="0051405D" w:rsidRDefault="00032348" w14:paraId="72D3A70F" w14:textId="4A2DB248">
      <w:pPr>
        <w:widowControl w:val="0"/>
        <w:numPr>
          <w:ilvl w:val="0"/>
          <w:numId w:val="4"/>
        </w:numPr>
        <w:spacing w:line="240" w:lineRule="auto"/>
        <w:ind w:left="0" w:right="85" w:firstLine="0"/>
        <w:rPr>
          <w:bCs/>
          <w:sz w:val="24"/>
          <w:lang w:val="es-CR"/>
        </w:rPr>
      </w:pPr>
      <w:r>
        <w:rPr>
          <w:bCs/>
          <w:sz w:val="24"/>
          <w:lang w:val="es-CR"/>
        </w:rPr>
        <w:t>Asociaciones Mutualistas de Ahorro y Préstamo</w:t>
      </w:r>
    </w:p>
    <w:p w:rsidRPr="0051405D" w:rsidR="0051405D" w:rsidP="0051405D" w:rsidRDefault="0051405D" w14:paraId="3CBCD91E" w14:textId="744F56A0">
      <w:pPr>
        <w:pStyle w:val="Texto"/>
        <w:spacing w:before="240" w:after="0" w:line="240" w:lineRule="auto"/>
        <w:ind w:left="1134" w:hanging="1134"/>
        <w:rPr>
          <w:sz w:val="24"/>
          <w:lang w:val="es-419"/>
        </w:rPr>
      </w:pPr>
      <w:r w:rsidRPr="0051405D">
        <w:rPr>
          <w:b/>
          <w:sz w:val="24"/>
        </w:rPr>
        <w:t xml:space="preserve">Asunto: </w:t>
      </w:r>
      <w:r w:rsidRPr="0051405D">
        <w:rPr>
          <w:b/>
          <w:sz w:val="24"/>
        </w:rPr>
        <w:tab/>
      </w:r>
      <w:r w:rsidRPr="003E2B6F" w:rsidR="003E2B6F">
        <w:rPr>
          <w:bCs/>
          <w:i/>
          <w:iCs/>
          <w:sz w:val="24"/>
        </w:rPr>
        <w:t xml:space="preserve">Actualización del término “deudor expuesto a riesgo cambiario” en los </w:t>
      </w:r>
      <w:r w:rsidRPr="003E2B6F">
        <w:rPr>
          <w:bCs/>
          <w:i/>
          <w:iCs/>
          <w:sz w:val="24"/>
          <w:lang w:val="es-419"/>
        </w:rPr>
        <w:t>“Lineamientos Generales al Título</w:t>
      </w:r>
      <w:r w:rsidRPr="0051405D">
        <w:rPr>
          <w:sz w:val="24"/>
          <w:lang w:val="es-419"/>
        </w:rPr>
        <w:t xml:space="preserve"> III “Administración del Riesgo de Crédito” y al Título V “Administración del riesgo de liquidez” del “Reglamento sobre Administración Integral de Riesgos”, </w:t>
      </w:r>
      <w:r w:rsidRPr="00720FAA">
        <w:rPr>
          <w:b/>
          <w:bCs/>
          <w:sz w:val="24"/>
          <w:lang w:val="es-419"/>
        </w:rPr>
        <w:t>Acuerdo SUGEF 2-10</w:t>
      </w:r>
      <w:r w:rsidRPr="0051405D">
        <w:rPr>
          <w:sz w:val="24"/>
          <w:lang w:val="es-419"/>
        </w:rPr>
        <w:t>; “</w:t>
      </w:r>
      <w:r w:rsidRPr="0051405D">
        <w:rPr>
          <w:i/>
          <w:iCs/>
          <w:sz w:val="24"/>
          <w:lang w:val="es-419"/>
        </w:rPr>
        <w:t>Lineamientos Generales para la aplicación del</w:t>
      </w:r>
      <w:r w:rsidRPr="0051405D">
        <w:rPr>
          <w:sz w:val="24"/>
          <w:lang w:val="es-419"/>
        </w:rPr>
        <w:t xml:space="preserve"> </w:t>
      </w:r>
      <w:r w:rsidRPr="0051405D">
        <w:rPr>
          <w:i/>
          <w:iCs/>
          <w:sz w:val="24"/>
        </w:rPr>
        <w:t xml:space="preserve">Reglamento sobre Cálculo de estimaciones crediticias, </w:t>
      </w:r>
      <w:r w:rsidRPr="00720FAA">
        <w:rPr>
          <w:b/>
          <w:bCs/>
          <w:i/>
          <w:iCs/>
          <w:sz w:val="24"/>
        </w:rPr>
        <w:t>Acuerdo CONASSIF 14-21</w:t>
      </w:r>
      <w:r w:rsidRPr="0051405D">
        <w:rPr>
          <w:i/>
          <w:iCs/>
          <w:sz w:val="24"/>
        </w:rPr>
        <w:t xml:space="preserve">” y “Lineamientos Generales del </w:t>
      </w:r>
      <w:r w:rsidRPr="00720FAA">
        <w:rPr>
          <w:b/>
          <w:bCs/>
          <w:i/>
          <w:iCs/>
          <w:sz w:val="24"/>
        </w:rPr>
        <w:t>Acuerdo SUGEF 15-16</w:t>
      </w:r>
      <w:r w:rsidRPr="0051405D">
        <w:rPr>
          <w:i/>
          <w:iCs/>
          <w:sz w:val="24"/>
        </w:rPr>
        <w:t xml:space="preserve"> Reglamento sobre gestión y evaluación del riesgo de crédito para el Sistema de Banca para el Desarrollo”.</w:t>
      </w:r>
    </w:p>
    <w:p w:rsidRPr="0051405D" w:rsidR="0051405D" w:rsidP="0051405D" w:rsidRDefault="0051405D" w14:paraId="33E238AE" w14:textId="77777777">
      <w:pPr>
        <w:spacing w:before="240" w:line="240" w:lineRule="auto"/>
        <w:outlineLvl w:val="0"/>
        <w:rPr>
          <w:sz w:val="24"/>
        </w:rPr>
      </w:pPr>
      <w:r w:rsidRPr="0051405D">
        <w:rPr>
          <w:b/>
          <w:sz w:val="24"/>
        </w:rPr>
        <w:t>La Superintendente General de Entidades Financieras,</w:t>
      </w:r>
    </w:p>
    <w:p w:rsidRPr="0051405D" w:rsidR="0051405D" w:rsidP="0051405D" w:rsidRDefault="0051405D" w14:paraId="08A52A74" w14:textId="77777777">
      <w:pPr>
        <w:spacing w:before="240" w:line="240" w:lineRule="auto"/>
        <w:rPr>
          <w:b/>
          <w:sz w:val="24"/>
        </w:rPr>
      </w:pPr>
      <w:r w:rsidRPr="0051405D">
        <w:rPr>
          <w:b/>
          <w:sz w:val="24"/>
        </w:rPr>
        <w:t xml:space="preserve">Considerando que: </w:t>
      </w:r>
    </w:p>
    <w:p w:rsidRPr="0051405D" w:rsidR="0051405D" w:rsidP="0051405D" w:rsidRDefault="0051405D" w14:paraId="435A634E" w14:textId="77777777">
      <w:pPr>
        <w:numPr>
          <w:ilvl w:val="1"/>
          <w:numId w:val="3"/>
        </w:numPr>
        <w:spacing w:before="240" w:line="240" w:lineRule="auto"/>
        <w:ind w:left="567" w:hanging="567"/>
        <w:rPr>
          <w:sz w:val="24"/>
        </w:rPr>
      </w:pPr>
      <w:r w:rsidRPr="0051405D">
        <w:rPr>
          <w:sz w:val="24"/>
        </w:rPr>
        <w:t xml:space="preserve">De conformidad con el Artículo 131, inciso b) de la </w:t>
      </w:r>
      <w:r w:rsidRPr="0051405D">
        <w:rPr>
          <w:i/>
          <w:iCs/>
          <w:sz w:val="24"/>
        </w:rPr>
        <w:t>Ley Orgánica del Banco Central de Costa Rica</w:t>
      </w:r>
      <w:r w:rsidRPr="0051405D">
        <w:rPr>
          <w:sz w:val="24"/>
        </w:rPr>
        <w:t>, Ley 7558, corresponde al Superintendente tomar las medidas necesarias para ejecutar los acuerdos del Consejo Nacional de Supervisión.</w:t>
      </w:r>
    </w:p>
    <w:p w:rsidRPr="00B2148A" w:rsidR="004F427A" w:rsidP="004F427A" w:rsidRDefault="004F427A" w14:paraId="225EE72C" w14:textId="5B8542BF">
      <w:pPr>
        <w:numPr>
          <w:ilvl w:val="1"/>
          <w:numId w:val="3"/>
        </w:numPr>
        <w:spacing w:before="240" w:line="240" w:lineRule="auto"/>
        <w:ind w:left="567" w:hanging="567"/>
        <w:rPr>
          <w:sz w:val="24"/>
        </w:rPr>
      </w:pPr>
      <w:r w:rsidRPr="00B2148A">
        <w:rPr>
          <w:sz w:val="24"/>
        </w:rPr>
        <w:t xml:space="preserve">Mediante artículo 9 del acta de la sesión 862-2010, celebrada el 25 de junio de 2010, el Consejo Nacional de Supervisión del Sistema Financiero aprobó el </w:t>
      </w:r>
      <w:r w:rsidRPr="00B2148A">
        <w:rPr>
          <w:i/>
          <w:sz w:val="24"/>
        </w:rPr>
        <w:t>Reglamento sobre Administración Integral de Riesgos</w:t>
      </w:r>
      <w:r w:rsidRPr="00B2148A">
        <w:rPr>
          <w:sz w:val="24"/>
        </w:rPr>
        <w:t>, Acuerdo SUGEF 2-10, con vigencia a partir del 15 de julio del 2010 y publicado en el diario oficial La Gaceta 137, del 15 de julio de 2010</w:t>
      </w:r>
      <w:r w:rsidR="00C6382B">
        <w:rPr>
          <w:sz w:val="24"/>
        </w:rPr>
        <w:t xml:space="preserve">, el cual </w:t>
      </w:r>
      <w:r w:rsidRPr="00C6382B" w:rsidR="00C6382B">
        <w:rPr>
          <w:sz w:val="24"/>
        </w:rPr>
        <w:t>establece aspectos mínimos que deben observarse para el desarrollo, la implementación y el mantenimiento de un proceso de Administración Integral de Riesgos</w:t>
      </w:r>
      <w:r w:rsidR="00C6382B">
        <w:rPr>
          <w:sz w:val="24"/>
        </w:rPr>
        <w:t>.</w:t>
      </w:r>
    </w:p>
    <w:p w:rsidRPr="00733EEA" w:rsidR="0051405D" w:rsidP="0051405D" w:rsidRDefault="0051405D" w14:paraId="17DD5EFA" w14:textId="23BFE0AB">
      <w:pPr>
        <w:numPr>
          <w:ilvl w:val="1"/>
          <w:numId w:val="3"/>
        </w:numPr>
        <w:spacing w:before="240" w:line="240" w:lineRule="auto"/>
        <w:ind w:left="567" w:hanging="567"/>
        <w:rPr>
          <w:sz w:val="24"/>
        </w:rPr>
      </w:pPr>
      <w:r w:rsidRPr="00733EEA">
        <w:rPr>
          <w:sz w:val="24"/>
        </w:rPr>
        <w:t xml:space="preserve">El Consejo Nacional de Supervisión del Sistema Financiero, mediante los artículos 8 y 9, de las actas de las sesiones 1699-2021 y 1700-2021, celebradas el 11 y 15 de noviembre de 2021, aprobó el </w:t>
      </w:r>
      <w:r w:rsidRPr="00733EEA">
        <w:rPr>
          <w:i/>
          <w:iCs/>
          <w:sz w:val="24"/>
        </w:rPr>
        <w:t>Reglamento sobre Cálculo de estimaciones crediticias</w:t>
      </w:r>
      <w:r w:rsidRPr="00733EEA">
        <w:rPr>
          <w:sz w:val="24"/>
        </w:rPr>
        <w:t>, Acuerdo CONASSIF 14-21, con vigencia a partir del 1° de enero de 2024 y que fue publicado en el Alcance 241 a La Gaceta 229 del viernes 26 de noviembre de 2021.</w:t>
      </w:r>
      <w:r w:rsidRPr="00733EEA" w:rsidR="00733EEA">
        <w:rPr>
          <w:sz w:val="24"/>
        </w:rPr>
        <w:t xml:space="preserve"> </w:t>
      </w:r>
      <w:r w:rsidRPr="00733EEA">
        <w:rPr>
          <w:sz w:val="24"/>
        </w:rPr>
        <w:t>El Artículo 4. Lineamientos Generales de</w:t>
      </w:r>
      <w:r w:rsidRPr="00733EEA" w:rsidR="00733EEA">
        <w:rPr>
          <w:sz w:val="24"/>
        </w:rPr>
        <w:t xml:space="preserve"> ese </w:t>
      </w:r>
      <w:r w:rsidRPr="00733EEA">
        <w:rPr>
          <w:sz w:val="24"/>
        </w:rPr>
        <w:lastRenderedPageBreak/>
        <w:t>Acuerdo establece la potestad del Superintendente para emitir</w:t>
      </w:r>
      <w:r w:rsidRPr="00733EEA" w:rsidR="00733EEA">
        <w:rPr>
          <w:sz w:val="24"/>
        </w:rPr>
        <w:t xml:space="preserve"> y modificar</w:t>
      </w:r>
      <w:r w:rsidRPr="00733EEA">
        <w:rPr>
          <w:sz w:val="24"/>
        </w:rPr>
        <w:t xml:space="preserve"> los Lineamientos Generales. Asimismo,</w:t>
      </w:r>
      <w:r w:rsidR="00733EEA">
        <w:rPr>
          <w:sz w:val="24"/>
        </w:rPr>
        <w:t xml:space="preserve"> m</w:t>
      </w:r>
      <w:r w:rsidRPr="00733EEA">
        <w:rPr>
          <w:sz w:val="24"/>
        </w:rPr>
        <w:t>ediante Resolución SGF-3577-2021 del 22 de diciembre de 2021 se ajustan los Lineamientos utilizados para la aplicación del Acuerdo SUGEF 1-05</w:t>
      </w:r>
      <w:r w:rsidR="00C6382B">
        <w:rPr>
          <w:sz w:val="24"/>
        </w:rPr>
        <w:t xml:space="preserve">, </w:t>
      </w:r>
      <w:r w:rsidRPr="00733EEA">
        <w:rPr>
          <w:sz w:val="24"/>
        </w:rPr>
        <w:t>cuya vigencia finaliza el 31 de diciembre de 2023, a efecto de que también permitan la aplicación del Acuerdo CONASSIF 14-21 cuya entrada en vigor inicia el 1 de enero de 2024.</w:t>
      </w:r>
    </w:p>
    <w:p w:rsidRPr="00B2148A" w:rsidR="0051405D" w:rsidP="0051405D" w:rsidRDefault="0051405D" w14:paraId="32904725" w14:textId="10F997E8">
      <w:pPr>
        <w:numPr>
          <w:ilvl w:val="1"/>
          <w:numId w:val="3"/>
        </w:numPr>
        <w:spacing w:before="240" w:line="240" w:lineRule="auto"/>
        <w:ind w:left="567" w:hanging="567"/>
        <w:rPr>
          <w:sz w:val="24"/>
        </w:rPr>
      </w:pPr>
      <w:r w:rsidRPr="00B2148A">
        <w:rPr>
          <w:sz w:val="24"/>
        </w:rPr>
        <w:t xml:space="preserve">Mediante artículo 12 del acta de la sesión 1251-2016, celebrada el 10 de mayo de 2016, el Consejo Nacional de Supervisión del Sistema Financiero aprobó el </w:t>
      </w:r>
      <w:r w:rsidRPr="00B2148A">
        <w:rPr>
          <w:i/>
          <w:iCs/>
          <w:sz w:val="24"/>
        </w:rPr>
        <w:t>Reglamento sobre gestión y evaluación del riesgo de crédito para el sistema de banca para el desarrollo</w:t>
      </w:r>
      <w:r w:rsidRPr="00B2148A">
        <w:rPr>
          <w:sz w:val="24"/>
        </w:rPr>
        <w:t>, Acuerdo SUGEF 15-16, publicado en el Alcance 97 a La Gaceta 114, del 14 de junio de 2016</w:t>
      </w:r>
      <w:r w:rsidRPr="00B2148A" w:rsidR="00733EEA">
        <w:rPr>
          <w:sz w:val="24"/>
        </w:rPr>
        <w:t xml:space="preserve">, en su </w:t>
      </w:r>
      <w:r w:rsidRPr="00B2148A">
        <w:rPr>
          <w:sz w:val="24"/>
        </w:rPr>
        <w:t xml:space="preserve">Artículo 4. Lineamientos Generales </w:t>
      </w:r>
      <w:r w:rsidRPr="00B2148A" w:rsidR="00733EEA">
        <w:rPr>
          <w:sz w:val="24"/>
        </w:rPr>
        <w:t>se</w:t>
      </w:r>
      <w:r w:rsidRPr="00B2148A">
        <w:rPr>
          <w:sz w:val="24"/>
        </w:rPr>
        <w:t xml:space="preserve"> establece la potestad del Superintendente para emitir </w:t>
      </w:r>
      <w:r w:rsidRPr="00B2148A" w:rsidR="00733EEA">
        <w:rPr>
          <w:sz w:val="24"/>
        </w:rPr>
        <w:t xml:space="preserve">y modificar </w:t>
      </w:r>
      <w:r w:rsidRPr="00B2148A">
        <w:rPr>
          <w:sz w:val="24"/>
        </w:rPr>
        <w:t>los Lineamientos Generales necesarios para la aplicación de dicha regulación.</w:t>
      </w:r>
      <w:r w:rsidRPr="00B2148A" w:rsidR="00B2148A">
        <w:rPr>
          <w:sz w:val="24"/>
        </w:rPr>
        <w:t xml:space="preserve"> </w:t>
      </w:r>
      <w:r w:rsidRPr="00B2148A">
        <w:rPr>
          <w:sz w:val="24"/>
        </w:rPr>
        <w:t xml:space="preserve">Mediante Acuerdo del Superintendente SGF-R-1763-2016 del 30 de mayo del 2016, se emitieron los </w:t>
      </w:r>
      <w:r w:rsidRPr="00B2148A">
        <w:rPr>
          <w:i/>
          <w:iCs/>
          <w:sz w:val="24"/>
        </w:rPr>
        <w:t>Lineamientos Generales del Acuerdo SUGEF 15-16</w:t>
      </w:r>
      <w:r w:rsidRPr="00B2148A">
        <w:rPr>
          <w:sz w:val="24"/>
        </w:rPr>
        <w:t xml:space="preserve"> </w:t>
      </w:r>
      <w:r w:rsidRPr="00B2148A">
        <w:rPr>
          <w:i/>
          <w:iCs/>
          <w:sz w:val="24"/>
        </w:rPr>
        <w:t>Reglamento sobre gestión y evaluación del riesgo de crédito para el Sistema de Banca para el Desarrollo</w:t>
      </w:r>
      <w:r w:rsidRPr="00B2148A">
        <w:rPr>
          <w:sz w:val="24"/>
          <w:lang w:val="es-419"/>
        </w:rPr>
        <w:t>.</w:t>
      </w:r>
    </w:p>
    <w:p w:rsidRPr="00B2148A" w:rsidR="00B2148A" w:rsidP="00B2148A" w:rsidRDefault="00B2148A" w14:paraId="229291EF" w14:textId="4A7EB3D6">
      <w:pPr>
        <w:spacing w:before="240" w:line="240" w:lineRule="auto"/>
        <w:rPr>
          <w:b/>
          <w:sz w:val="24"/>
        </w:rPr>
      </w:pPr>
      <w:r w:rsidRPr="00B2148A">
        <w:rPr>
          <w:b/>
          <w:sz w:val="24"/>
        </w:rPr>
        <w:t xml:space="preserve">Sobre </w:t>
      </w:r>
      <w:r w:rsidR="006676CF">
        <w:rPr>
          <w:b/>
          <w:sz w:val="24"/>
        </w:rPr>
        <w:t xml:space="preserve">la actualización </w:t>
      </w:r>
      <w:r w:rsidR="00C2173C">
        <w:rPr>
          <w:b/>
          <w:sz w:val="24"/>
        </w:rPr>
        <w:t xml:space="preserve">de Lineamientos Generales </w:t>
      </w:r>
      <w:r w:rsidR="006676CF">
        <w:rPr>
          <w:b/>
          <w:sz w:val="24"/>
        </w:rPr>
        <w:t>en torno al uso del término “</w:t>
      </w:r>
      <w:r w:rsidRPr="00B2148A">
        <w:rPr>
          <w:b/>
          <w:sz w:val="24"/>
        </w:rPr>
        <w:t>deudor no generador de divisas</w:t>
      </w:r>
      <w:r w:rsidR="006676CF">
        <w:rPr>
          <w:b/>
          <w:sz w:val="24"/>
        </w:rPr>
        <w:t>”</w:t>
      </w:r>
    </w:p>
    <w:p w:rsidRPr="008668F1" w:rsidR="005D1DE8" w:rsidP="005D1DE8" w:rsidRDefault="005D1DE8" w14:paraId="07E206B1" w14:textId="77C6D4EB">
      <w:pPr>
        <w:numPr>
          <w:ilvl w:val="1"/>
          <w:numId w:val="3"/>
        </w:numPr>
        <w:spacing w:before="240" w:line="240" w:lineRule="auto"/>
        <w:ind w:left="567" w:hanging="567"/>
        <w:rPr>
          <w:sz w:val="24"/>
        </w:rPr>
      </w:pPr>
      <w:r w:rsidRPr="008668F1">
        <w:rPr>
          <w:sz w:val="24"/>
        </w:rPr>
        <w:t xml:space="preserve">El término </w:t>
      </w:r>
      <w:r w:rsidRPr="00B31766">
        <w:rPr>
          <w:i/>
          <w:iCs/>
          <w:sz w:val="24"/>
        </w:rPr>
        <w:t>deudores no generadores</w:t>
      </w:r>
      <w:r w:rsidRPr="008668F1">
        <w:rPr>
          <w:sz w:val="24"/>
        </w:rPr>
        <w:t xml:space="preserve"> </w:t>
      </w:r>
      <w:r w:rsidR="00B31766">
        <w:rPr>
          <w:sz w:val="24"/>
        </w:rPr>
        <w:t xml:space="preserve">estuvo </w:t>
      </w:r>
      <w:r w:rsidRPr="008668F1">
        <w:rPr>
          <w:sz w:val="24"/>
        </w:rPr>
        <w:t>cita</w:t>
      </w:r>
      <w:r w:rsidR="00B31766">
        <w:rPr>
          <w:sz w:val="24"/>
        </w:rPr>
        <w:t>do</w:t>
      </w:r>
      <w:r w:rsidRPr="008668F1">
        <w:rPr>
          <w:sz w:val="24"/>
        </w:rPr>
        <w:t xml:space="preserve"> en el Acuerdo SUGEF 2-10 para referirse a políticas, metodologías y criterios de admisibilidad que las entidades deben implementar en su proceso de gestión de riesgos. </w:t>
      </w:r>
      <w:r w:rsidR="000E69F9">
        <w:rPr>
          <w:sz w:val="24"/>
        </w:rPr>
        <w:t xml:space="preserve">Ese término </w:t>
      </w:r>
      <w:r w:rsidR="00B31766">
        <w:rPr>
          <w:sz w:val="24"/>
        </w:rPr>
        <w:t xml:space="preserve">está incluido </w:t>
      </w:r>
      <w:r w:rsidRPr="008668F1">
        <w:rPr>
          <w:sz w:val="24"/>
        </w:rPr>
        <w:t>en las regulaciones sobre cálculo de estimaciones crediticias, asociado a una estimación crediticia genérica adicional</w:t>
      </w:r>
      <w:r w:rsidR="000E69F9">
        <w:rPr>
          <w:sz w:val="24"/>
        </w:rPr>
        <w:t xml:space="preserve"> y también </w:t>
      </w:r>
      <w:r w:rsidRPr="008668F1">
        <w:rPr>
          <w:sz w:val="24"/>
        </w:rPr>
        <w:t xml:space="preserve">se utiliza en el Acuerdo SUGEF 3-06, referido al ponderador de riesgo para créditos hipotecarios residenciales con deudores no generadores de divisas. </w:t>
      </w:r>
    </w:p>
    <w:p w:rsidR="008668F1" w:rsidP="003B4F2C" w:rsidRDefault="00B2148A" w14:paraId="1EC0B72B" w14:textId="118615F3">
      <w:pPr>
        <w:numPr>
          <w:ilvl w:val="1"/>
          <w:numId w:val="3"/>
        </w:numPr>
        <w:spacing w:before="240" w:line="240" w:lineRule="auto"/>
        <w:ind w:left="567" w:hanging="567"/>
        <w:rPr>
          <w:sz w:val="24"/>
        </w:rPr>
      </w:pPr>
      <w:r w:rsidRPr="005D1DE8">
        <w:rPr>
          <w:sz w:val="24"/>
        </w:rPr>
        <w:t xml:space="preserve">El Consejo Nacional de Supervisión del Sistema Financiero, en el artículo 9 del acta de la sesión 1752-2022, celebrada el 29 de agosto del 2022, dispuso en firme </w:t>
      </w:r>
      <w:r w:rsidRPr="005D1DE8" w:rsidR="005D1DE8">
        <w:rPr>
          <w:sz w:val="24"/>
        </w:rPr>
        <w:t xml:space="preserve">incorporar al </w:t>
      </w:r>
      <w:r w:rsidRPr="005D1DE8" w:rsidR="005D1DE8">
        <w:rPr>
          <w:bCs/>
          <w:iCs/>
          <w:sz w:val="24"/>
        </w:rPr>
        <w:t>Acuerdo SUGEF 2-10,</w:t>
      </w:r>
      <w:r w:rsidRPr="005D1DE8" w:rsidR="005D1DE8">
        <w:rPr>
          <w:sz w:val="24"/>
        </w:rPr>
        <w:t xml:space="preserve"> por tener esta regulación un alcance general, las definiciones de </w:t>
      </w:r>
      <w:r w:rsidRPr="005D1DE8" w:rsidR="005D1DE8">
        <w:rPr>
          <w:i/>
          <w:iCs/>
          <w:sz w:val="24"/>
        </w:rPr>
        <w:t xml:space="preserve">Deudor sin exposición a riesgo cambiario </w:t>
      </w:r>
      <w:r w:rsidRPr="005D1DE8" w:rsidR="005D1DE8">
        <w:rPr>
          <w:sz w:val="24"/>
        </w:rPr>
        <w:t xml:space="preserve">y </w:t>
      </w:r>
      <w:r w:rsidRPr="005D1DE8" w:rsidR="005D1DE8">
        <w:rPr>
          <w:i/>
          <w:iCs/>
          <w:sz w:val="24"/>
        </w:rPr>
        <w:t>Deudor con exposición a riesgo cambiario</w:t>
      </w:r>
      <w:r w:rsidRPr="005D1DE8" w:rsidR="00C6382B">
        <w:rPr>
          <w:sz w:val="24"/>
        </w:rPr>
        <w:t xml:space="preserve">, con el fin de mejorar la objetividad y robustez de los atributos que determinan dicha condición del deudor, y armonizarlas con la definición </w:t>
      </w:r>
      <w:r w:rsidR="00151FD4">
        <w:rPr>
          <w:sz w:val="24"/>
        </w:rPr>
        <w:t>brindada por el Comité de Supervisión</w:t>
      </w:r>
      <w:r w:rsidRPr="005D1DE8" w:rsidR="00C6382B">
        <w:rPr>
          <w:sz w:val="24"/>
        </w:rPr>
        <w:t xml:space="preserve"> </w:t>
      </w:r>
      <w:r w:rsidR="00151FD4">
        <w:rPr>
          <w:sz w:val="24"/>
        </w:rPr>
        <w:t>Bancaria de Basilea</w:t>
      </w:r>
      <w:r w:rsidRPr="005D1DE8" w:rsidR="00C6382B">
        <w:rPr>
          <w:sz w:val="24"/>
        </w:rPr>
        <w:t xml:space="preserve">. </w:t>
      </w:r>
      <w:r w:rsidRPr="005D1DE8" w:rsidR="005D1DE8">
        <w:rPr>
          <w:sz w:val="24"/>
        </w:rPr>
        <w:t>Dado lo anterior, l</w:t>
      </w:r>
      <w:r w:rsidRPr="005D1DE8" w:rsidR="00C6382B">
        <w:rPr>
          <w:sz w:val="24"/>
        </w:rPr>
        <w:t xml:space="preserve">a </w:t>
      </w:r>
      <w:r w:rsidRPr="003B4F2C" w:rsidR="00C6382B">
        <w:rPr>
          <w:sz w:val="24"/>
        </w:rPr>
        <w:t xml:space="preserve">descripción de </w:t>
      </w:r>
      <w:r w:rsidRPr="003B4F2C" w:rsidR="00C6382B">
        <w:rPr>
          <w:i/>
          <w:iCs/>
          <w:sz w:val="24"/>
        </w:rPr>
        <w:t>Deudor Generador</w:t>
      </w:r>
      <w:r w:rsidRPr="003B4F2C" w:rsidR="00C6382B">
        <w:rPr>
          <w:sz w:val="24"/>
        </w:rPr>
        <w:t xml:space="preserve"> se modifica por </w:t>
      </w:r>
      <w:r w:rsidRPr="003B4F2C" w:rsidR="003B4F2C">
        <w:rPr>
          <w:sz w:val="24"/>
        </w:rPr>
        <w:t xml:space="preserve">la de </w:t>
      </w:r>
      <w:r w:rsidRPr="003B4F2C" w:rsidR="00C6382B">
        <w:rPr>
          <w:i/>
          <w:iCs/>
          <w:sz w:val="24"/>
        </w:rPr>
        <w:t>Deudor sin exposición a riesgo cambiario</w:t>
      </w:r>
      <w:r w:rsidRPr="003B4F2C" w:rsidR="00C6382B">
        <w:rPr>
          <w:sz w:val="24"/>
        </w:rPr>
        <w:t xml:space="preserve">, mientras que la de </w:t>
      </w:r>
      <w:r w:rsidRPr="003B4F2C" w:rsidR="00C6382B">
        <w:rPr>
          <w:i/>
          <w:iCs/>
          <w:sz w:val="24"/>
        </w:rPr>
        <w:t>Deudor no Generador</w:t>
      </w:r>
      <w:r w:rsidRPr="003B4F2C" w:rsidR="00C6382B">
        <w:rPr>
          <w:sz w:val="24"/>
        </w:rPr>
        <w:t xml:space="preserve"> </w:t>
      </w:r>
      <w:r w:rsidRPr="003B4F2C" w:rsidR="003B4F2C">
        <w:rPr>
          <w:sz w:val="24"/>
        </w:rPr>
        <w:t xml:space="preserve">se cambia </w:t>
      </w:r>
      <w:r w:rsidRPr="003B4F2C" w:rsidR="00C6382B">
        <w:rPr>
          <w:sz w:val="24"/>
        </w:rPr>
        <w:t xml:space="preserve">por la de </w:t>
      </w:r>
      <w:r w:rsidRPr="003B4F2C" w:rsidR="00C6382B">
        <w:rPr>
          <w:i/>
          <w:iCs/>
          <w:sz w:val="24"/>
        </w:rPr>
        <w:t>Deudor con exposición a riesgo cambiario</w:t>
      </w:r>
      <w:r w:rsidR="003B4F2C">
        <w:rPr>
          <w:sz w:val="24"/>
        </w:rPr>
        <w:t xml:space="preserve">. </w:t>
      </w:r>
      <w:r w:rsidRPr="003B4F2C" w:rsidR="00C6382B">
        <w:rPr>
          <w:sz w:val="24"/>
        </w:rPr>
        <w:t xml:space="preserve"> </w:t>
      </w:r>
      <w:r w:rsidR="003B4F2C">
        <w:rPr>
          <w:sz w:val="24"/>
        </w:rPr>
        <w:t>A</w:t>
      </w:r>
      <w:r w:rsidRPr="003B4F2C" w:rsidR="005D1DE8">
        <w:rPr>
          <w:sz w:val="24"/>
        </w:rPr>
        <w:t>simismo,</w:t>
      </w:r>
      <w:r w:rsidRPr="000D2221" w:rsidR="000D2221">
        <w:t xml:space="preserve"> </w:t>
      </w:r>
      <w:r w:rsidR="000D2221">
        <w:t>e</w:t>
      </w:r>
      <w:r w:rsidRPr="003B4F2C" w:rsidR="000D2221">
        <w:rPr>
          <w:sz w:val="24"/>
        </w:rPr>
        <w:t xml:space="preserve">l término </w:t>
      </w:r>
      <w:r w:rsidRPr="003B4F2C" w:rsidR="000D2221">
        <w:rPr>
          <w:i/>
          <w:iCs/>
          <w:sz w:val="24"/>
        </w:rPr>
        <w:t>deudores no generadores</w:t>
      </w:r>
      <w:r w:rsidRPr="003B4F2C" w:rsidR="000D2221">
        <w:rPr>
          <w:sz w:val="24"/>
        </w:rPr>
        <w:t xml:space="preserve"> </w:t>
      </w:r>
      <w:r w:rsidRPr="003B4F2C" w:rsidR="005D1DE8">
        <w:rPr>
          <w:sz w:val="24"/>
        </w:rPr>
        <w:t>se elimina de los Lineamientos Generales.</w:t>
      </w:r>
    </w:p>
    <w:p w:rsidRPr="003B4F2C" w:rsidR="00151FD4" w:rsidP="003B4F2C" w:rsidRDefault="00151FD4" w14:paraId="6004CFC3" w14:textId="1BA006F2">
      <w:pPr>
        <w:numPr>
          <w:ilvl w:val="1"/>
          <w:numId w:val="3"/>
        </w:numPr>
        <w:spacing w:before="240" w:line="240" w:lineRule="auto"/>
        <w:ind w:left="567" w:hanging="567"/>
        <w:rPr>
          <w:sz w:val="24"/>
        </w:rPr>
      </w:pPr>
      <w:r>
        <w:rPr>
          <w:sz w:val="24"/>
        </w:rPr>
        <w:t xml:space="preserve">Por lo anterior, se requiere realizar un conjunto de ajustes adicionales para armonizar los términos contenidos en el </w:t>
      </w:r>
      <w:r w:rsidRPr="00151FD4">
        <w:rPr>
          <w:i/>
          <w:iCs/>
          <w:sz w:val="24"/>
        </w:rPr>
        <w:t xml:space="preserve">Reglamento sobre Administración </w:t>
      </w:r>
      <w:r w:rsidRPr="00151FD4">
        <w:rPr>
          <w:i/>
          <w:iCs/>
          <w:sz w:val="24"/>
        </w:rPr>
        <w:lastRenderedPageBreak/>
        <w:t>Integral de Riesgos</w:t>
      </w:r>
      <w:r w:rsidRPr="00151FD4">
        <w:rPr>
          <w:sz w:val="24"/>
        </w:rPr>
        <w:t>, Acuerdo SUGEF 2-10</w:t>
      </w:r>
      <w:r>
        <w:rPr>
          <w:sz w:val="24"/>
        </w:rPr>
        <w:t xml:space="preserve">, mencionados el Considerando 7, con los de los acuerdos y lineamientos señados en el </w:t>
      </w:r>
      <w:r w:rsidRPr="00151FD4">
        <w:rPr>
          <w:i/>
          <w:iCs/>
          <w:sz w:val="24"/>
        </w:rPr>
        <w:t>Asunto</w:t>
      </w:r>
      <w:r>
        <w:rPr>
          <w:sz w:val="24"/>
        </w:rPr>
        <w:t xml:space="preserve"> de esta Resolución.</w:t>
      </w:r>
    </w:p>
    <w:p w:rsidRPr="0051405D" w:rsidR="0051405D" w:rsidP="0051405D" w:rsidRDefault="0051405D" w14:paraId="46DD9551" w14:textId="77777777">
      <w:pPr>
        <w:spacing w:before="240" w:line="240" w:lineRule="auto"/>
        <w:rPr>
          <w:sz w:val="24"/>
        </w:rPr>
      </w:pPr>
      <w:r w:rsidRPr="0051405D">
        <w:rPr>
          <w:b/>
          <w:sz w:val="24"/>
        </w:rPr>
        <w:t xml:space="preserve">Dispone: </w:t>
      </w:r>
    </w:p>
    <w:p w:rsidRPr="0051405D" w:rsidR="0051405D" w:rsidP="0051405D" w:rsidRDefault="0051405D" w14:paraId="25D5448A" w14:textId="77777777">
      <w:pPr>
        <w:pStyle w:val="Prrafodelista"/>
        <w:widowControl w:val="0"/>
        <w:numPr>
          <w:ilvl w:val="0"/>
          <w:numId w:val="7"/>
        </w:numPr>
        <w:spacing w:before="240" w:after="0" w:line="240" w:lineRule="auto"/>
        <w:ind w:left="567" w:hanging="567"/>
        <w:contextualSpacing w:val="0"/>
        <w:rPr>
          <w:rFonts w:ascii="Cambria" w:hAnsi="Cambria"/>
          <w:b/>
          <w:bCs/>
          <w:szCs w:val="24"/>
        </w:rPr>
      </w:pPr>
      <w:r w:rsidRPr="0051405D">
        <w:rPr>
          <w:rFonts w:ascii="Cambria" w:hAnsi="Cambria"/>
          <w:b/>
          <w:bCs/>
          <w:szCs w:val="24"/>
        </w:rPr>
        <w:t>En relación con los Lineamientos Generales al TÍTULO III “ADMINISTRACIÓN DEL RIESGO DE CRÉDITO” del “Reglamento sobre Administración Integral de Riesgos”, Acuerdo SUGEF 2-10.</w:t>
      </w:r>
    </w:p>
    <w:p w:rsidR="0051405D" w:rsidP="0051405D" w:rsidRDefault="0051405D" w14:paraId="01B323B3" w14:textId="4795E647">
      <w:pPr>
        <w:pStyle w:val="Prrafodelista"/>
        <w:widowControl w:val="0"/>
        <w:numPr>
          <w:ilvl w:val="0"/>
          <w:numId w:val="6"/>
        </w:numPr>
        <w:spacing w:before="240" w:after="0" w:line="240" w:lineRule="auto"/>
        <w:ind w:left="1134" w:hanging="567"/>
        <w:contextualSpacing w:val="0"/>
        <w:rPr>
          <w:rFonts w:ascii="Cambria" w:hAnsi="Cambria"/>
          <w:szCs w:val="24"/>
        </w:rPr>
      </w:pPr>
      <w:r w:rsidRPr="0051405D">
        <w:rPr>
          <w:rFonts w:ascii="Cambria" w:hAnsi="Cambria"/>
          <w:szCs w:val="24"/>
        </w:rPr>
        <w:t>Del numeral 2. Límites sobre concentración del riesgo de crédito, modificar el párrafo final para que en adelante se lea de la siguiente manera:</w:t>
      </w:r>
    </w:p>
    <w:p w:rsidR="005C7B32" w:rsidP="005C7B32" w:rsidRDefault="0051405D" w14:paraId="19C1A0FE" w14:textId="77777777">
      <w:pPr>
        <w:widowControl w:val="0"/>
        <w:spacing w:before="240" w:line="240" w:lineRule="auto"/>
        <w:ind w:left="1134"/>
        <w:rPr>
          <w:sz w:val="24"/>
        </w:rPr>
      </w:pPr>
      <w:r w:rsidRPr="0051405D">
        <w:rPr>
          <w:sz w:val="24"/>
        </w:rPr>
        <w:t>“[…]</w:t>
      </w:r>
    </w:p>
    <w:p w:rsidRPr="0051405D" w:rsidR="0051405D" w:rsidP="005C7B32" w:rsidRDefault="0051405D" w14:paraId="097E73CF" w14:textId="67E6BBDB">
      <w:pPr>
        <w:widowControl w:val="0"/>
        <w:spacing w:before="240" w:line="240" w:lineRule="auto"/>
        <w:ind w:left="1134"/>
        <w:rPr>
          <w:sz w:val="24"/>
        </w:rPr>
      </w:pPr>
      <w:r w:rsidRPr="005C7B32">
        <w:rPr>
          <w:i/>
          <w:iCs/>
          <w:sz w:val="24"/>
        </w:rPr>
        <w:t>Existen concentraciones poco usuales que dependiendo del modelo de negocio de la entidad puede ser relevante su identificación en el proceso de administración de riesgo de crédito. Tal es el caso de concentraciones por tipo de garantía, y en el caso de garantías reales, la concentración de tasaciones por perito valuador. En otros casos las concentraciones de riesgo pueden estar asociadas a variables o factores comunes que pueden afectar a un conjunto de deudores. Tal es el caso de la cartera de deudores con exposición a riesgo cambiario, los cuales pueden verse impactados de manera generalizada en su capacidad de pago ante variaciones adversas en el tipo de cambio</w:t>
      </w:r>
      <w:r w:rsidRPr="0051405D">
        <w:rPr>
          <w:sz w:val="24"/>
        </w:rPr>
        <w:t>.”</w:t>
      </w:r>
    </w:p>
    <w:p w:rsidRPr="0051405D" w:rsidR="0051405D" w:rsidP="0051405D" w:rsidRDefault="0051405D" w14:paraId="532D84C5" w14:textId="77777777">
      <w:pPr>
        <w:pStyle w:val="Prrafodelista"/>
        <w:widowControl w:val="0"/>
        <w:numPr>
          <w:ilvl w:val="0"/>
          <w:numId w:val="6"/>
        </w:numPr>
        <w:spacing w:before="240" w:after="0" w:line="240" w:lineRule="auto"/>
        <w:ind w:left="1134" w:hanging="567"/>
        <w:contextualSpacing w:val="0"/>
        <w:rPr>
          <w:rFonts w:ascii="Cambria" w:hAnsi="Cambria"/>
          <w:szCs w:val="24"/>
        </w:rPr>
      </w:pPr>
      <w:r w:rsidRPr="0051405D">
        <w:rPr>
          <w:rFonts w:ascii="Cambria" w:hAnsi="Cambria"/>
          <w:szCs w:val="24"/>
        </w:rPr>
        <w:t>Del numeral 5. Criterios de aceptación de riesgo de crédito, modificar el literal g) para que en adelante se lea de la siguiente manera:</w:t>
      </w:r>
    </w:p>
    <w:p w:rsidRPr="0051405D" w:rsidR="0051405D" w:rsidP="0051405D" w:rsidRDefault="0051405D" w14:paraId="144B58BA" w14:textId="77777777">
      <w:pPr>
        <w:widowControl w:val="0"/>
        <w:spacing w:before="240" w:line="240" w:lineRule="auto"/>
        <w:ind w:left="1134"/>
        <w:rPr>
          <w:sz w:val="24"/>
        </w:rPr>
      </w:pPr>
      <w:r w:rsidRPr="0051405D">
        <w:rPr>
          <w:sz w:val="24"/>
        </w:rPr>
        <w:t>“[…]</w:t>
      </w:r>
    </w:p>
    <w:p w:rsidRPr="005C7B32" w:rsidR="0051405D" w:rsidP="0051405D" w:rsidRDefault="0051405D" w14:paraId="2997A546" w14:textId="77777777">
      <w:pPr>
        <w:widowControl w:val="0"/>
        <w:spacing w:before="240" w:line="240" w:lineRule="auto"/>
        <w:ind w:left="1701" w:hanging="567"/>
        <w:rPr>
          <w:i/>
          <w:iCs/>
          <w:sz w:val="24"/>
        </w:rPr>
      </w:pPr>
      <w:r w:rsidRPr="005C7B32">
        <w:rPr>
          <w:i/>
          <w:iCs/>
          <w:sz w:val="24"/>
        </w:rPr>
        <w:t>g)</w:t>
      </w:r>
      <w:r w:rsidRPr="005C7B32">
        <w:rPr>
          <w:i/>
          <w:iCs/>
          <w:sz w:val="24"/>
        </w:rPr>
        <w:tab/>
        <w:t xml:space="preserve">La condición de </w:t>
      </w:r>
      <w:bookmarkStart w:name="_Hlk138686656" w:id="0"/>
      <w:r w:rsidRPr="005C7B32">
        <w:rPr>
          <w:i/>
          <w:iCs/>
          <w:sz w:val="24"/>
        </w:rPr>
        <w:t>deudor con exposición a riesgo cambiario o sin exposición a riesgo cambiario</w:t>
      </w:r>
      <w:bookmarkEnd w:id="0"/>
      <w:r w:rsidRPr="005C7B32">
        <w:rPr>
          <w:i/>
          <w:iCs/>
          <w:sz w:val="24"/>
        </w:rPr>
        <w:t xml:space="preserve">, frente al otorgamiento de créditos en moneda extranjera. </w:t>
      </w:r>
    </w:p>
    <w:p w:rsidRPr="0051405D" w:rsidR="0051405D" w:rsidP="0051405D" w:rsidRDefault="0051405D" w14:paraId="39AC2FC5" w14:textId="77777777">
      <w:pPr>
        <w:widowControl w:val="0"/>
        <w:spacing w:before="240" w:line="240" w:lineRule="auto"/>
        <w:ind w:left="1134"/>
        <w:rPr>
          <w:sz w:val="24"/>
        </w:rPr>
      </w:pPr>
      <w:r w:rsidRPr="0051405D">
        <w:rPr>
          <w:sz w:val="24"/>
        </w:rPr>
        <w:t>[…]”</w:t>
      </w:r>
    </w:p>
    <w:p w:rsidRPr="0051405D" w:rsidR="0051405D" w:rsidP="0051405D" w:rsidRDefault="0051405D" w14:paraId="1DB15B08" w14:textId="77777777">
      <w:pPr>
        <w:pStyle w:val="Prrafodelista"/>
        <w:widowControl w:val="0"/>
        <w:numPr>
          <w:ilvl w:val="0"/>
          <w:numId w:val="6"/>
        </w:numPr>
        <w:spacing w:before="240" w:after="0" w:line="240" w:lineRule="auto"/>
        <w:ind w:left="1134" w:hanging="567"/>
        <w:contextualSpacing w:val="0"/>
        <w:rPr>
          <w:rFonts w:ascii="Cambria" w:hAnsi="Cambria"/>
          <w:szCs w:val="24"/>
        </w:rPr>
      </w:pPr>
      <w:r w:rsidRPr="0051405D">
        <w:rPr>
          <w:rFonts w:ascii="Cambria" w:hAnsi="Cambria"/>
          <w:szCs w:val="24"/>
        </w:rPr>
        <w:t>Del numeral 9. Seguimiento de la cartera de crédito, modificar el literal b) para que en adelante se lea de la siguiente manera:</w:t>
      </w:r>
    </w:p>
    <w:p w:rsidR="0051405D" w:rsidP="0051405D" w:rsidRDefault="0051405D" w14:paraId="37FDF9CE" w14:textId="561D5DF4">
      <w:pPr>
        <w:pStyle w:val="Prrafodelista"/>
        <w:widowControl w:val="0"/>
        <w:spacing w:before="240" w:after="0" w:line="240" w:lineRule="auto"/>
        <w:ind w:left="1701" w:hanging="567"/>
        <w:contextualSpacing w:val="0"/>
        <w:rPr>
          <w:rFonts w:ascii="Cambria" w:hAnsi="Cambria"/>
          <w:szCs w:val="24"/>
        </w:rPr>
      </w:pPr>
      <w:r w:rsidRPr="0051405D">
        <w:rPr>
          <w:rFonts w:ascii="Cambria" w:hAnsi="Cambria"/>
          <w:szCs w:val="24"/>
        </w:rPr>
        <w:t>“[…]</w:t>
      </w:r>
    </w:p>
    <w:p w:rsidRPr="0051405D" w:rsidR="00032348" w:rsidP="0051405D" w:rsidRDefault="00032348" w14:paraId="3FAA45C3" w14:textId="77777777">
      <w:pPr>
        <w:pStyle w:val="Prrafodelista"/>
        <w:widowControl w:val="0"/>
        <w:spacing w:before="240" w:after="0" w:line="240" w:lineRule="auto"/>
        <w:ind w:left="1701" w:hanging="567"/>
        <w:contextualSpacing w:val="0"/>
        <w:rPr>
          <w:rFonts w:ascii="Cambria" w:hAnsi="Cambria"/>
          <w:szCs w:val="24"/>
        </w:rPr>
      </w:pPr>
    </w:p>
    <w:p w:rsidRPr="005C7B32" w:rsidR="0051405D" w:rsidP="0051405D" w:rsidRDefault="0051405D" w14:paraId="25651AA5" w14:textId="77777777">
      <w:pPr>
        <w:widowControl w:val="0"/>
        <w:spacing w:before="240" w:line="240" w:lineRule="auto"/>
        <w:ind w:left="1701" w:hanging="567"/>
        <w:rPr>
          <w:i/>
          <w:iCs/>
          <w:sz w:val="24"/>
        </w:rPr>
      </w:pPr>
      <w:r w:rsidRPr="005C7B32">
        <w:rPr>
          <w:i/>
          <w:iCs/>
          <w:sz w:val="24"/>
        </w:rPr>
        <w:t>b)</w:t>
      </w:r>
      <w:r w:rsidRPr="005C7B32">
        <w:rPr>
          <w:i/>
          <w:iCs/>
          <w:sz w:val="24"/>
        </w:rPr>
        <w:tab/>
        <w:t xml:space="preserve">La identificación de la cartera de crédito colocada en deudores con elevados niveles de endeudamiento, según los parámetros que defina la entidad, así como la identificación de la cartera de crédito colocada en deudores con exposición a riesgo cambiario, según los </w:t>
      </w:r>
      <w:r w:rsidRPr="005C7B32">
        <w:rPr>
          <w:i/>
          <w:iCs/>
          <w:sz w:val="24"/>
        </w:rPr>
        <w:lastRenderedPageBreak/>
        <w:t>criterios establecidos en el marco de regulación aplicable. Ante movimientos adversos en ciertos factores de riesgo, estas carteras de crédito pueden mostrar mayor propensión a deterioro.</w:t>
      </w:r>
    </w:p>
    <w:p w:rsidR="0051405D" w:rsidP="0051405D" w:rsidRDefault="0051405D" w14:paraId="32BBF85F" w14:textId="0F33139C">
      <w:pPr>
        <w:widowControl w:val="0"/>
        <w:spacing w:before="240" w:line="240" w:lineRule="auto"/>
        <w:ind w:left="1701" w:hanging="567"/>
        <w:rPr>
          <w:sz w:val="24"/>
        </w:rPr>
      </w:pPr>
      <w:r w:rsidRPr="0051405D">
        <w:rPr>
          <w:sz w:val="24"/>
        </w:rPr>
        <w:t>[…]”</w:t>
      </w:r>
    </w:p>
    <w:p w:rsidRPr="0051405D" w:rsidR="0051405D" w:rsidP="0051405D" w:rsidRDefault="0051405D" w14:paraId="7034127A" w14:textId="77777777">
      <w:pPr>
        <w:pStyle w:val="Prrafodelista"/>
        <w:widowControl w:val="0"/>
        <w:numPr>
          <w:ilvl w:val="0"/>
          <w:numId w:val="7"/>
        </w:numPr>
        <w:spacing w:before="240" w:after="0" w:line="240" w:lineRule="auto"/>
        <w:ind w:left="567" w:hanging="567"/>
        <w:contextualSpacing w:val="0"/>
        <w:rPr>
          <w:rFonts w:ascii="Cambria" w:hAnsi="Cambria"/>
          <w:b/>
          <w:bCs/>
          <w:szCs w:val="24"/>
        </w:rPr>
      </w:pPr>
      <w:r w:rsidRPr="0051405D">
        <w:rPr>
          <w:rFonts w:ascii="Cambria" w:hAnsi="Cambria"/>
          <w:b/>
          <w:bCs/>
          <w:szCs w:val="24"/>
        </w:rPr>
        <w:t>En relación con los Lineamientos Generales al TÍTULO V “ADMINISTRACIÓN DEL RIESGO DE LIQUIDEZ” del “Reglamento sobre Administración Integral de Riesgos”, Acuerdo SUGEF 2-10.</w:t>
      </w:r>
    </w:p>
    <w:p w:rsidRPr="0051405D" w:rsidR="0051405D" w:rsidP="0051405D" w:rsidRDefault="0051405D" w14:paraId="18B5B47B" w14:textId="77777777">
      <w:pPr>
        <w:pStyle w:val="Prrafodelista"/>
        <w:widowControl w:val="0"/>
        <w:numPr>
          <w:ilvl w:val="0"/>
          <w:numId w:val="8"/>
        </w:numPr>
        <w:spacing w:before="240" w:after="0" w:line="240" w:lineRule="auto"/>
        <w:ind w:left="1134" w:hanging="567"/>
        <w:contextualSpacing w:val="0"/>
        <w:rPr>
          <w:rFonts w:ascii="Cambria" w:hAnsi="Cambria"/>
          <w:szCs w:val="24"/>
        </w:rPr>
      </w:pPr>
      <w:r w:rsidRPr="0051405D">
        <w:rPr>
          <w:rFonts w:ascii="Cambria" w:hAnsi="Cambria"/>
          <w:szCs w:val="24"/>
        </w:rPr>
        <w:t>Del numeral 5. Indicadores de alerta temprana que complementen la administración del riesgo de liquidez, modificar el literal c) para que en adelante se lea de la siguiente manera:</w:t>
      </w:r>
    </w:p>
    <w:p w:rsidRPr="0051405D" w:rsidR="0051405D" w:rsidP="0051405D" w:rsidRDefault="0051405D" w14:paraId="0DD9845D" w14:textId="77777777">
      <w:pPr>
        <w:widowControl w:val="0"/>
        <w:spacing w:before="240" w:line="240" w:lineRule="auto"/>
        <w:ind w:left="1701" w:hanging="567"/>
        <w:rPr>
          <w:sz w:val="24"/>
        </w:rPr>
      </w:pPr>
      <w:r w:rsidRPr="0051405D">
        <w:rPr>
          <w:sz w:val="24"/>
        </w:rPr>
        <w:t>“[…]</w:t>
      </w:r>
    </w:p>
    <w:p w:rsidRPr="005C7B32" w:rsidR="0051405D" w:rsidP="0051405D" w:rsidRDefault="0051405D" w14:paraId="6CB7A7AB" w14:textId="77777777">
      <w:pPr>
        <w:widowControl w:val="0"/>
        <w:spacing w:before="240" w:line="240" w:lineRule="auto"/>
        <w:ind w:left="1701" w:hanging="567"/>
        <w:rPr>
          <w:i/>
          <w:iCs/>
          <w:sz w:val="24"/>
        </w:rPr>
      </w:pPr>
      <w:r w:rsidRPr="005C7B32">
        <w:rPr>
          <w:i/>
          <w:iCs/>
          <w:sz w:val="24"/>
        </w:rPr>
        <w:t>c)</w:t>
      </w:r>
      <w:r w:rsidRPr="005C7B32">
        <w:rPr>
          <w:i/>
          <w:iCs/>
          <w:sz w:val="24"/>
        </w:rPr>
        <w:tab/>
        <w:t>Aumentos de los descalces o brecha de liquidez acumulada negativa, calculada por bandas de tiempo y por tipo de moneda, incluyendo el impacto de la recuperación de créditos para el caso de los deudores con exposición a riesgo cambiario.</w:t>
      </w:r>
    </w:p>
    <w:p w:rsidRPr="0051405D" w:rsidR="0051405D" w:rsidP="0051405D" w:rsidRDefault="0051405D" w14:paraId="5CA83AB0" w14:textId="77777777">
      <w:pPr>
        <w:widowControl w:val="0"/>
        <w:spacing w:before="240" w:line="240" w:lineRule="auto"/>
        <w:ind w:left="1701" w:hanging="567"/>
        <w:rPr>
          <w:sz w:val="24"/>
        </w:rPr>
      </w:pPr>
      <w:r w:rsidRPr="0051405D">
        <w:rPr>
          <w:sz w:val="24"/>
        </w:rPr>
        <w:t>[…]”</w:t>
      </w:r>
    </w:p>
    <w:p w:rsidRPr="0051405D" w:rsidR="0051405D" w:rsidP="0051405D" w:rsidRDefault="0051405D" w14:paraId="3CE05D9C" w14:textId="77777777">
      <w:pPr>
        <w:pStyle w:val="Prrafodelista"/>
        <w:widowControl w:val="0"/>
        <w:numPr>
          <w:ilvl w:val="0"/>
          <w:numId w:val="7"/>
        </w:numPr>
        <w:spacing w:before="240" w:after="0" w:line="240" w:lineRule="auto"/>
        <w:ind w:left="567" w:hanging="567"/>
        <w:contextualSpacing w:val="0"/>
        <w:rPr>
          <w:rFonts w:ascii="Cambria" w:hAnsi="Cambria"/>
          <w:b/>
          <w:bCs/>
          <w:szCs w:val="24"/>
        </w:rPr>
      </w:pPr>
      <w:r w:rsidRPr="0051405D">
        <w:rPr>
          <w:rFonts w:ascii="Cambria" w:hAnsi="Cambria"/>
          <w:b/>
          <w:bCs/>
          <w:szCs w:val="24"/>
        </w:rPr>
        <w:t>Eliminar la sección VII. DEFINICIÓN DE DEUDORES GENERADORES Y NO GENERADORES DE MONEDA EXTRANJERA, de los Lineamientos Generales del Acuerdo SUGEF 15-16 Reglamento sobre gestión y evaluación del riesgo de crédito para el Sistema de Banca para el Desarrollo.</w:t>
      </w:r>
    </w:p>
    <w:p w:rsidRPr="0051405D" w:rsidR="0051405D" w:rsidP="0051405D" w:rsidRDefault="0051405D" w14:paraId="06740430" w14:textId="77777777">
      <w:pPr>
        <w:pStyle w:val="Prrafodelista"/>
        <w:widowControl w:val="0"/>
        <w:numPr>
          <w:ilvl w:val="0"/>
          <w:numId w:val="7"/>
        </w:numPr>
        <w:spacing w:before="240" w:after="0" w:line="240" w:lineRule="auto"/>
        <w:ind w:left="567" w:hanging="567"/>
        <w:contextualSpacing w:val="0"/>
        <w:rPr>
          <w:rFonts w:ascii="Cambria" w:hAnsi="Cambria"/>
          <w:b/>
          <w:bCs/>
          <w:szCs w:val="24"/>
        </w:rPr>
      </w:pPr>
      <w:r w:rsidRPr="0051405D">
        <w:rPr>
          <w:rFonts w:ascii="Cambria" w:hAnsi="Cambria"/>
          <w:b/>
          <w:bCs/>
          <w:szCs w:val="24"/>
        </w:rPr>
        <w:t>En relación con los Lineamientos Generales para la aplicación del Reglamento sobre Cálculo de Estimaciones Crediticias, Acuerdo CONASSIF 14-21.</w:t>
      </w:r>
    </w:p>
    <w:p w:rsidRPr="0051405D" w:rsidR="0051405D" w:rsidP="0051405D" w:rsidRDefault="0051405D" w14:paraId="2BD16919" w14:textId="77777777">
      <w:pPr>
        <w:pStyle w:val="Prrafodelista"/>
        <w:widowControl w:val="0"/>
        <w:numPr>
          <w:ilvl w:val="0"/>
          <w:numId w:val="9"/>
        </w:numPr>
        <w:spacing w:before="240" w:after="0" w:line="240" w:lineRule="auto"/>
        <w:ind w:left="1134" w:hanging="567"/>
        <w:contextualSpacing w:val="0"/>
        <w:rPr>
          <w:rFonts w:ascii="Cambria" w:hAnsi="Cambria"/>
          <w:szCs w:val="24"/>
        </w:rPr>
      </w:pPr>
      <w:r w:rsidRPr="0051405D">
        <w:rPr>
          <w:rFonts w:ascii="Cambria" w:hAnsi="Cambria"/>
          <w:szCs w:val="24"/>
        </w:rPr>
        <w:t>De la sección V. Expediente del cliente, 1. Consideraciones generales, literal e) Resultados del análisis de capacidad de pago del deudor y del conjunto deudor-codeudor, modificar el numeral iv. para que en adelante se lea de la siguiente manera:</w:t>
      </w:r>
    </w:p>
    <w:p w:rsidRPr="0051405D" w:rsidR="0051405D" w:rsidP="0051405D" w:rsidRDefault="0051405D" w14:paraId="1BB9BEBF" w14:textId="1ED66EB1">
      <w:pPr>
        <w:pStyle w:val="Prrafodelista"/>
        <w:widowControl w:val="0"/>
        <w:spacing w:before="240" w:after="0" w:line="240" w:lineRule="auto"/>
        <w:ind w:left="1701" w:hanging="567"/>
        <w:contextualSpacing w:val="0"/>
        <w:rPr>
          <w:rFonts w:ascii="Cambria" w:hAnsi="Cambria"/>
          <w:szCs w:val="24"/>
        </w:rPr>
      </w:pPr>
      <w:r w:rsidRPr="0051405D">
        <w:rPr>
          <w:rFonts w:ascii="Cambria" w:hAnsi="Cambria"/>
          <w:szCs w:val="24"/>
        </w:rPr>
        <w:t>“</w:t>
      </w:r>
      <w:r w:rsidRPr="003C2FE6">
        <w:rPr>
          <w:rFonts w:ascii="Cambria" w:hAnsi="Cambria"/>
          <w:i/>
          <w:iCs/>
          <w:szCs w:val="24"/>
        </w:rPr>
        <w:t>iv.</w:t>
      </w:r>
      <w:r w:rsidRPr="003C2FE6">
        <w:rPr>
          <w:rFonts w:ascii="Cambria" w:hAnsi="Cambria"/>
          <w:i/>
          <w:iCs/>
          <w:szCs w:val="24"/>
        </w:rPr>
        <w:tab/>
        <w:t>Indicación de si el deudor es “deudor con exposición a riesgo cambiario” o “deudor sin exposición a riesgo cambiario”, según las definiciones establecidas en el Artículo 3. Definiciones del Reglamento sobre Administración Integral de Riesgos, Acuerdo Sugef 2-10</w:t>
      </w:r>
      <w:r w:rsidRPr="0051405D">
        <w:rPr>
          <w:rFonts w:ascii="Cambria" w:hAnsi="Cambria"/>
          <w:szCs w:val="24"/>
        </w:rPr>
        <w:t>.”</w:t>
      </w:r>
    </w:p>
    <w:p w:rsidRPr="00032348" w:rsidR="006A2BE4" w:rsidP="0051405D" w:rsidRDefault="0051405D" w14:paraId="011FB018" w14:textId="25AE7145">
      <w:pPr>
        <w:pStyle w:val="Prrafodelista"/>
        <w:widowControl w:val="0"/>
        <w:numPr>
          <w:ilvl w:val="0"/>
          <w:numId w:val="9"/>
        </w:numPr>
        <w:spacing w:before="240" w:after="0" w:line="240" w:lineRule="auto"/>
        <w:ind w:left="1134" w:hanging="567"/>
        <w:contextualSpacing w:val="0"/>
        <w:rPr>
          <w:rFonts w:ascii="Cambria" w:hAnsi="Cambria"/>
          <w:szCs w:val="24"/>
        </w:rPr>
      </w:pPr>
      <w:r w:rsidRPr="0051405D">
        <w:rPr>
          <w:rFonts w:ascii="Cambria" w:hAnsi="Cambria"/>
          <w:szCs w:val="24"/>
        </w:rPr>
        <w:t>Eliminar la sección VI. DEFINICIÓN DE DEUDORES GENERADORES Y NO GENERADORES DE MONEDA EXTRANJERA.”</w:t>
      </w:r>
    </w:p>
    <w:p w:rsidRPr="0051405D" w:rsidR="0051405D" w:rsidP="0051405D" w:rsidRDefault="0051405D" w14:paraId="47FC73F8" w14:textId="31255AF8">
      <w:pPr>
        <w:spacing w:before="240" w:line="240" w:lineRule="auto"/>
        <w:rPr>
          <w:sz w:val="24"/>
        </w:rPr>
      </w:pPr>
      <w:r w:rsidRPr="0051405D">
        <w:rPr>
          <w:i/>
          <w:iCs/>
          <w:sz w:val="24"/>
        </w:rPr>
        <w:t>Rige a partir de su comunicación.</w:t>
      </w:r>
      <w:r w:rsidRPr="0051405D">
        <w:rPr>
          <w:sz w:val="24"/>
        </w:rPr>
        <w:t>”</w:t>
      </w:r>
    </w:p>
    <w:p w:rsidRPr="0051405D" w:rsidR="0051405D" w:rsidP="0051405D" w:rsidRDefault="0051405D" w14:paraId="3AF9C371" w14:textId="77777777">
      <w:pPr>
        <w:pStyle w:val="Texto"/>
        <w:spacing w:before="240" w:after="0" w:line="240" w:lineRule="auto"/>
        <w:rPr>
          <w:sz w:val="24"/>
        </w:rPr>
      </w:pPr>
      <w:r w:rsidRPr="0051405D">
        <w:rPr>
          <w:sz w:val="24"/>
        </w:rPr>
        <w:lastRenderedPageBreak/>
        <w:t>Atentamente,</w:t>
      </w:r>
    </w:p>
    <w:p w:rsidRPr="0051405D" w:rsidR="0051405D" w:rsidP="0051405D" w:rsidRDefault="0051405D" w14:paraId="1ACB916E" w14:textId="77777777">
      <w:pPr>
        <w:pStyle w:val="Texto"/>
        <w:spacing w:before="240" w:after="0" w:line="240" w:lineRule="auto"/>
        <w:rPr>
          <w:sz w:val="24"/>
        </w:rPr>
      </w:pPr>
      <w:r w:rsidRPr="0051405D">
        <w:rPr>
          <w:noProof/>
          <w:sz w:val="24"/>
          <w:lang w:val="es-CR" w:eastAsia="es-CR"/>
        </w:rPr>
        <w:drawing>
          <wp:anchor distT="0" distB="0" distL="114300" distR="114300" simplePos="0" relativeHeight="251661312" behindDoc="1" locked="0" layoutInCell="1" allowOverlap="1" wp14:editId="3D24359F" wp14:anchorId="6D7503EB">
            <wp:simplePos x="0" y="0"/>
            <wp:positionH relativeFrom="column">
              <wp:posOffset>-163830</wp:posOffset>
            </wp:positionH>
            <wp:positionV relativeFrom="paragraph">
              <wp:posOffset>111684</wp:posOffset>
            </wp:positionV>
            <wp:extent cx="2519680" cy="3905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8454C7" w:rsidP="0051405D" w:rsidRDefault="008454C7" w14:paraId="698DECC0" w14:textId="77777777">
      <w:pPr>
        <w:spacing w:before="240" w:line="240" w:lineRule="auto"/>
        <w:contextualSpacing/>
        <w:jc w:val="left"/>
        <w:rPr>
          <w:sz w:val="24"/>
        </w:rPr>
      </w:pPr>
      <w:r>
        <w:rPr>
          <w:sz w:val="24"/>
        </w:rPr>
        <w:t>Rocío Aguilar Montoya</w:t>
      </w:r>
    </w:p>
    <w:p w:rsidRPr="0051405D" w:rsidR="0051405D" w:rsidP="0051405D" w:rsidRDefault="0051405D" w14:paraId="0E96F877" w14:textId="2BB5691B">
      <w:pPr>
        <w:spacing w:before="240" w:line="240" w:lineRule="auto"/>
        <w:contextualSpacing/>
        <w:jc w:val="left"/>
        <w:rPr>
          <w:sz w:val="24"/>
        </w:rPr>
      </w:pPr>
      <w:r w:rsidRPr="0051405D">
        <w:rPr>
          <w:b/>
          <w:bCs/>
          <w:sz w:val="24"/>
        </w:rPr>
        <w:t>Superintendente General</w:t>
      </w:r>
    </w:p>
    <w:p w:rsidR="000C54AF" w:rsidP="0051405D" w:rsidRDefault="000C54AF" w14:paraId="314D8708" w14:textId="77777777">
      <w:pPr>
        <w:pStyle w:val="Negrita"/>
        <w:spacing w:before="240" w:line="240" w:lineRule="auto"/>
        <w:contextualSpacing/>
        <w:rPr>
          <w:b w:val="0"/>
          <w:bCs/>
          <w:szCs w:val="22"/>
        </w:rPr>
      </w:pPr>
    </w:p>
    <w:p w:rsidRPr="005544F4" w:rsidR="0051405D" w:rsidP="0051405D" w:rsidRDefault="0051405D" w14:paraId="50C695FE" w14:textId="717213D7">
      <w:pPr>
        <w:pStyle w:val="Negrita"/>
        <w:spacing w:before="240" w:line="240" w:lineRule="auto"/>
        <w:rPr>
          <w:szCs w:val="22"/>
        </w:rPr>
      </w:pPr>
      <w:r w:rsidRPr="005544F4">
        <w:rPr>
          <w:szCs w:val="22"/>
        </w:rPr>
        <w:t>JSC/GAA/</w:t>
      </w:r>
      <w:r w:rsidRPr="005544F4" w:rsidR="00032348">
        <w:rPr>
          <w:szCs w:val="22"/>
        </w:rPr>
        <w:t>MFC/</w:t>
      </w:r>
      <w:r w:rsidRPr="005544F4">
        <w:rPr>
          <w:szCs w:val="22"/>
        </w:rPr>
        <w:t>XMR/gvl*</w:t>
      </w:r>
    </w:p>
    <w:p w:rsidRPr="0051405D" w:rsidR="00181ABF" w:rsidP="00181ABF" w:rsidRDefault="00181ABF" w14:paraId="4BFCC029" w14:textId="77777777">
      <w:pPr>
        <w:spacing w:line="240" w:lineRule="auto"/>
        <w:rPr>
          <w:sz w:val="24"/>
        </w:rPr>
      </w:pPr>
    </w:p>
    <w:sectPr w:rsidRPr="0051405D" w:rsidR="00181ABF">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BB68" w14:textId="77777777" w:rsidR="008E1CF9" w:rsidRDefault="008E1CF9" w:rsidP="00181ABF">
      <w:pPr>
        <w:spacing w:line="240" w:lineRule="auto"/>
      </w:pPr>
      <w:r>
        <w:separator/>
      </w:r>
    </w:p>
  </w:endnote>
  <w:endnote w:type="continuationSeparator" w:id="0">
    <w:p w14:paraId="1442A817" w14:textId="77777777" w:rsidR="008E1CF9" w:rsidRDefault="008E1CF9"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553A3A0A" w14:textId="77777777">
      <w:tc>
        <w:tcPr>
          <w:tcW w:w="7356" w:type="dxa"/>
        </w:tcPr>
        <w:p w:rsidR="00825A38" w:rsidP="00825A38" w:rsidRDefault="00825A38" w14:paraId="3212B6FD"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24493F7A" wp14:anchorId="6FF1A4B9">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825A38" w14:paraId="1274EAD5" w14:textId="77777777">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FF1A4B9">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825A38" w14:paraId="1274EAD5" w14:textId="77777777">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825A38" w14:paraId="1302D730" w14:textId="77777777">
          <w:pPr>
            <w:pStyle w:val="Piedepgina"/>
            <w:rPr>
              <w:b/>
              <w:color w:val="7F7F7F" w:themeColor="text1" w:themeTint="80"/>
              <w:sz w:val="16"/>
              <w:szCs w:val="16"/>
            </w:rPr>
          </w:pPr>
        </w:p>
      </w:tc>
      <w:tc>
        <w:tcPr>
          <w:tcW w:w="1472" w:type="dxa"/>
        </w:tcPr>
        <w:p w:rsidRPr="009349F3" w:rsidR="00825A38" w:rsidP="00181ABF" w:rsidRDefault="00825A38" w14:paraId="6F0606A7"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825A38" w14:paraId="35D177C3" w14:textId="77777777">
    <w:pPr>
      <w:pStyle w:val="Piedepgina"/>
    </w:pPr>
    <w:r>
      <w:rPr>
        <w:noProof/>
      </w:rPr>
      <w:drawing>
        <wp:anchor distT="0" distB="0" distL="114300" distR="114300" simplePos="0" relativeHeight="251659264" behindDoc="1" locked="0" layoutInCell="1" allowOverlap="1" wp14:editId="20B9C986" wp14:anchorId="2914DEF3">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3C9C" w14:textId="77777777" w:rsidR="008E1CF9" w:rsidRDefault="008E1CF9" w:rsidP="00181ABF">
      <w:pPr>
        <w:spacing w:line="240" w:lineRule="auto"/>
      </w:pPr>
      <w:r>
        <w:separator/>
      </w:r>
    </w:p>
  </w:footnote>
  <w:footnote w:type="continuationSeparator" w:id="0">
    <w:p w14:paraId="0DCDDB42" w14:textId="77777777" w:rsidR="008E1CF9" w:rsidRDefault="008E1CF9"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70F5BF15" w14:textId="77777777">
    <w:pPr>
      <w:pStyle w:val="Encabezado"/>
    </w:pPr>
  </w:p>
  <w:p w:rsidR="00181ABF" w:rsidP="00825A38" w:rsidRDefault="00181ABF" w14:paraId="1EB06D56" w14:textId="5BB8294F">
    <w:pPr>
      <w:pStyle w:val="Encabezado"/>
      <w:jc w:val="left"/>
    </w:pPr>
    <w:r>
      <w:rPr>
        <w:noProof/>
        <w:lang w:val="es-CR" w:eastAsia="es-CR"/>
      </w:rPr>
      <w:drawing>
        <wp:inline distT="0" distB="0" distL="0" distR="0" wp14:anchorId="17D31CB9" wp14:editId="1901AA5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p w:rsidR="0051405D" w:rsidP="00825A38" w:rsidRDefault="0051405D" w14:paraId="4315917E" w14:textId="2D7B67CA">
    <w:pPr>
      <w:pStyle w:val="Encabezado"/>
      <w:jc w:val="left"/>
    </w:pPr>
  </w:p>
  <w:p w:rsidR="0051405D" w:rsidP="00825A38" w:rsidRDefault="0051405D" w14:paraId="72498220"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63F46A9"/>
    <w:multiLevelType w:val="hybridMultilevel"/>
    <w:tmpl w:val="8B26B0B2"/>
    <w:lvl w:ilvl="0" w:tplc="FFFFFFFF">
      <w:start w:val="1"/>
      <w:numFmt w:val="decimal"/>
      <w:lvlText w:val="%1)"/>
      <w:lvlJc w:val="left"/>
      <w:pPr>
        <w:ind w:left="854" w:hanging="360"/>
      </w:pPr>
      <w:rPr>
        <w:rFonts w:hint="default"/>
      </w:rPr>
    </w:lvl>
    <w:lvl w:ilvl="1" w:tplc="FFFFFFFF" w:tentative="1">
      <w:start w:val="1"/>
      <w:numFmt w:val="lowerLetter"/>
      <w:lvlText w:val="%2."/>
      <w:lvlJc w:val="left"/>
      <w:pPr>
        <w:ind w:left="1574" w:hanging="360"/>
      </w:pPr>
    </w:lvl>
    <w:lvl w:ilvl="2" w:tplc="FFFFFFFF" w:tentative="1">
      <w:start w:val="1"/>
      <w:numFmt w:val="lowerRoman"/>
      <w:lvlText w:val="%3."/>
      <w:lvlJc w:val="right"/>
      <w:pPr>
        <w:ind w:left="2294" w:hanging="180"/>
      </w:pPr>
    </w:lvl>
    <w:lvl w:ilvl="3" w:tplc="FFFFFFFF" w:tentative="1">
      <w:start w:val="1"/>
      <w:numFmt w:val="decimal"/>
      <w:lvlText w:val="%4."/>
      <w:lvlJc w:val="left"/>
      <w:pPr>
        <w:ind w:left="3014" w:hanging="360"/>
      </w:pPr>
    </w:lvl>
    <w:lvl w:ilvl="4" w:tplc="FFFFFFFF" w:tentative="1">
      <w:start w:val="1"/>
      <w:numFmt w:val="lowerLetter"/>
      <w:lvlText w:val="%5."/>
      <w:lvlJc w:val="left"/>
      <w:pPr>
        <w:ind w:left="3734" w:hanging="360"/>
      </w:pPr>
    </w:lvl>
    <w:lvl w:ilvl="5" w:tplc="FFFFFFFF" w:tentative="1">
      <w:start w:val="1"/>
      <w:numFmt w:val="lowerRoman"/>
      <w:lvlText w:val="%6."/>
      <w:lvlJc w:val="right"/>
      <w:pPr>
        <w:ind w:left="4454" w:hanging="180"/>
      </w:pPr>
    </w:lvl>
    <w:lvl w:ilvl="6" w:tplc="FFFFFFFF" w:tentative="1">
      <w:start w:val="1"/>
      <w:numFmt w:val="decimal"/>
      <w:lvlText w:val="%7."/>
      <w:lvlJc w:val="left"/>
      <w:pPr>
        <w:ind w:left="5174" w:hanging="360"/>
      </w:pPr>
    </w:lvl>
    <w:lvl w:ilvl="7" w:tplc="FFFFFFFF" w:tentative="1">
      <w:start w:val="1"/>
      <w:numFmt w:val="lowerLetter"/>
      <w:lvlText w:val="%8."/>
      <w:lvlJc w:val="left"/>
      <w:pPr>
        <w:ind w:left="5894" w:hanging="360"/>
      </w:pPr>
    </w:lvl>
    <w:lvl w:ilvl="8" w:tplc="FFFFFFFF" w:tentative="1">
      <w:start w:val="1"/>
      <w:numFmt w:val="lowerRoman"/>
      <w:lvlText w:val="%9."/>
      <w:lvlJc w:val="right"/>
      <w:pPr>
        <w:ind w:left="6614" w:hanging="180"/>
      </w:pPr>
    </w:lvl>
  </w:abstractNum>
  <w:abstractNum w:abstractNumId="2" w15:restartNumberingAfterBreak="0">
    <w:nsid w:val="44FC2898"/>
    <w:multiLevelType w:val="hybridMultilevel"/>
    <w:tmpl w:val="FB6E2F18"/>
    <w:lvl w:ilvl="0" w:tplc="F064E27E">
      <w:start w:val="1"/>
      <w:numFmt w:val="upperRoman"/>
      <w:lvlText w:val="%1."/>
      <w:lvlJc w:val="right"/>
      <w:pPr>
        <w:ind w:left="720" w:hanging="360"/>
      </w:pPr>
      <w:rPr>
        <w:rFonts w:hint="default"/>
        <w:b/>
        <w:bCs w:val="0"/>
        <w:i w:val="0"/>
        <w:strike w:val="0"/>
        <w:dstrike w:val="0"/>
        <w:color w:val="auto"/>
        <w:sz w:val="24"/>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55F67E46"/>
    <w:multiLevelType w:val="hybridMultilevel"/>
    <w:tmpl w:val="8B26B0B2"/>
    <w:lvl w:ilvl="0" w:tplc="FFFFFFFF">
      <w:start w:val="1"/>
      <w:numFmt w:val="decimal"/>
      <w:lvlText w:val="%1)"/>
      <w:lvlJc w:val="left"/>
      <w:pPr>
        <w:ind w:left="854" w:hanging="360"/>
      </w:pPr>
      <w:rPr>
        <w:rFonts w:hint="default"/>
      </w:rPr>
    </w:lvl>
    <w:lvl w:ilvl="1" w:tplc="FFFFFFFF" w:tentative="1">
      <w:start w:val="1"/>
      <w:numFmt w:val="lowerLetter"/>
      <w:lvlText w:val="%2."/>
      <w:lvlJc w:val="left"/>
      <w:pPr>
        <w:ind w:left="1574" w:hanging="360"/>
      </w:pPr>
    </w:lvl>
    <w:lvl w:ilvl="2" w:tplc="FFFFFFFF" w:tentative="1">
      <w:start w:val="1"/>
      <w:numFmt w:val="lowerRoman"/>
      <w:lvlText w:val="%3."/>
      <w:lvlJc w:val="right"/>
      <w:pPr>
        <w:ind w:left="2294" w:hanging="180"/>
      </w:pPr>
    </w:lvl>
    <w:lvl w:ilvl="3" w:tplc="FFFFFFFF" w:tentative="1">
      <w:start w:val="1"/>
      <w:numFmt w:val="decimal"/>
      <w:lvlText w:val="%4."/>
      <w:lvlJc w:val="left"/>
      <w:pPr>
        <w:ind w:left="3014" w:hanging="360"/>
      </w:pPr>
    </w:lvl>
    <w:lvl w:ilvl="4" w:tplc="FFFFFFFF" w:tentative="1">
      <w:start w:val="1"/>
      <w:numFmt w:val="lowerLetter"/>
      <w:lvlText w:val="%5."/>
      <w:lvlJc w:val="left"/>
      <w:pPr>
        <w:ind w:left="3734" w:hanging="360"/>
      </w:pPr>
    </w:lvl>
    <w:lvl w:ilvl="5" w:tplc="FFFFFFFF" w:tentative="1">
      <w:start w:val="1"/>
      <w:numFmt w:val="lowerRoman"/>
      <w:lvlText w:val="%6."/>
      <w:lvlJc w:val="right"/>
      <w:pPr>
        <w:ind w:left="4454" w:hanging="180"/>
      </w:pPr>
    </w:lvl>
    <w:lvl w:ilvl="6" w:tplc="FFFFFFFF" w:tentative="1">
      <w:start w:val="1"/>
      <w:numFmt w:val="decimal"/>
      <w:lvlText w:val="%7."/>
      <w:lvlJc w:val="left"/>
      <w:pPr>
        <w:ind w:left="5174" w:hanging="360"/>
      </w:pPr>
    </w:lvl>
    <w:lvl w:ilvl="7" w:tplc="FFFFFFFF" w:tentative="1">
      <w:start w:val="1"/>
      <w:numFmt w:val="lowerLetter"/>
      <w:lvlText w:val="%8."/>
      <w:lvlJc w:val="left"/>
      <w:pPr>
        <w:ind w:left="5894" w:hanging="360"/>
      </w:pPr>
    </w:lvl>
    <w:lvl w:ilvl="8" w:tplc="FFFFFFFF" w:tentative="1">
      <w:start w:val="1"/>
      <w:numFmt w:val="lowerRoman"/>
      <w:lvlText w:val="%9."/>
      <w:lvlJc w:val="right"/>
      <w:pPr>
        <w:ind w:left="6614" w:hanging="180"/>
      </w:pPr>
    </w:lvl>
  </w:abstractNum>
  <w:abstractNum w:abstractNumId="5"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6CEE35DA"/>
    <w:multiLevelType w:val="hybridMultilevel"/>
    <w:tmpl w:val="8B26B0B2"/>
    <w:lvl w:ilvl="0" w:tplc="140A0011">
      <w:start w:val="1"/>
      <w:numFmt w:val="decimal"/>
      <w:lvlText w:val="%1)"/>
      <w:lvlJc w:val="left"/>
      <w:pPr>
        <w:ind w:left="854" w:hanging="360"/>
      </w:pPr>
      <w:rPr>
        <w:rFonts w:hint="default"/>
      </w:rPr>
    </w:lvl>
    <w:lvl w:ilvl="1" w:tplc="140A0019" w:tentative="1">
      <w:start w:val="1"/>
      <w:numFmt w:val="lowerLetter"/>
      <w:lvlText w:val="%2."/>
      <w:lvlJc w:val="left"/>
      <w:pPr>
        <w:ind w:left="1574" w:hanging="360"/>
      </w:pPr>
    </w:lvl>
    <w:lvl w:ilvl="2" w:tplc="140A001B" w:tentative="1">
      <w:start w:val="1"/>
      <w:numFmt w:val="lowerRoman"/>
      <w:lvlText w:val="%3."/>
      <w:lvlJc w:val="right"/>
      <w:pPr>
        <w:ind w:left="2294" w:hanging="180"/>
      </w:pPr>
    </w:lvl>
    <w:lvl w:ilvl="3" w:tplc="140A000F" w:tentative="1">
      <w:start w:val="1"/>
      <w:numFmt w:val="decimal"/>
      <w:lvlText w:val="%4."/>
      <w:lvlJc w:val="left"/>
      <w:pPr>
        <w:ind w:left="3014" w:hanging="360"/>
      </w:pPr>
    </w:lvl>
    <w:lvl w:ilvl="4" w:tplc="140A0019" w:tentative="1">
      <w:start w:val="1"/>
      <w:numFmt w:val="lowerLetter"/>
      <w:lvlText w:val="%5."/>
      <w:lvlJc w:val="left"/>
      <w:pPr>
        <w:ind w:left="3734" w:hanging="360"/>
      </w:pPr>
    </w:lvl>
    <w:lvl w:ilvl="5" w:tplc="140A001B" w:tentative="1">
      <w:start w:val="1"/>
      <w:numFmt w:val="lowerRoman"/>
      <w:lvlText w:val="%6."/>
      <w:lvlJc w:val="right"/>
      <w:pPr>
        <w:ind w:left="4454" w:hanging="180"/>
      </w:pPr>
    </w:lvl>
    <w:lvl w:ilvl="6" w:tplc="140A000F" w:tentative="1">
      <w:start w:val="1"/>
      <w:numFmt w:val="decimal"/>
      <w:lvlText w:val="%7."/>
      <w:lvlJc w:val="left"/>
      <w:pPr>
        <w:ind w:left="5174" w:hanging="360"/>
      </w:pPr>
    </w:lvl>
    <w:lvl w:ilvl="7" w:tplc="140A0019" w:tentative="1">
      <w:start w:val="1"/>
      <w:numFmt w:val="lowerLetter"/>
      <w:lvlText w:val="%8."/>
      <w:lvlJc w:val="left"/>
      <w:pPr>
        <w:ind w:left="5894" w:hanging="360"/>
      </w:pPr>
    </w:lvl>
    <w:lvl w:ilvl="8" w:tplc="140A001B" w:tentative="1">
      <w:start w:val="1"/>
      <w:numFmt w:val="lowerRoman"/>
      <w:lvlText w:val="%9."/>
      <w:lvlJc w:val="right"/>
      <w:pPr>
        <w:ind w:left="6614" w:hanging="180"/>
      </w:pPr>
    </w:lvl>
  </w:abstractNum>
  <w:abstractNum w:abstractNumId="7" w15:restartNumberingAfterBreak="0">
    <w:nsid w:val="72630B58"/>
    <w:multiLevelType w:val="hybridMultilevel"/>
    <w:tmpl w:val="ADE83F36"/>
    <w:lvl w:ilvl="0" w:tplc="4EE4D372">
      <w:start w:val="1"/>
      <w:numFmt w:val="decimal"/>
      <w:lvlText w:val="%1)"/>
      <w:lvlJc w:val="left"/>
      <w:pPr>
        <w:ind w:left="854" w:hanging="360"/>
      </w:pPr>
      <w:rPr>
        <w:rFonts w:hint="default"/>
        <w:b/>
        <w:bCs/>
      </w:rPr>
    </w:lvl>
    <w:lvl w:ilvl="1" w:tplc="140A0019" w:tentative="1">
      <w:start w:val="1"/>
      <w:numFmt w:val="lowerLetter"/>
      <w:lvlText w:val="%2."/>
      <w:lvlJc w:val="left"/>
      <w:pPr>
        <w:ind w:left="1574" w:hanging="360"/>
      </w:pPr>
    </w:lvl>
    <w:lvl w:ilvl="2" w:tplc="140A001B" w:tentative="1">
      <w:start w:val="1"/>
      <w:numFmt w:val="lowerRoman"/>
      <w:lvlText w:val="%3."/>
      <w:lvlJc w:val="right"/>
      <w:pPr>
        <w:ind w:left="2294" w:hanging="180"/>
      </w:pPr>
    </w:lvl>
    <w:lvl w:ilvl="3" w:tplc="140A000F" w:tentative="1">
      <w:start w:val="1"/>
      <w:numFmt w:val="decimal"/>
      <w:lvlText w:val="%4."/>
      <w:lvlJc w:val="left"/>
      <w:pPr>
        <w:ind w:left="3014" w:hanging="360"/>
      </w:pPr>
    </w:lvl>
    <w:lvl w:ilvl="4" w:tplc="140A0019" w:tentative="1">
      <w:start w:val="1"/>
      <w:numFmt w:val="lowerLetter"/>
      <w:lvlText w:val="%5."/>
      <w:lvlJc w:val="left"/>
      <w:pPr>
        <w:ind w:left="3734" w:hanging="360"/>
      </w:pPr>
    </w:lvl>
    <w:lvl w:ilvl="5" w:tplc="140A001B" w:tentative="1">
      <w:start w:val="1"/>
      <w:numFmt w:val="lowerRoman"/>
      <w:lvlText w:val="%6."/>
      <w:lvlJc w:val="right"/>
      <w:pPr>
        <w:ind w:left="4454" w:hanging="180"/>
      </w:pPr>
    </w:lvl>
    <w:lvl w:ilvl="6" w:tplc="140A000F" w:tentative="1">
      <w:start w:val="1"/>
      <w:numFmt w:val="decimal"/>
      <w:lvlText w:val="%7."/>
      <w:lvlJc w:val="left"/>
      <w:pPr>
        <w:ind w:left="5174" w:hanging="360"/>
      </w:pPr>
    </w:lvl>
    <w:lvl w:ilvl="7" w:tplc="140A0019" w:tentative="1">
      <w:start w:val="1"/>
      <w:numFmt w:val="lowerLetter"/>
      <w:lvlText w:val="%8."/>
      <w:lvlJc w:val="left"/>
      <w:pPr>
        <w:ind w:left="5894" w:hanging="360"/>
      </w:pPr>
    </w:lvl>
    <w:lvl w:ilvl="8" w:tplc="140A001B" w:tentative="1">
      <w:start w:val="1"/>
      <w:numFmt w:val="lowerRoman"/>
      <w:lvlText w:val="%9."/>
      <w:lvlJc w:val="right"/>
      <w:pPr>
        <w:ind w:left="6614" w:hanging="180"/>
      </w:pPr>
    </w:lvl>
  </w:abstractNum>
  <w:abstractNum w:abstractNumId="8"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2038505991">
    <w:abstractNumId w:val="0"/>
  </w:num>
  <w:num w:numId="2" w16cid:durableId="649217813">
    <w:abstractNumId w:val="3"/>
  </w:num>
  <w:num w:numId="3" w16cid:durableId="2129272557">
    <w:abstractNumId w:val="5"/>
  </w:num>
  <w:num w:numId="4" w16cid:durableId="49807670">
    <w:abstractNumId w:val="8"/>
  </w:num>
  <w:num w:numId="5" w16cid:durableId="2014800377">
    <w:abstractNumId w:val="7"/>
  </w:num>
  <w:num w:numId="6" w16cid:durableId="1987777332">
    <w:abstractNumId w:val="6"/>
  </w:num>
  <w:num w:numId="7" w16cid:durableId="1786071960">
    <w:abstractNumId w:val="2"/>
  </w:num>
  <w:num w:numId="8" w16cid:durableId="1449398738">
    <w:abstractNumId w:val="4"/>
  </w:num>
  <w:num w:numId="9" w16cid:durableId="697895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F9"/>
    <w:rsid w:val="000202E3"/>
    <w:rsid w:val="00032348"/>
    <w:rsid w:val="000C54AF"/>
    <w:rsid w:val="000D2221"/>
    <w:rsid w:val="000E69F9"/>
    <w:rsid w:val="000F7576"/>
    <w:rsid w:val="00151FD4"/>
    <w:rsid w:val="00181ABF"/>
    <w:rsid w:val="00226DDC"/>
    <w:rsid w:val="002344BB"/>
    <w:rsid w:val="003172BE"/>
    <w:rsid w:val="003B4F2C"/>
    <w:rsid w:val="003C2FE6"/>
    <w:rsid w:val="003E2B6F"/>
    <w:rsid w:val="00410715"/>
    <w:rsid w:val="0046105A"/>
    <w:rsid w:val="004B0F94"/>
    <w:rsid w:val="004F427A"/>
    <w:rsid w:val="00510A61"/>
    <w:rsid w:val="0051405D"/>
    <w:rsid w:val="005544F4"/>
    <w:rsid w:val="005C7B32"/>
    <w:rsid w:val="005D1DE8"/>
    <w:rsid w:val="00657A60"/>
    <w:rsid w:val="006676CF"/>
    <w:rsid w:val="006A2BE4"/>
    <w:rsid w:val="00720FAA"/>
    <w:rsid w:val="00733EEA"/>
    <w:rsid w:val="007435AF"/>
    <w:rsid w:val="00825A38"/>
    <w:rsid w:val="008454C7"/>
    <w:rsid w:val="008668F1"/>
    <w:rsid w:val="008C7F0D"/>
    <w:rsid w:val="008E1CF9"/>
    <w:rsid w:val="00937EF0"/>
    <w:rsid w:val="00A4025F"/>
    <w:rsid w:val="00B20981"/>
    <w:rsid w:val="00B2148A"/>
    <w:rsid w:val="00B31766"/>
    <w:rsid w:val="00C2173C"/>
    <w:rsid w:val="00C6382B"/>
    <w:rsid w:val="00D2422E"/>
    <w:rsid w:val="00D67CC3"/>
    <w:rsid w:val="00D90222"/>
    <w:rsid w:val="00DF2ACF"/>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80A79"/>
  <w15:chartTrackingRefBased/>
  <w15:docId w15:val="{B7D135D7-131E-417F-B099-2B94C63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51405D"/>
    <w:pPr>
      <w:spacing w:after="11" w:line="231" w:lineRule="auto"/>
      <w:ind w:left="720" w:right="6" w:firstLine="7"/>
      <w:contextualSpacing/>
    </w:pPr>
    <w:rPr>
      <w:rFonts w:ascii="Times New Roman" w:hAnsi="Times New Roman"/>
      <w:color w:val="000000"/>
      <w:sz w:val="24"/>
      <w:szCs w:val="22"/>
      <w:lang w:eastAsia="es-ES"/>
    </w:r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51405D"/>
    <w:rPr>
      <w:rFonts w:ascii="Times New Roman" w:eastAsia="Times New Roman" w:hAnsi="Times New Roman" w:cs="Times New Roman"/>
      <w:color w:val="00000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86FDA722B64DF7A22690D4C2AC6E3B"/>
        <w:category>
          <w:name w:val="General"/>
          <w:gallery w:val="placeholder"/>
        </w:category>
        <w:types>
          <w:type w:val="bbPlcHdr"/>
        </w:types>
        <w:behaviors>
          <w:behavior w:val="content"/>
        </w:behaviors>
        <w:guid w:val="{7BC91E24-73FA-4A32-B34B-6451630AF173}"/>
      </w:docPartPr>
      <w:docPartBody>
        <w:p w:rsidR="000E3838" w:rsidRDefault="000E3838">
          <w:pPr>
            <w:pStyle w:val="B786FDA722B64DF7A22690D4C2AC6E3B"/>
          </w:pPr>
          <w:r w:rsidRPr="001E0779">
            <w:rPr>
              <w:rStyle w:val="Textodelmarcadordeposicin"/>
            </w:rPr>
            <w:t>Haga clic aquí para escribir texto.</w:t>
          </w:r>
        </w:p>
      </w:docPartBody>
    </w:docPart>
    <w:docPart>
      <w:docPartPr>
        <w:name w:val="86CACA01EDF147A18292C58B1501B1CF"/>
        <w:category>
          <w:name w:val="General"/>
          <w:gallery w:val="placeholder"/>
        </w:category>
        <w:types>
          <w:type w:val="bbPlcHdr"/>
        </w:types>
        <w:behaviors>
          <w:behavior w:val="content"/>
        </w:behaviors>
        <w:guid w:val="{8A7F225C-6AE3-4A3B-99D2-88C00CD8FB50}"/>
      </w:docPartPr>
      <w:docPartBody>
        <w:p w:rsidR="000E3838" w:rsidRDefault="000E3838">
          <w:pPr>
            <w:pStyle w:val="86CACA01EDF147A18292C58B1501B1C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38"/>
    <w:rsid w:val="000E383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B786FDA722B64DF7A22690D4C2AC6E3B">
    <w:name w:val="B786FDA722B64DF7A22690D4C2AC6E3B"/>
  </w:style>
  <w:style w:type="paragraph" w:customStyle="1" w:styleId="86CACA01EDF147A18292C58B1501B1CF">
    <w:name w:val="86CACA01EDF147A18292C58B1501B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hZYRa7/kLgXP9kCvnUZ4WJIl9Xz8gGPoJkoFnTtsnys=</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QbYCxgC+o1/Yub3fNb5kLmErM4jPb/pYW0aPPORmGfE=</DigestValue>
    </Reference>
  </SignedInfo>
  <SignatureValue>d2QTphQ1szWb/CkO03+giM+fJCQz/SiX2/VfOk4PJU8aoaq5nBHNNa/HU/7S/kMae5IerIz5lo5t
OXbCE3cocNXfvQRH9NY5FbSbIT6zeE1VfaF11MwEbt2baE/ZfGIhUBxVVWD19Am4EAo4LOAkx6Qo
2xE4ldEplnnx/40jA0pjsAYI3JChZFSu3Tky+mXpe6n7rFfinOFiqY5p6ugx6yKlrYFgj7zrqI/s
bneNyuVFsZdoaDzEIUJEw9sBbgb5jOjenwbFdZao/ALpO7LWzKXrsZCvbF+vxJN7oZ8yuyG4l+sm
QtWAbnH1g/s56AxWlTltxHIJF+1w6bAXGDkWFQ==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cziymTZ1nfkBadsKI5R8f3UTUzTaC0GgH6GcfOBN+B4=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f7pE9583Da0o6+wnN3pAl2PpJxcSipBHOU9F2bS2kuI=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tKcp1SYqvQ/rZv5WqPlGT5afTLz/8Pq5vbjLI8mDMF8=</DigestValue>
      </Reference>
      <Reference URI="/word/endnotes.xml?ContentType=application/vnd.openxmlformats-officedocument.wordprocessingml.endnotes+xml">
        <DigestMethod Algorithm="http://www.w3.org/2001/04/xmlenc#sha256"/>
        <DigestValue>DSMSsXbdQXGR6COA80nnLPjLtX3oa/ukmOYtupqSceQ=</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gmLT8A6lopObFRku9DkEJWH0dbgZ9+yHy86g+KqngaE=</DigestValue>
      </Reference>
      <Reference URI="/word/footnotes.xml?ContentType=application/vnd.openxmlformats-officedocument.wordprocessingml.footnotes+xml">
        <DigestMethod Algorithm="http://www.w3.org/2001/04/xmlenc#sha256"/>
        <DigestValue>xCU0MyNWCF7dEjn9LY5RTPyDQJ8jAMksoj5guvVtJkU=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0Q7KDBcsKZZrVpKHyq1FEMyXl1f7k3RggU5t7S4MqZI=</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EZGJAlE+nJueu/4MCXOD8pbLtYEcG4+BTtg1B7NjCG8=</DigestValue>
      </Reference>
      <Reference URI="/word/glossary/styles.xml?ContentType=application/vnd.openxmlformats-officedocument.wordprocessingml.styles+xml">
        <DigestMethod Algorithm="http://www.w3.org/2001/04/xmlenc#sha256"/>
        <DigestValue>S6mhwKfFZ36T8bsPMxlP0rgB0+L8396L2yiyePk/7XQ=</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fvMu8UhoyFJUzcfC3jQCqf0sy2QXiwvvMzyhds/xVj8=</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NOn1Bydn9VWKtfPCd8pwJFmgbwLQXPwLXKLrpMT87SA=</DigestValue>
      </Reference>
      <Reference URI="/word/settings.xml?ContentType=application/vnd.openxmlformats-officedocument.wordprocessingml.settings+xml">
        <DigestMethod Algorithm="http://www.w3.org/2001/04/xmlenc#sha256"/>
        <DigestValue>ijrOLrWw7s8DYFBxF0HeCxYNC3w5ChI7m7r1wz0MEHM=</DigestValue>
      </Reference>
      <Reference URI="/word/styles.xml?ContentType=application/vnd.openxmlformats-officedocument.wordprocessingml.styles+xml">
        <DigestMethod Algorithm="http://www.w3.org/2001/04/xmlenc#sha256"/>
        <DigestValue>r2ilkmSNrCpJrBvDTDiLHPbqMxykQCOVIDVAUsA4MP0=</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2023-12-19T23:54:16Z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2023-12-19T23:54:16Z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vNcVduSZaEPNWqMV3OlOLatqaT4swgKKq9S1l00PFgCBBgbL6YYDzIwMjMxMjE5MjM1NDI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OTIzNTQyNVowLwYJKoZIhvcNAQkEMSIEIKXz6SGkDt+c4f1CPKq+BOMsRhUVBkp25h7zoXBIK3iYMDcGCyqGSIb3DQEJEAIvMSgwJjAkMCIEIDcrk3iY5iZu+N7/iFpVKDYeTZ9u7elabVQcL5d9tumpMA0GCSqGSIb3DQEBAQUABIIBAMmwEK26Cn71prkfG3R2kiOUVdKfETtwVPWLXkAFVInIeg/YUH22IXXWuYmt4I4sEwxVYORnG4U0zSSaM5lwAnI//gSNA8MYg9hZq8/UAcKyO5rVBCxOsJgIreaTMQ3u81dVLI2neD1rXfUXlWZ0jyDeK8vhU0ZfI7br2eLolssrkMhX9obp9n2Hpl7NqDR+AcUAE0od9bTp+WTbulWpdSNekuH4n9exnYYqcbQIkWuKjDqH1n2hwqDJB9TmbsMKKOps3ktX4VYVrbLALucxWyFGJmV6UaG0BnCKWqcSbc60v1bO4mNoNQJqKpZf4uYiGZIFMZsZMFyFgqjzfNNsYa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voaL7PUzEtR817K7G6IjFJcjBTY=</xd:ByKey>
                  </xd:ResponderID>
                  <xd:ProducedAt>2023-12-19T16:16:56Z</xd:ProducedAt>
                </xd:OCSPIdentifier>
                <xd:DigestAlgAndValue>
                  <DigestMethod Algorithm="http://www.w3.org/2001/04/xmlenc#sha256"/>
                  <DigestValue>jgumsK5rP0YTAE2YQQB/aVc/Pp2U4oHXfdJ4ewoIlbs=</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S+hovs9TMS1HzXsrsboiMUlyMFNhgPMjAyMzEyMTkxNjE2NTZaMIGZMIGWMEwwCQYFKw4DAhoFAAQUzgxHzN03kqP+e9oD7BphnZQwSGIEFF8FGEEQ3hUvOunAFqPnoWpS0TrsAhMUAAkdibcwGcw4YG8RAAEACR2JgAAYDzIwMjMxMjE5MTYwMjQ4WqARGA8yMDIzMTIyMTA0MjI0OFqhIDAeMBwGCSsGAQQBgjcVBAQPFw0yMzEyMjAxNjEyNDhaMA0GCSqGSIb3DQEBCwUAA4IBAQBDYni+6qEccVC+gw+CpgWrgEQ6kA41I8dfvgNmDmpWzaCPGYHVm5xlaaQjATKnHhwwrMyUL8T3STbAQ5ns6BmqrlyGwUlTzb1YsmMr5vFUSh6g3QRxfgmp2ubfHiqyi11NeooVhMoE21Ug5VnV6OIMgog5bVtLdbJ5IPn5sYNBECD1opy8sFTHirl0B5oyjPOdHet6SAX8nAFC4dGHabcpUiUIWP1lcxBgtba54rRbSV74vHbhMBpgYUTvGFLx8ADGWWQrLVxnJQ3DlOpVnrahjsy6n9P9e+/iYq3sSsQP1tKvkjPaCGPvKgw55FJa2fjTv/6zv0wrJjiqw/lKZeK0oIIElzCCBJMwggSPMIIDd6ADAgECAhMUABK1zcwydD3FYOkmAAIAErXNMA0GCSqGSIb3DQEBCwUAMIGZMRkwFwYDVQQFExBDUEotNC0wMDAtMDA0MDE3MQswCQYDVQQGEwJDUjEkMCIGA1UEChMbQkFOQ08gQ0VOVFJBTCBERSBDT1NUQSBSSUNBMSIwIAYDVQQLExlESVZJU0lPTiBTSVNURU1BUyBERSBQQUdPMSUwIwYDVQQDExxDQSBTSU5QRSAtIFBFUlNPTkEgRklTSUNBIHYyMB4XDTIzMTIxOTAzMzI1MFoXDTI0MDEwMjAzMzI1MFowHjEcMBoGA1UEAxMTU0ktQVBPQ1MtMTAxLmZkaS5jcjCCASIwDQYJKoZIhvcNAQEBBQADggEPADCCAQoCggEBAKtFRwH1gTxrIX70ssi5SY9IcGmlGQLlMetgGG6DeV0Gqlqi1qXjs0ZjW2HqvecRSrSulSC/h6J1BHSNzBA04bP4gS72Mv6segHcCb2ly5q0XnRpvc8NLrOQmz93o4S1dUtdDr6hSKztTI0qlROqGf/NIkfc0gRYtCmjtbXbELBXW8AnQHqQm/wmLZ9Xo33PNKYYeTF0lBiPLDKf/iNvRq+4WwRUSGMutemMKIba1Q30EzFpP6Vc2v6k1qhVUC7SjrCM6JXUJDO4Ze97dqXe90QjsnP/sQkEIErHJcZDLnC1+nv9lGfE64rSErZQNEQwTVRsqSAoKZPrQ74ATiU1tp8CAwEAAaOCAUgwggFEMD0GCSsGAQQBgjcVBwQwMC4GJisGAQQBgjcVCIXE6luC0eM1lZEbgvmXGIaly2uBf4P2/HeBuPEzAgFkAgEHMBMGA1UdJQQMMAoGCCsGAQUFBwMJMA4GA1UdDwEB/wQEAwIHgDAbBgkrBgEEAYI3FQoEDjAMMAoGCCsGAQUFBwMJMA8GCSsGAQUFBzABBQQCBQAwHwYDVR0jBBgwFoAUXwUYQRDeFS866cAWo+ehalLROuwwHQYDVR0OBBYEFL6Gi+z1MxLUfNeyuxuiIxSXIwU2MB4GA1UdEQQXMBWCE1NJLUFQT0NTLTEwMS5mZGkuY3IwUAYJKwYBBAGCNxkCBEMwQaA/BgorBgEEAYI3GQIBoDEEL1MtMS01LTIxLTMyMzk1NTA4NzgtNzUzNzk5NzM5LTE3NTY2MDE1MDMtMTA3MTMzMA0GCSqGSIb3DQEBCwUAA4IBAQBHSxVlPwc++MhkYyycHrMY53rRhvfZxBltgcB1xmQTG2FX1NsOlgJHpHjtutYW3W4aCmf6k6229Qf0ca6dWxrjN43H41y8TLNdloAndOIK7Y9N89eEjgJBj5q6rFC8I5HRND9BrMxa3DlptXUxi/oBUEuuYsHplIDOGRXTAWb9ds4c96W8o32PdcIDHDPlmLb7Q5bijzERoA+oJpoex1QO78pqlYXaMt/DxziZFBBgW5oVI7uQ4oVbA3Gq+H2kwe2yBSBNlR+Gz4TrkMs3q6y2XXoNKZOutUOjc9Hxf6cIlz6ci7FFWZgeTLvF+KRnUKwPWIt466qNa779CC3AgY/B</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dDVnEeraVISFxFfK2sJdXGRYqCjwnaCGvab5zljlNfwCBBgbL6cYDzIwMjMxMjE5MjM1NDI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OTIzNTQyNVowLwYJKoZIhvcNAQkEMSIEIP4VHyFVeYo96igzqIS4HFXolOt8s9VQ/HcJTtKtxQMJMDcGCyqGSIb3DQEJEAIvMSgwJjAkMCIEIDcrk3iY5iZu+N7/iFpVKDYeTZ9u7elabVQcL5d9tumpMA0GCSqGSIb3DQEBAQUABIIBAH/3TFkxu9iHvXpuZ3dQJ3/8mBC2/nNooU50zLw0V7AfQlR6QXjfLcQ8K/RSr0FfjqCTv7Nh2TL8au7W4DCSOrqyKhL+fluvfegdiRuUHmcXQQSQOBxPIHibz12dAHkY4WTUS1992YsIopXMofx70NTOQxorqDdIJGiSr3/yrZhvL0waePV3MqGv3pkLdqT8DgjI3Qw1PqmZsLjHJu+aGEHvUKwNf8PFa420EvVcJB2Wvqi+RRbDhng8MYWp/PWzarvlp/IF26Q0xC36GjCdQaZAgok/gaOTqsm6pHyKZc/hNqPxKdRJIYq7+bjZdZGaJFrDLU7qm7xfhyw03BkNit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183</Value>
      <Value>63</Value>
    </TaxCatchAll>
    <OtraEntidadExterna xmlns="b875e23b-67d9-4b2e-bdec-edacbf90b326">A todas la entidades supervisadas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Resolución - Lineamientos Generales por cambio a Deudor expuesto o no a RCambiario
COPIAR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2023-06-27T06:00:00+00:00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Resolución - Lineamientos Generales por cambio a Deudor expuesto o no a RCambiario</Subject1>
  </documentManagement>
</p:properties>
</file>

<file path=customXml/itemProps1.xml><?xml version="1.0" encoding="utf-8"?>
<ds:datastoreItem xmlns:ds="http://schemas.openxmlformats.org/officeDocument/2006/customXml" ds:itemID="{02CC5DEE-DEE3-42F9-B7AA-C53E4B2CC103}"/>
</file>

<file path=customXml/itemProps2.xml><?xml version="1.0" encoding="utf-8"?>
<ds:datastoreItem xmlns:ds="http://schemas.openxmlformats.org/officeDocument/2006/customXml" ds:itemID="{5D5CC4B0-8F62-48D5-A631-21C0F336A8DA}"/>
</file>

<file path=customXml/itemProps3.xml><?xml version="1.0" encoding="utf-8"?>
<ds:datastoreItem xmlns:ds="http://schemas.openxmlformats.org/officeDocument/2006/customXml" ds:itemID="{9E241574-3D5B-4234-9DD6-DE57D741D1A2}"/>
</file>

<file path=customXml/itemProps4.xml><?xml version="1.0" encoding="utf-8"?>
<ds:datastoreItem xmlns:ds="http://schemas.openxmlformats.org/officeDocument/2006/customXml" ds:itemID="{67EB9320-7BE4-4FCB-B48A-DC1D3B06E227}"/>
</file>

<file path=customXml/itemProps5.xml><?xml version="1.0" encoding="utf-8"?>
<ds:datastoreItem xmlns:ds="http://schemas.openxmlformats.org/officeDocument/2006/customXml" ds:itemID="{8C125E5F-57C0-4706-AF12-183843FD9F0A}"/>
</file>

<file path=customXml/itemProps6.xml><?xml version="1.0" encoding="utf-8"?>
<ds:datastoreItem xmlns:ds="http://schemas.openxmlformats.org/officeDocument/2006/customXml" ds:itemID="{897877BF-7EAA-46B7-8339-ECE9289922ED}"/>
</file>

<file path=docProps/app.xml><?xml version="1.0" encoding="utf-8"?>
<Properties xmlns="http://schemas.openxmlformats.org/officeDocument/2006/extended-properties" xmlns:vt="http://schemas.openxmlformats.org/officeDocument/2006/docPropsVTypes">
  <Template>plantilla-SGF-DST-DNO-22.dotx</Template>
  <TotalTime>156</TotalTime>
  <Pages>5</Pages>
  <Words>1362</Words>
  <Characters>7495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RODRIGUEZ XINIA MARIA</dc:creator>
  <cp:keywords/>
  <dc:description/>
  <cp:lastModifiedBy>VARGAS LEAL MARIA GABRIELA</cp:lastModifiedBy>
  <cp:revision>20</cp:revision>
  <dcterms:created xsi:type="dcterms:W3CDTF">2023-06-27T15:23:00Z</dcterms:created>
  <dcterms:modified xsi:type="dcterms:W3CDTF">2023-12-18T15:13:00Z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183;#Resolución|8250c29f-4595-4728-bcc1-a5fc6a20ed53</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123500</vt:r8>
  </property>
  <property fmtid="{D5CDD505-2E9C-101B-9397-08002B2CF9AE}" pid="12" name="MSIP_Label_b8b4be34-365a-4a68-b9fb-75c1b6874315_Enabled">
    <vt:lpwstr>true</vt:lpwstr>
  </property>
  <property fmtid="{D5CDD505-2E9C-101B-9397-08002B2CF9AE}" pid="13" name="MSIP_Label_b8b4be34-365a-4a68-b9fb-75c1b6874315_SetDate">
    <vt:lpwstr>2023-12-18T15:13:15Z</vt:lpwstr>
  </property>
  <property fmtid="{D5CDD505-2E9C-101B-9397-08002B2CF9AE}" pid="14" name="MSIP_Label_b8b4be34-365a-4a68-b9fb-75c1b6874315_Method">
    <vt:lpwstr>Standard</vt:lpwstr>
  </property>
  <property fmtid="{D5CDD505-2E9C-101B-9397-08002B2CF9AE}" pid="15" name="MSIP_Label_b8b4be34-365a-4a68-b9fb-75c1b6874315_Name">
    <vt:lpwstr>b8b4be34-365a-4a68-b9fb-75c1b6874315</vt:lpwstr>
  </property>
  <property fmtid="{D5CDD505-2E9C-101B-9397-08002B2CF9AE}" pid="16" name="MSIP_Label_b8b4be34-365a-4a68-b9fb-75c1b6874315_SiteId">
    <vt:lpwstr>618d0a45-25a6-4618-9f80-8f70a435ee52</vt:lpwstr>
  </property>
  <property fmtid="{D5CDD505-2E9C-101B-9397-08002B2CF9AE}" pid="17" name="MSIP_Label_b8b4be34-365a-4a68-b9fb-75c1b6874315_ActionId">
    <vt:lpwstr>93b715f6-e5ba-4614-8d1f-714379f56c45</vt:lpwstr>
  </property>
  <property fmtid="{D5CDD505-2E9C-101B-9397-08002B2CF9AE}" pid="18" name="MSIP_Label_b8b4be34-365a-4a68-b9fb-75c1b6874315_ContentBits">
    <vt:lpwstr>2</vt:lpwstr>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f1fd9d7f-da86-405a-9476-87cbb240632e,7;769919c7-9da3-41ff-b395-8ac0bca7c92c,10;</vt:lpwstr>
  </property>
</Properties>
</file>