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028A3" w:rsidR="001E0549" w:rsidP="001E0549" w:rsidRDefault="001E0549" w14:paraId="7AEB804B" w14:textId="77777777">
      <w:pPr>
        <w:pStyle w:val="Texto"/>
        <w:spacing w:before="0" w:after="0" w:line="240" w:lineRule="auto"/>
        <w:jc w:val="center"/>
        <w:rPr>
          <w:rFonts w:cs="Arial"/>
          <w:b/>
          <w:bCs/>
          <w:sz w:val="24"/>
          <w:lang w:val="es-CR"/>
        </w:rPr>
      </w:pPr>
      <w:r w:rsidRPr="000028A3">
        <w:rPr>
          <w:rFonts w:cs="Arial"/>
          <w:b/>
          <w:bCs/>
          <w:sz w:val="24"/>
          <w:lang w:val="es-CR"/>
        </w:rPr>
        <w:t>Circular Externa</w:t>
      </w:r>
    </w:p>
    <w:p w:rsidRPr="000028A3" w:rsidR="001E0549" w:rsidP="001E0549" w:rsidRDefault="001E0549" w14:paraId="37A5AE3D" w14:textId="77777777">
      <w:pPr>
        <w:pStyle w:val="Texto"/>
        <w:spacing w:before="0" w:after="0" w:line="240" w:lineRule="auto"/>
        <w:jc w:val="center"/>
        <w:rPr>
          <w:rFonts w:cs="Arial"/>
          <w:sz w:val="24"/>
          <w:lang w:val="es-CR"/>
        </w:rPr>
      </w:pPr>
      <w:r w:rsidRPr="000028A3">
        <w:rPr>
          <w:rFonts w:cs="Arial"/>
          <w:sz w:val="24"/>
          <w:lang w:val="es-CR"/>
        </w:rPr>
        <w:t>26 de agosto del 2021</w:t>
      </w:r>
    </w:p>
    <w:sdt>
      <w:sdtPr>
        <w:rPr>
          <w:rFonts w:cs="Arial"/>
          <w:sz w:val="24"/>
          <w:lang w:val="es-CR"/>
        </w:rPr>
        <w:alias w:val="Consecutivo"/>
        <w:tag w:val="Consecutivo"/>
        <w:id w:val="2052717023"/>
        <w:placeholder>
          <w:docPart w:val="5ACA28FE543640AEB25895F54775E119"/>
        </w:placeholder>
        <w:text/>
      </w:sdtPr>
      <w:sdtEndPr/>
      <w:sdtContent>
        <w:p w:rsidRPr="000028A3" w:rsidR="001E0549" w:rsidP="001E0549" w:rsidRDefault="001E0549" w14:paraId="6A1A30B3" w14:textId="77777777">
          <w:pPr>
            <w:tabs>
              <w:tab w:val="left" w:pos="2843"/>
            </w:tabs>
            <w:spacing w:line="240" w:lineRule="auto"/>
            <w:jc w:val="center"/>
            <w:rPr>
              <w:rFonts w:cs="Arial"/>
              <w:sz w:val="24"/>
              <w:lang w:val="es-CR"/>
            </w:rPr>
          </w:pPr>
          <w:r>
            <w:t>SGF-2433-2021</w:t>
          </w:r>
        </w:p>
      </w:sdtContent>
    </w:sdt>
    <w:p w:rsidRPr="000028A3" w:rsidR="001E0549" w:rsidP="001E0549" w:rsidRDefault="000028A3" w14:paraId="09CB3B5E" w14:textId="77777777">
      <w:pPr>
        <w:tabs>
          <w:tab w:val="left" w:pos="2843"/>
        </w:tabs>
        <w:spacing w:line="240" w:lineRule="auto"/>
        <w:jc w:val="center"/>
        <w:rPr>
          <w:rFonts w:cs="Arial"/>
          <w:sz w:val="24"/>
          <w:lang w:val="es-CR"/>
        </w:rPr>
      </w:pPr>
      <w:sdt>
        <w:sdtPr>
          <w:rPr>
            <w:rFonts w:cs="Arial"/>
            <w:sz w:val="24"/>
            <w:lang w:val="es-CR"/>
          </w:rPr>
          <w:alias w:val="Confidencialidad"/>
          <w:tag w:val="Confidencialidad"/>
          <w:id w:val="1447896894"/>
          <w:placeholder>
            <w:docPart w:val="AD2A61502C10402B9B73D6D8D50BD8A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0028A3" w:rsidR="001E0549">
            <w:rPr>
              <w:rFonts w:cs="Arial"/>
              <w:sz w:val="24"/>
              <w:lang w:val="es-CR"/>
            </w:rPr>
            <w:t>SGF-PUBLICO</w:t>
          </w:r>
        </w:sdtContent>
      </w:sdt>
    </w:p>
    <w:p w:rsidRPr="000028A3" w:rsidR="001E0549" w:rsidP="001E0549" w:rsidRDefault="001E0549" w14:paraId="54B12DAF" w14:textId="77777777">
      <w:pPr>
        <w:tabs>
          <w:tab w:val="left" w:pos="2843"/>
        </w:tabs>
        <w:spacing w:line="240" w:lineRule="auto"/>
        <w:rPr>
          <w:rFonts w:cs="Arial"/>
          <w:sz w:val="24"/>
          <w:lang w:val="es-CR"/>
        </w:rPr>
      </w:pPr>
    </w:p>
    <w:p w:rsidRPr="000028A3" w:rsidR="001E0549" w:rsidP="001E0549" w:rsidRDefault="001E0549" w14:paraId="2C3276AE" w14:textId="77777777">
      <w:pPr>
        <w:pStyle w:val="Default"/>
        <w:rPr>
          <w:rFonts w:ascii="Cambria" w:hAnsi="Cambria" w:cs="Arial"/>
          <w:b/>
          <w:bCs/>
        </w:rPr>
      </w:pPr>
      <w:r w:rsidRPr="000028A3">
        <w:rPr>
          <w:rFonts w:ascii="Cambria" w:hAnsi="Cambria" w:cs="Arial"/>
          <w:b/>
          <w:bCs/>
        </w:rPr>
        <w:t xml:space="preserve">Dirigida a: </w:t>
      </w:r>
    </w:p>
    <w:p w:rsidRPr="000028A3" w:rsidR="001E0549" w:rsidP="001E0549" w:rsidRDefault="001E0549" w14:paraId="26FFBE77" w14:textId="77777777">
      <w:pPr>
        <w:pStyle w:val="Default"/>
        <w:rPr>
          <w:rFonts w:ascii="Cambria" w:hAnsi="Cambria" w:cs="Arial"/>
        </w:rPr>
      </w:pPr>
    </w:p>
    <w:p w:rsidRPr="000028A3" w:rsidR="001E0549" w:rsidP="001E0549" w:rsidRDefault="001E0549" w14:paraId="3C3A991F" w14:textId="77777777">
      <w:pPr>
        <w:pStyle w:val="Default"/>
        <w:numPr>
          <w:ilvl w:val="0"/>
          <w:numId w:val="9"/>
        </w:numPr>
        <w:ind w:left="0" w:hanging="11"/>
        <w:rPr>
          <w:rFonts w:ascii="Cambria" w:hAnsi="Cambria" w:cs="Arial"/>
        </w:rPr>
      </w:pPr>
      <w:r w:rsidRPr="000028A3">
        <w:rPr>
          <w:rFonts w:ascii="Cambria" w:hAnsi="Cambria" w:cs="Arial"/>
        </w:rPr>
        <w:t xml:space="preserve">Bancos Comerciales del Estado </w:t>
      </w:r>
    </w:p>
    <w:p w:rsidRPr="000028A3" w:rsidR="001E0549" w:rsidP="001E0549" w:rsidRDefault="001E0549" w14:paraId="2F111573" w14:textId="77777777">
      <w:pPr>
        <w:pStyle w:val="Default"/>
        <w:numPr>
          <w:ilvl w:val="0"/>
          <w:numId w:val="9"/>
        </w:numPr>
        <w:ind w:left="0" w:hanging="11"/>
        <w:rPr>
          <w:rFonts w:ascii="Cambria" w:hAnsi="Cambria" w:cs="Arial"/>
        </w:rPr>
      </w:pPr>
      <w:r w:rsidRPr="000028A3">
        <w:rPr>
          <w:rFonts w:ascii="Cambria" w:hAnsi="Cambria" w:cs="Arial"/>
        </w:rPr>
        <w:t xml:space="preserve">Bancos Creados por Leyes Especiales </w:t>
      </w:r>
    </w:p>
    <w:p w:rsidRPr="000028A3" w:rsidR="001E0549" w:rsidP="001E0549" w:rsidRDefault="001E0549" w14:paraId="3D70B8CA" w14:textId="77777777">
      <w:pPr>
        <w:pStyle w:val="Default"/>
        <w:numPr>
          <w:ilvl w:val="0"/>
          <w:numId w:val="9"/>
        </w:numPr>
        <w:ind w:left="0" w:hanging="11"/>
        <w:rPr>
          <w:rFonts w:ascii="Cambria" w:hAnsi="Cambria" w:cs="Arial"/>
        </w:rPr>
      </w:pPr>
      <w:r w:rsidRPr="000028A3">
        <w:rPr>
          <w:rFonts w:ascii="Cambria" w:hAnsi="Cambria" w:cs="Arial"/>
        </w:rPr>
        <w:t xml:space="preserve">Bancos Privados </w:t>
      </w:r>
    </w:p>
    <w:p w:rsidRPr="000028A3" w:rsidR="001E0549" w:rsidP="001E0549" w:rsidRDefault="001E0549" w14:paraId="286DF952" w14:textId="77777777">
      <w:pPr>
        <w:pStyle w:val="Default"/>
        <w:numPr>
          <w:ilvl w:val="0"/>
          <w:numId w:val="9"/>
        </w:numPr>
        <w:ind w:left="0" w:hanging="11"/>
        <w:rPr>
          <w:rFonts w:ascii="Cambria" w:hAnsi="Cambria" w:cs="Arial"/>
        </w:rPr>
      </w:pPr>
      <w:r w:rsidRPr="000028A3">
        <w:rPr>
          <w:rFonts w:ascii="Cambria" w:hAnsi="Cambria" w:cs="Arial"/>
        </w:rPr>
        <w:t xml:space="preserve">Empresas Financieras no Bancarias </w:t>
      </w:r>
    </w:p>
    <w:p w:rsidRPr="000028A3" w:rsidR="001E0549" w:rsidP="001E0549" w:rsidRDefault="001E0549" w14:paraId="1E0293C3" w14:textId="77777777">
      <w:pPr>
        <w:pStyle w:val="Default"/>
        <w:numPr>
          <w:ilvl w:val="0"/>
          <w:numId w:val="9"/>
        </w:numPr>
        <w:ind w:left="0" w:hanging="11"/>
        <w:rPr>
          <w:rFonts w:ascii="Cambria" w:hAnsi="Cambria" w:cs="Arial"/>
        </w:rPr>
      </w:pPr>
      <w:r w:rsidRPr="000028A3">
        <w:rPr>
          <w:rFonts w:ascii="Cambria" w:hAnsi="Cambria" w:cs="Arial"/>
        </w:rPr>
        <w:t xml:space="preserve">Organizaciones Cooperativas de Ahorro y Crédito </w:t>
      </w:r>
    </w:p>
    <w:p w:rsidRPr="000028A3" w:rsidR="001E0549" w:rsidP="001E0549" w:rsidRDefault="001E0549" w14:paraId="63EB5290" w14:textId="77777777">
      <w:pPr>
        <w:pStyle w:val="Default"/>
        <w:numPr>
          <w:ilvl w:val="0"/>
          <w:numId w:val="9"/>
        </w:numPr>
        <w:ind w:left="0" w:hanging="11"/>
        <w:rPr>
          <w:rFonts w:ascii="Cambria" w:hAnsi="Cambria" w:cs="Arial"/>
        </w:rPr>
      </w:pPr>
      <w:r w:rsidRPr="000028A3">
        <w:rPr>
          <w:rFonts w:ascii="Cambria" w:hAnsi="Cambria" w:cs="Arial"/>
        </w:rPr>
        <w:t>Caja de Ahorro y Préstamo de la Ande</w:t>
      </w:r>
    </w:p>
    <w:p w:rsidRPr="000028A3" w:rsidR="001E0549" w:rsidP="001E0549" w:rsidRDefault="001E0549" w14:paraId="55CB5D64" w14:textId="77777777">
      <w:pPr>
        <w:pStyle w:val="Default"/>
        <w:numPr>
          <w:ilvl w:val="0"/>
          <w:numId w:val="9"/>
        </w:numPr>
        <w:ind w:left="0" w:hanging="11"/>
        <w:rPr>
          <w:rFonts w:ascii="Cambria" w:hAnsi="Cambria" w:cs="Arial"/>
        </w:rPr>
      </w:pPr>
      <w:r w:rsidRPr="000028A3">
        <w:rPr>
          <w:rFonts w:ascii="Cambria" w:hAnsi="Cambria" w:cs="Arial"/>
        </w:rPr>
        <w:t>Entidades Autorizadas del Sistema Financiera Nacional para la Vivienda</w:t>
      </w:r>
    </w:p>
    <w:p w:rsidRPr="000028A3" w:rsidR="001E0549" w:rsidP="001E0549" w:rsidRDefault="001E0549" w14:paraId="75CAA190" w14:textId="77777777">
      <w:pPr>
        <w:pStyle w:val="NormalWeb"/>
        <w:spacing w:before="0" w:beforeAutospacing="0" w:after="0" w:afterAutospacing="0"/>
        <w:ind w:left="1418" w:hanging="1418"/>
        <w:jc w:val="both"/>
        <w:rPr>
          <w:rFonts w:ascii="Cambria" w:hAnsi="Cambria" w:cs="Arial"/>
          <w:b/>
          <w:sz w:val="24"/>
          <w:szCs w:val="24"/>
          <w:lang w:val="es-CR"/>
        </w:rPr>
      </w:pPr>
    </w:p>
    <w:p w:rsidRPr="000028A3" w:rsidR="001E0549" w:rsidP="001E0549" w:rsidRDefault="001E0549" w14:paraId="79A50227" w14:textId="20472C86">
      <w:pPr>
        <w:pStyle w:val="NormalWeb"/>
        <w:spacing w:before="0" w:beforeAutospacing="0" w:after="0" w:afterAutospacing="0"/>
        <w:ind w:left="1418" w:hanging="1418"/>
        <w:jc w:val="both"/>
        <w:rPr>
          <w:rFonts w:ascii="Cambria" w:hAnsi="Cambria" w:cs="Arial"/>
          <w:sz w:val="24"/>
          <w:szCs w:val="24"/>
          <w:lang w:val="es-CR"/>
        </w:rPr>
      </w:pPr>
      <w:r w:rsidRPr="000028A3">
        <w:rPr>
          <w:rFonts w:ascii="Cambria" w:hAnsi="Cambria" w:cs="Arial"/>
          <w:b/>
          <w:sz w:val="24"/>
          <w:szCs w:val="24"/>
          <w:lang w:val="es-CR"/>
        </w:rPr>
        <w:t>Asunto:</w:t>
      </w:r>
      <w:r w:rsidRPr="000028A3">
        <w:rPr>
          <w:rFonts w:ascii="Cambria" w:hAnsi="Cambria" w:cs="Arial"/>
          <w:sz w:val="24"/>
          <w:szCs w:val="24"/>
          <w:lang w:val="es-CR"/>
        </w:rPr>
        <w:tab/>
        <w:t>Nuevas validaciones para el correcto reporte de los miembros en Grupos de Interés Económico y de los miembros del Grupo Vinculado a la Entidad y actualización de la tabla “</w:t>
      </w:r>
      <w:proofErr w:type="spellStart"/>
      <w:r w:rsidRPr="000028A3">
        <w:rPr>
          <w:rFonts w:ascii="Cambria" w:hAnsi="Cambria" w:cs="Arial"/>
          <w:sz w:val="24"/>
          <w:szCs w:val="24"/>
          <w:lang w:val="es-CR"/>
        </w:rPr>
        <w:t>Tipo_Interes_Referencia_Tasa_Variable</w:t>
      </w:r>
      <w:proofErr w:type="spellEnd"/>
      <w:r w:rsidRPr="000028A3">
        <w:rPr>
          <w:rFonts w:ascii="Cambria" w:hAnsi="Cambria" w:cs="Arial"/>
          <w:sz w:val="24"/>
          <w:szCs w:val="24"/>
          <w:lang w:val="es-CR"/>
        </w:rPr>
        <w:t>”</w:t>
      </w:r>
    </w:p>
    <w:p w:rsidRPr="000028A3" w:rsidR="001E0549" w:rsidP="001E0549" w:rsidRDefault="001E0549" w14:paraId="4A508149" w14:textId="77777777">
      <w:pPr>
        <w:pStyle w:val="NormalWeb"/>
        <w:spacing w:before="0" w:beforeAutospacing="0" w:after="0" w:afterAutospacing="0"/>
        <w:ind w:left="1418" w:hanging="1418"/>
        <w:jc w:val="both"/>
        <w:rPr>
          <w:rFonts w:ascii="Cambria" w:hAnsi="Cambria" w:cs="Arial"/>
          <w:sz w:val="24"/>
          <w:szCs w:val="24"/>
          <w:lang w:val="es-CR"/>
        </w:rPr>
      </w:pPr>
    </w:p>
    <w:p w:rsidRPr="000028A3" w:rsidR="001E0549" w:rsidP="001E0549" w:rsidRDefault="001E0549" w14:paraId="0D7CB5C0" w14:textId="77777777">
      <w:pPr>
        <w:pStyle w:val="NormalWeb"/>
        <w:spacing w:before="0" w:beforeAutospacing="0" w:after="0" w:afterAutospacing="0"/>
        <w:jc w:val="both"/>
        <w:rPr>
          <w:rFonts w:ascii="Cambria" w:hAnsi="Cambria" w:cs="Arial"/>
          <w:b/>
          <w:sz w:val="24"/>
          <w:szCs w:val="24"/>
          <w:lang w:val="es-CR"/>
        </w:rPr>
      </w:pPr>
      <w:r w:rsidRPr="000028A3">
        <w:rPr>
          <w:rFonts w:ascii="Cambria" w:hAnsi="Cambria" w:cs="Arial"/>
          <w:b/>
          <w:sz w:val="24"/>
          <w:szCs w:val="24"/>
          <w:lang w:val="es-CR"/>
        </w:rPr>
        <w:t>El Intendente General de Entidades Financieras</w:t>
      </w:r>
    </w:p>
    <w:p w:rsidRPr="000028A3" w:rsidR="001E0549" w:rsidP="001E0549" w:rsidRDefault="001E0549" w14:paraId="04552D44" w14:textId="77777777">
      <w:pPr>
        <w:pStyle w:val="Texto"/>
        <w:spacing w:before="0" w:after="0" w:line="240" w:lineRule="auto"/>
        <w:rPr>
          <w:rFonts w:cs="Arial"/>
          <w:b/>
          <w:sz w:val="24"/>
          <w:lang w:val="es-CR"/>
        </w:rPr>
      </w:pPr>
    </w:p>
    <w:p w:rsidRPr="000028A3" w:rsidR="001E0549" w:rsidP="001E0549" w:rsidRDefault="001E0549" w14:paraId="52B64B1D" w14:textId="77777777">
      <w:pPr>
        <w:pStyle w:val="Texto"/>
        <w:spacing w:before="0" w:after="0" w:line="240" w:lineRule="auto"/>
        <w:rPr>
          <w:rFonts w:cs="Arial"/>
          <w:b/>
          <w:sz w:val="24"/>
          <w:lang w:val="es-CR"/>
        </w:rPr>
      </w:pPr>
      <w:r w:rsidRPr="000028A3">
        <w:rPr>
          <w:rFonts w:cs="Arial"/>
          <w:b/>
          <w:sz w:val="24"/>
          <w:lang w:val="es-CR"/>
        </w:rPr>
        <w:t>Considerando que:</w:t>
      </w:r>
    </w:p>
    <w:p w:rsidRPr="000028A3" w:rsidR="001E0549" w:rsidP="001E0549" w:rsidRDefault="001E0549" w14:paraId="366C8754" w14:textId="77777777">
      <w:pPr>
        <w:pStyle w:val="Texto"/>
        <w:spacing w:before="0" w:after="0" w:line="240" w:lineRule="auto"/>
        <w:rPr>
          <w:rFonts w:cs="Arial"/>
          <w:b/>
          <w:sz w:val="24"/>
          <w:lang w:val="es-CR"/>
        </w:rPr>
      </w:pPr>
    </w:p>
    <w:p w:rsidRPr="000028A3" w:rsidR="001E0549" w:rsidP="001E0549" w:rsidRDefault="001E0549" w14:paraId="7C907BA7" w14:textId="77777777">
      <w:pPr>
        <w:numPr>
          <w:ilvl w:val="0"/>
          <w:numId w:val="11"/>
        </w:numPr>
        <w:spacing w:line="240" w:lineRule="auto"/>
        <w:ind w:left="567" w:hanging="567"/>
        <w:contextualSpacing/>
        <w:rPr>
          <w:rFonts w:cs="Arial"/>
          <w:sz w:val="24"/>
          <w:lang w:val="es-CR"/>
        </w:rPr>
      </w:pPr>
      <w:r w:rsidRPr="000028A3">
        <w:rPr>
          <w:rFonts w:cs="Arial"/>
          <w:sz w:val="24"/>
          <w:lang w:val="es-CR"/>
        </w:rPr>
        <w:t>Mediante circular externa SGF-2800-2020 SGF-CONFIDENCIAL, de fecha 12 de agosto del 2020, se informó sobre la implementación de una plataforma informática denominada “Sistema para la Conformación de Grupos de Interés Económico”.</w:t>
      </w:r>
    </w:p>
    <w:p w:rsidRPr="000028A3" w:rsidR="001E0549" w:rsidP="001E0549" w:rsidRDefault="001E0549" w14:paraId="4DE4A336" w14:textId="77777777">
      <w:pPr>
        <w:spacing w:line="240" w:lineRule="auto"/>
        <w:ind w:left="567" w:hanging="567"/>
        <w:contextualSpacing/>
        <w:rPr>
          <w:rFonts w:cs="Arial"/>
          <w:sz w:val="24"/>
          <w:lang w:val="es-CR"/>
        </w:rPr>
      </w:pPr>
    </w:p>
    <w:p w:rsidRPr="000028A3" w:rsidR="001E0549" w:rsidP="001E0549" w:rsidRDefault="001E0549" w14:paraId="57563E09" w14:textId="77777777">
      <w:pPr>
        <w:numPr>
          <w:ilvl w:val="0"/>
          <w:numId w:val="11"/>
        </w:numPr>
        <w:spacing w:line="240" w:lineRule="auto"/>
        <w:ind w:left="567" w:hanging="567"/>
        <w:contextualSpacing/>
        <w:rPr>
          <w:rFonts w:cs="Arial"/>
          <w:sz w:val="24"/>
          <w:lang w:val="es-CR"/>
        </w:rPr>
      </w:pPr>
      <w:r w:rsidRPr="000028A3">
        <w:rPr>
          <w:rFonts w:cs="Arial"/>
          <w:sz w:val="24"/>
          <w:lang w:val="es-CR"/>
        </w:rPr>
        <w:t>Mediante circular externa SGF-2303-2021 SGF-CONFIDENCIAL, del recién pasado 11 de agosto, se informó sobre la salida a producción del módulo del Grupo Vinculado a la Entidad.</w:t>
      </w:r>
    </w:p>
    <w:p w:rsidRPr="000028A3" w:rsidR="001E0549" w:rsidP="001E0549" w:rsidRDefault="001E0549" w14:paraId="2296BCEF" w14:textId="77777777">
      <w:pPr>
        <w:spacing w:line="240" w:lineRule="auto"/>
        <w:ind w:left="567" w:hanging="567"/>
        <w:rPr>
          <w:rFonts w:cs="Arial"/>
          <w:sz w:val="24"/>
          <w:lang w:val="es-CR"/>
        </w:rPr>
      </w:pPr>
    </w:p>
    <w:p w:rsidRPr="000028A3" w:rsidR="001E0549" w:rsidP="001E0549" w:rsidRDefault="001E0549" w14:paraId="0BDAD240" w14:textId="77777777">
      <w:pPr>
        <w:numPr>
          <w:ilvl w:val="0"/>
          <w:numId w:val="11"/>
        </w:numPr>
        <w:spacing w:line="240" w:lineRule="auto"/>
        <w:ind w:left="567" w:hanging="567"/>
        <w:contextualSpacing/>
        <w:rPr>
          <w:rFonts w:cs="Arial"/>
          <w:sz w:val="24"/>
          <w:lang w:val="es-CR"/>
        </w:rPr>
      </w:pPr>
      <w:r w:rsidRPr="000028A3">
        <w:rPr>
          <w:rFonts w:cs="Arial"/>
          <w:sz w:val="24"/>
          <w:lang w:val="es-CR"/>
        </w:rPr>
        <w:t xml:space="preserve">De conformidad con el Artículo 4 de los Acuerdos SUGEF 4-04 “Reglamento sobre el Grupo Vinculado a la Entidad” y SUGEF-5-04 “Reglamento sobre límites de créditos a personas individuales y Grupos de Interés Económico”, </w:t>
      </w:r>
      <w:r w:rsidRPr="000028A3">
        <w:rPr>
          <w:rFonts w:cs="Arial"/>
          <w:b/>
          <w:bCs/>
          <w:i/>
          <w:iCs/>
          <w:sz w:val="24"/>
          <w:lang w:val="es-CR"/>
        </w:rPr>
        <w:t>se establece la responsabilidad a cada entidad</w:t>
      </w:r>
      <w:r w:rsidRPr="000028A3">
        <w:rPr>
          <w:rFonts w:cs="Arial"/>
          <w:sz w:val="24"/>
          <w:lang w:val="es-CR"/>
        </w:rPr>
        <w:t xml:space="preserve"> de identificar las vinculaciones por propiedad, gestión, financieras, administrativas y patrimoniales significativas a los que se refiere los acuerdos antes indicados.</w:t>
      </w:r>
    </w:p>
    <w:p w:rsidRPr="000028A3" w:rsidR="001E0549" w:rsidP="001E0549" w:rsidRDefault="001E0549" w14:paraId="64C0A848" w14:textId="77777777">
      <w:pPr>
        <w:spacing w:line="240" w:lineRule="auto"/>
        <w:ind w:left="567" w:hanging="567"/>
        <w:rPr>
          <w:rFonts w:cs="Arial"/>
          <w:sz w:val="24"/>
          <w:lang w:val="es-CR"/>
        </w:rPr>
      </w:pPr>
    </w:p>
    <w:p w:rsidRPr="000028A3" w:rsidR="001E0549" w:rsidP="001E0549" w:rsidRDefault="001E0549" w14:paraId="4E04B37D" w14:textId="77777777">
      <w:pPr>
        <w:numPr>
          <w:ilvl w:val="0"/>
          <w:numId w:val="11"/>
        </w:numPr>
        <w:spacing w:line="240" w:lineRule="auto"/>
        <w:ind w:left="567" w:hanging="567"/>
        <w:contextualSpacing/>
        <w:rPr>
          <w:rFonts w:cs="Arial"/>
          <w:sz w:val="24"/>
          <w:lang w:val="es-CR"/>
        </w:rPr>
      </w:pPr>
      <w:r w:rsidRPr="000028A3">
        <w:rPr>
          <w:rFonts w:cs="Arial"/>
          <w:sz w:val="24"/>
          <w:lang w:val="es-CR"/>
        </w:rPr>
        <w:t xml:space="preserve">La correcta identificación que realicen las entidades para la conformación de los Grupos de Interés Económico y del Grupo Vinculado a la Entidad, permitirá mantener una Base de Datos completa y ajustada para realizar una correcta verificación de los límites de créditos establecidos en el Artículo 135 de la Ley 7558 “Ley Orgánica del Banco Central de Costa Rica y sus reformas”. </w:t>
      </w:r>
    </w:p>
    <w:p w:rsidRPr="000028A3" w:rsidR="001E0549" w:rsidP="001E0549" w:rsidRDefault="001E0549" w14:paraId="25669A61" w14:textId="77777777">
      <w:pPr>
        <w:spacing w:line="240" w:lineRule="auto"/>
        <w:contextualSpacing/>
        <w:rPr>
          <w:rFonts w:cs="Arial"/>
          <w:sz w:val="24"/>
          <w:lang w:val="es-CR"/>
        </w:rPr>
      </w:pPr>
    </w:p>
    <w:p w:rsidRPr="000028A3" w:rsidR="001E0549" w:rsidP="001E0549" w:rsidRDefault="001E0549" w14:paraId="6C3D3827" w14:textId="77777777">
      <w:pPr>
        <w:numPr>
          <w:ilvl w:val="0"/>
          <w:numId w:val="11"/>
        </w:numPr>
        <w:spacing w:line="240" w:lineRule="auto"/>
        <w:ind w:left="567" w:hanging="567"/>
        <w:contextualSpacing/>
        <w:rPr>
          <w:rFonts w:cs="Arial"/>
          <w:sz w:val="24"/>
          <w:lang w:val="es-CR"/>
        </w:rPr>
      </w:pPr>
      <w:r w:rsidRPr="000028A3">
        <w:rPr>
          <w:rFonts w:cs="Arial"/>
          <w:sz w:val="24"/>
          <w:lang w:val="es-CR"/>
        </w:rPr>
        <w:t xml:space="preserve">En el 2017, la Autoridad de Conducta Financiera del Reino Unido (FCA) cuestionó la metodología de la London Interbank </w:t>
      </w:r>
      <w:proofErr w:type="spellStart"/>
      <w:r w:rsidRPr="000028A3">
        <w:rPr>
          <w:rFonts w:cs="Arial"/>
          <w:sz w:val="24"/>
          <w:lang w:val="es-CR"/>
        </w:rPr>
        <w:t>Offered</w:t>
      </w:r>
      <w:proofErr w:type="spellEnd"/>
      <w:r w:rsidRPr="000028A3">
        <w:rPr>
          <w:rFonts w:cs="Arial"/>
          <w:sz w:val="24"/>
          <w:lang w:val="es-CR"/>
        </w:rPr>
        <w:t xml:space="preserve"> </w:t>
      </w:r>
      <w:proofErr w:type="spellStart"/>
      <w:r w:rsidRPr="000028A3">
        <w:rPr>
          <w:rFonts w:cs="Arial"/>
          <w:sz w:val="24"/>
          <w:lang w:val="es-CR"/>
        </w:rPr>
        <w:t>Rate</w:t>
      </w:r>
      <w:proofErr w:type="spellEnd"/>
      <w:r w:rsidRPr="000028A3">
        <w:rPr>
          <w:rFonts w:cs="Arial"/>
          <w:sz w:val="24"/>
          <w:lang w:val="es-CR"/>
        </w:rPr>
        <w:t xml:space="preserve"> (conocida como tasa Libor), siendo ésta una </w:t>
      </w:r>
      <w:r w:rsidRPr="000028A3">
        <w:rPr>
          <w:rFonts w:cs="Arial"/>
          <w:sz w:val="24"/>
          <w:lang w:val="es-CR"/>
        </w:rPr>
        <w:lastRenderedPageBreak/>
        <w:t xml:space="preserve">de las tasas de interés de referencia más importantes del mundo. Lo anterior, en virtud de la manipulación experimentada en su fijación, por lo que propuso su desaparición con fecha límite el 31 de diciembre de 2021. Por tal motivo, como parte de las recomendaciones del </w:t>
      </w:r>
      <w:proofErr w:type="spellStart"/>
      <w:r w:rsidRPr="000028A3">
        <w:rPr>
          <w:rFonts w:cs="Arial"/>
          <w:sz w:val="24"/>
          <w:lang w:val="es-CR"/>
        </w:rPr>
        <w:t>Financial</w:t>
      </w:r>
      <w:proofErr w:type="spellEnd"/>
      <w:r w:rsidRPr="000028A3">
        <w:rPr>
          <w:rFonts w:cs="Arial"/>
          <w:sz w:val="24"/>
          <w:lang w:val="es-CR"/>
        </w:rPr>
        <w:t xml:space="preserve"> </w:t>
      </w:r>
      <w:proofErr w:type="spellStart"/>
      <w:r w:rsidRPr="000028A3">
        <w:rPr>
          <w:rFonts w:cs="Arial"/>
          <w:sz w:val="24"/>
          <w:lang w:val="es-CR"/>
        </w:rPr>
        <w:t>Stability</w:t>
      </w:r>
      <w:proofErr w:type="spellEnd"/>
      <w:r w:rsidRPr="000028A3">
        <w:rPr>
          <w:rFonts w:cs="Arial"/>
          <w:sz w:val="24"/>
          <w:lang w:val="es-CR"/>
        </w:rPr>
        <w:t xml:space="preserve"> </w:t>
      </w:r>
      <w:proofErr w:type="spellStart"/>
      <w:r w:rsidRPr="000028A3">
        <w:rPr>
          <w:rFonts w:cs="Arial"/>
          <w:sz w:val="24"/>
          <w:lang w:val="es-CR"/>
        </w:rPr>
        <w:t>Board</w:t>
      </w:r>
      <w:proofErr w:type="spellEnd"/>
      <w:r w:rsidRPr="000028A3">
        <w:rPr>
          <w:rFonts w:cs="Arial"/>
          <w:sz w:val="24"/>
          <w:lang w:val="es-CR"/>
        </w:rPr>
        <w:t xml:space="preserve"> (FSB), las autoridades financieras de las principales monedas del mundo han venido desarrollando proyectos para su sustitución progresiva.</w:t>
      </w:r>
    </w:p>
    <w:p w:rsidRPr="000028A3" w:rsidR="001E0549" w:rsidP="001E0549" w:rsidRDefault="001E0549" w14:paraId="03A023DC" w14:textId="77777777">
      <w:pPr>
        <w:spacing w:line="240" w:lineRule="auto"/>
        <w:ind w:left="567"/>
        <w:contextualSpacing/>
        <w:rPr>
          <w:rFonts w:cs="Arial"/>
          <w:sz w:val="24"/>
          <w:lang w:val="es-CR"/>
        </w:rPr>
      </w:pPr>
    </w:p>
    <w:p w:rsidRPr="000028A3" w:rsidR="001E0549" w:rsidP="001E0549" w:rsidRDefault="001E0549" w14:paraId="318C73C8" w14:textId="77777777">
      <w:pPr>
        <w:numPr>
          <w:ilvl w:val="0"/>
          <w:numId w:val="11"/>
        </w:numPr>
        <w:spacing w:line="240" w:lineRule="auto"/>
        <w:ind w:left="567" w:hanging="567"/>
        <w:contextualSpacing/>
        <w:rPr>
          <w:rFonts w:cs="Arial"/>
          <w:sz w:val="24"/>
          <w:lang w:val="es-CR"/>
        </w:rPr>
      </w:pPr>
      <w:r w:rsidRPr="000028A3">
        <w:rPr>
          <w:rFonts w:cs="Arial"/>
          <w:sz w:val="24"/>
          <w:lang w:val="es-CR"/>
        </w:rPr>
        <w:t>Como parte del proceso de transición está Superintendencia requirió a las entidades mediante circular SGF-0260-2021 del 29 de enero del 2021, presentar las medidas de preparación y estrategias que serán aplicadas por las entidades financieras supervisadas para efectuar el proceso de transición y adopción de una nueva tasa de referencia en reemplazo de la Libor.</w:t>
      </w:r>
    </w:p>
    <w:p w:rsidRPr="000028A3" w:rsidR="001E0549" w:rsidP="001E0549" w:rsidRDefault="001E0549" w14:paraId="744296B8" w14:textId="77777777">
      <w:pPr>
        <w:pStyle w:val="Prrafodelista"/>
        <w:rPr>
          <w:rFonts w:cs="Arial"/>
          <w:sz w:val="24"/>
          <w:lang w:val="es-CR"/>
        </w:rPr>
      </w:pPr>
    </w:p>
    <w:p w:rsidRPr="000028A3" w:rsidR="001E0549" w:rsidP="001E0549" w:rsidRDefault="001E0549" w14:paraId="399D1398" w14:textId="77777777">
      <w:pPr>
        <w:numPr>
          <w:ilvl w:val="0"/>
          <w:numId w:val="11"/>
        </w:numPr>
        <w:spacing w:line="240" w:lineRule="auto"/>
        <w:ind w:left="567" w:hanging="567"/>
        <w:contextualSpacing/>
        <w:rPr>
          <w:rFonts w:cs="Arial"/>
          <w:sz w:val="24"/>
          <w:lang w:val="es-CR"/>
        </w:rPr>
      </w:pPr>
      <w:r w:rsidRPr="000028A3">
        <w:rPr>
          <w:rFonts w:cs="Arial"/>
          <w:sz w:val="24"/>
          <w:lang w:val="es-CR"/>
        </w:rPr>
        <w:t>En respuesta al proceso requerido en el inciso anterior por esta Superintendencia, es necesario actualizar las tasas de referencias que las entidades han indicado que podrían utilizar en sustitución a la tasa Libor.</w:t>
      </w:r>
    </w:p>
    <w:p w:rsidRPr="000028A3" w:rsidR="001E0549" w:rsidP="001E0549" w:rsidRDefault="001E0549" w14:paraId="5A0586B5" w14:textId="5EA5DE15">
      <w:pPr>
        <w:spacing w:after="160" w:line="259" w:lineRule="auto"/>
        <w:jc w:val="left"/>
        <w:rPr>
          <w:rFonts w:cs="Arial"/>
          <w:b/>
          <w:sz w:val="24"/>
          <w:lang w:val="es-CR"/>
        </w:rPr>
      </w:pPr>
    </w:p>
    <w:p w:rsidRPr="000028A3" w:rsidR="001E0549" w:rsidP="001E0549" w:rsidRDefault="001E0549" w14:paraId="210DBB73" w14:textId="77777777">
      <w:pPr>
        <w:spacing w:line="240" w:lineRule="auto"/>
        <w:rPr>
          <w:rFonts w:cs="Arial"/>
          <w:b/>
          <w:sz w:val="24"/>
          <w:lang w:val="es-CR"/>
        </w:rPr>
      </w:pPr>
      <w:r w:rsidRPr="000028A3">
        <w:rPr>
          <w:rFonts w:cs="Arial"/>
          <w:b/>
          <w:sz w:val="24"/>
          <w:lang w:val="es-CR"/>
        </w:rPr>
        <w:t>Dispone:</w:t>
      </w:r>
    </w:p>
    <w:p w:rsidRPr="000028A3" w:rsidR="001E0549" w:rsidP="001E0549" w:rsidRDefault="001E0549" w14:paraId="26DD019F" w14:textId="77777777">
      <w:pPr>
        <w:spacing w:line="240" w:lineRule="auto"/>
        <w:rPr>
          <w:rFonts w:cs="Arial"/>
          <w:b/>
          <w:sz w:val="24"/>
          <w:lang w:val="es-CR"/>
        </w:rPr>
      </w:pPr>
    </w:p>
    <w:p w:rsidRPr="000028A3" w:rsidR="001E0549" w:rsidP="001E0549" w:rsidRDefault="001E0549" w14:paraId="0793F83F" w14:textId="77777777">
      <w:pPr>
        <w:pStyle w:val="Prrafodelista"/>
        <w:numPr>
          <w:ilvl w:val="0"/>
          <w:numId w:val="4"/>
        </w:numPr>
        <w:spacing w:line="240" w:lineRule="auto"/>
        <w:ind w:left="567" w:hanging="567"/>
        <w:rPr>
          <w:rFonts w:cs="Arial"/>
          <w:sz w:val="24"/>
          <w:lang w:val="es-CR"/>
        </w:rPr>
      </w:pPr>
      <w:r w:rsidRPr="000028A3">
        <w:rPr>
          <w:rFonts w:cs="Arial"/>
          <w:sz w:val="24"/>
          <w:lang w:val="es-CR"/>
        </w:rPr>
        <w:t>Realizar la unificación de los grupos de interés económico de todo el Sistema Financiero, en una Base de Datos según las vinculaciones reportadas por todas las entidades supervisadas. Lo anterior debido a la entrada en producción de la nueva Plataforma informática denominada “Sistema para la Conformación de Grupos de Interés Económico”.</w:t>
      </w:r>
    </w:p>
    <w:p w:rsidRPr="000028A3" w:rsidR="001E0549" w:rsidP="001E0549" w:rsidRDefault="001E0549" w14:paraId="52A7474D" w14:textId="77777777">
      <w:pPr>
        <w:spacing w:line="240" w:lineRule="auto"/>
        <w:rPr>
          <w:rFonts w:cs="Arial"/>
          <w:sz w:val="24"/>
          <w:lang w:val="es-CR"/>
        </w:rPr>
      </w:pPr>
    </w:p>
    <w:p w:rsidRPr="000028A3" w:rsidR="001E0549" w:rsidP="001E0549" w:rsidRDefault="001E0549" w14:paraId="76673A93" w14:textId="77777777">
      <w:pPr>
        <w:pStyle w:val="Prrafodelista"/>
        <w:numPr>
          <w:ilvl w:val="0"/>
          <w:numId w:val="4"/>
        </w:numPr>
        <w:spacing w:line="240" w:lineRule="auto"/>
        <w:ind w:left="567" w:hanging="567"/>
        <w:rPr>
          <w:rFonts w:cs="Arial"/>
          <w:sz w:val="24"/>
          <w:lang w:val="es-CR"/>
        </w:rPr>
      </w:pPr>
      <w:r w:rsidRPr="000028A3">
        <w:rPr>
          <w:rFonts w:cs="Arial"/>
          <w:sz w:val="24"/>
          <w:lang w:val="es-CR"/>
        </w:rPr>
        <w:t xml:space="preserve">Al utilizar el sistema indicado en el punto anterior, las entidades deben verificar la correcta conformación de los grupos de interés económico, así como el grupo vinculado que reportan en SICVECA, para lo cual deben de contar con una autorización vigente en el Centro de Información Crediticia, lo que le permitirá visualizar el nombre y grupo al cual pertenece cada uno de los clientes que reportan en SICVECA. </w:t>
      </w:r>
    </w:p>
    <w:p w:rsidRPr="000028A3" w:rsidR="001E0549" w:rsidP="001E0549" w:rsidRDefault="001E0549" w14:paraId="713EFEED" w14:textId="77777777">
      <w:pPr>
        <w:spacing w:line="240" w:lineRule="auto"/>
        <w:rPr>
          <w:rFonts w:cs="Arial"/>
          <w:sz w:val="24"/>
          <w:lang w:val="es-CR"/>
        </w:rPr>
      </w:pPr>
    </w:p>
    <w:p w:rsidRPr="000028A3" w:rsidR="001E0549" w:rsidP="001E0549" w:rsidRDefault="001E0549" w14:paraId="18C6CF19" w14:textId="77777777">
      <w:pPr>
        <w:pStyle w:val="Prrafodelista"/>
        <w:numPr>
          <w:ilvl w:val="0"/>
          <w:numId w:val="4"/>
        </w:numPr>
        <w:spacing w:line="240" w:lineRule="auto"/>
        <w:ind w:left="567" w:hanging="567"/>
        <w:rPr>
          <w:rFonts w:cs="Arial"/>
          <w:sz w:val="24"/>
          <w:lang w:val="es-CR"/>
        </w:rPr>
      </w:pPr>
      <w:r w:rsidRPr="000028A3">
        <w:rPr>
          <w:rFonts w:cs="Arial"/>
          <w:sz w:val="24"/>
          <w:lang w:val="es-CR"/>
        </w:rPr>
        <w:t xml:space="preserve">Comunicar a las entidades que con el fin de generar una correcta verificación de límites de crédito, en cumplimiento con lo establecido en el Artículo 135 de la Ley 7558 indicada anteriormente, se implementaron las siguientes dos validaciones en la clase de datos Crediticio, específicamente en el XML Deudores, con el fin de confirmar que el dato que las entidades registran en el campo </w:t>
      </w:r>
      <w:proofErr w:type="spellStart"/>
      <w:r w:rsidRPr="000028A3">
        <w:rPr>
          <w:rFonts w:cs="Arial"/>
          <w:sz w:val="24"/>
          <w:lang w:val="es-CR"/>
        </w:rPr>
        <w:t>IDGrupo</w:t>
      </w:r>
      <w:proofErr w:type="spellEnd"/>
      <w:r w:rsidRPr="000028A3">
        <w:rPr>
          <w:rFonts w:cs="Arial"/>
          <w:sz w:val="24"/>
          <w:lang w:val="es-CR"/>
        </w:rPr>
        <w:t xml:space="preserve"> e </w:t>
      </w:r>
      <w:proofErr w:type="spellStart"/>
      <w:r w:rsidRPr="000028A3">
        <w:rPr>
          <w:rFonts w:cs="Arial"/>
          <w:sz w:val="24"/>
          <w:lang w:val="es-CR"/>
        </w:rPr>
        <w:t>IndicadorVinculadoEntidad</w:t>
      </w:r>
      <w:proofErr w:type="spellEnd"/>
      <w:r w:rsidRPr="000028A3">
        <w:rPr>
          <w:rFonts w:cs="Arial"/>
          <w:sz w:val="24"/>
          <w:lang w:val="es-CR"/>
        </w:rPr>
        <w:t>, corresponde a la misma información que se mantiene registrada en la base de datos de esta Superintendencia:</w:t>
      </w:r>
    </w:p>
    <w:p w:rsidRPr="000028A3" w:rsidR="001E0549" w:rsidP="001E0549" w:rsidRDefault="001E0549" w14:paraId="1E03B572" w14:textId="77777777">
      <w:pPr>
        <w:spacing w:line="240" w:lineRule="auto"/>
        <w:rPr>
          <w:rFonts w:cs="Arial"/>
          <w:sz w:val="24"/>
          <w:lang w:val="es-CR"/>
        </w:rPr>
      </w:pPr>
    </w:p>
    <w:p w:rsidRPr="000028A3" w:rsidR="001E0549" w:rsidP="001E0549" w:rsidRDefault="001E0549" w14:paraId="0F549535" w14:textId="77777777">
      <w:pPr>
        <w:spacing w:line="240" w:lineRule="auto"/>
        <w:ind w:left="1134" w:hanging="567"/>
        <w:rPr>
          <w:rFonts w:cs="Arial"/>
          <w:sz w:val="24"/>
          <w:lang w:val="es-CR"/>
        </w:rPr>
      </w:pPr>
      <w:r w:rsidRPr="000028A3">
        <w:rPr>
          <w:rFonts w:cs="Arial"/>
          <w:b/>
          <w:bCs/>
          <w:sz w:val="24"/>
          <w:lang w:val="es-CR"/>
        </w:rPr>
        <w:t>60.</w:t>
      </w:r>
      <w:r w:rsidRPr="000028A3">
        <w:rPr>
          <w:rFonts w:cs="Arial"/>
          <w:sz w:val="24"/>
          <w:lang w:val="es-CR"/>
        </w:rPr>
        <w:tab/>
        <w:t xml:space="preserve">Para cada </w:t>
      </w:r>
      <w:proofErr w:type="spellStart"/>
      <w:r w:rsidRPr="000028A3">
        <w:rPr>
          <w:rFonts w:cs="Arial"/>
          <w:sz w:val="24"/>
          <w:lang w:val="es-CR"/>
        </w:rPr>
        <w:t>IdDeudor</w:t>
      </w:r>
      <w:proofErr w:type="spellEnd"/>
      <w:r w:rsidRPr="000028A3">
        <w:rPr>
          <w:rFonts w:cs="Arial"/>
          <w:sz w:val="24"/>
          <w:lang w:val="es-CR"/>
        </w:rPr>
        <w:t xml:space="preserve"> y </w:t>
      </w:r>
      <w:proofErr w:type="spellStart"/>
      <w:r w:rsidRPr="000028A3">
        <w:rPr>
          <w:rFonts w:cs="Arial"/>
          <w:sz w:val="24"/>
          <w:lang w:val="es-CR"/>
        </w:rPr>
        <w:t>TipoPersonaDeudor</w:t>
      </w:r>
      <w:proofErr w:type="spellEnd"/>
      <w:r w:rsidRPr="000028A3">
        <w:rPr>
          <w:rFonts w:cs="Arial"/>
          <w:sz w:val="24"/>
          <w:lang w:val="es-CR"/>
        </w:rPr>
        <w:t xml:space="preserve"> que conforme parte de un Grupo de Interés Económico, el valor del campo </w:t>
      </w:r>
      <w:proofErr w:type="spellStart"/>
      <w:r w:rsidRPr="000028A3">
        <w:rPr>
          <w:rFonts w:cs="Arial"/>
          <w:sz w:val="24"/>
          <w:lang w:val="es-CR"/>
        </w:rPr>
        <w:t>IdGrupo</w:t>
      </w:r>
      <w:proofErr w:type="spellEnd"/>
      <w:r w:rsidRPr="000028A3">
        <w:rPr>
          <w:rFonts w:cs="Arial"/>
          <w:sz w:val="24"/>
          <w:lang w:val="es-CR"/>
        </w:rPr>
        <w:t xml:space="preserve"> debe coincidir con el número de GIE que le fue asignado en la SUGEF mediante nota o mediante el Sistema Automatizado de Grupos de Interés Económico y Grupo Vinculado. </w:t>
      </w:r>
    </w:p>
    <w:p w:rsidRPr="000028A3" w:rsidR="001E0549" w:rsidP="001E0549" w:rsidRDefault="001E0549" w14:paraId="3AECCDF9" w14:textId="77777777">
      <w:pPr>
        <w:spacing w:line="240" w:lineRule="auto"/>
        <w:ind w:left="1134" w:hanging="567"/>
        <w:rPr>
          <w:rFonts w:cs="Arial"/>
          <w:sz w:val="24"/>
          <w:lang w:val="es-CR"/>
        </w:rPr>
      </w:pPr>
      <w:r w:rsidRPr="000028A3">
        <w:rPr>
          <w:rFonts w:cs="Arial"/>
          <w:sz w:val="24"/>
          <w:lang w:val="es-CR"/>
        </w:rPr>
        <w:tab/>
      </w:r>
      <w:r w:rsidRPr="000028A3">
        <w:rPr>
          <w:rFonts w:cs="Arial"/>
          <w:b/>
          <w:bCs/>
          <w:sz w:val="24"/>
          <w:lang w:val="es-CR"/>
        </w:rPr>
        <w:t>Nota:</w:t>
      </w:r>
      <w:r w:rsidRPr="000028A3">
        <w:rPr>
          <w:rFonts w:cs="Arial"/>
          <w:sz w:val="24"/>
          <w:lang w:val="es-CR"/>
        </w:rPr>
        <w:t xml:space="preserve"> Para verificar el dato del </w:t>
      </w:r>
      <w:proofErr w:type="spellStart"/>
      <w:r w:rsidRPr="000028A3">
        <w:rPr>
          <w:rFonts w:cs="Arial"/>
          <w:sz w:val="24"/>
          <w:lang w:val="es-CR"/>
        </w:rPr>
        <w:t>IdGrupo</w:t>
      </w:r>
      <w:proofErr w:type="spellEnd"/>
      <w:r w:rsidRPr="000028A3">
        <w:rPr>
          <w:rFonts w:cs="Arial"/>
          <w:sz w:val="24"/>
          <w:lang w:val="es-CR"/>
        </w:rPr>
        <w:t xml:space="preserve"> puede utilizar la opción “Búsqueda” de la persona en el Sistema Automatizado de Grupos de Interés Económicos y Grupos Vinculado.</w:t>
      </w:r>
    </w:p>
    <w:p w:rsidRPr="000028A3" w:rsidR="001E0549" w:rsidP="001E0549" w:rsidRDefault="001E0549" w14:paraId="29A69A62" w14:textId="77777777">
      <w:pPr>
        <w:spacing w:line="240" w:lineRule="auto"/>
        <w:ind w:left="1134" w:hanging="567"/>
        <w:rPr>
          <w:rFonts w:cs="Arial"/>
          <w:sz w:val="24"/>
          <w:lang w:val="es-CR"/>
        </w:rPr>
      </w:pPr>
      <w:r w:rsidRPr="000028A3">
        <w:rPr>
          <w:rFonts w:cs="Arial"/>
          <w:sz w:val="24"/>
          <w:lang w:val="es-CR"/>
        </w:rPr>
        <w:tab/>
        <w:t>Validación vigente a partir del corte de noviembre 2021 inclusive.</w:t>
      </w:r>
    </w:p>
    <w:p w:rsidRPr="000028A3" w:rsidR="001E0549" w:rsidP="001E0549" w:rsidRDefault="001E0549" w14:paraId="777D5BAB" w14:textId="77777777">
      <w:pPr>
        <w:spacing w:line="240" w:lineRule="auto"/>
        <w:ind w:left="1134" w:hanging="567"/>
        <w:rPr>
          <w:rFonts w:cs="Arial"/>
          <w:sz w:val="24"/>
          <w:lang w:val="es-CR"/>
        </w:rPr>
      </w:pPr>
      <w:r w:rsidRPr="000028A3">
        <w:rPr>
          <w:rFonts w:cs="Arial"/>
          <w:b/>
          <w:bCs/>
          <w:sz w:val="24"/>
          <w:lang w:val="es-CR"/>
        </w:rPr>
        <w:lastRenderedPageBreak/>
        <w:t>61.</w:t>
      </w:r>
      <w:r w:rsidRPr="000028A3">
        <w:rPr>
          <w:rFonts w:cs="Arial"/>
          <w:sz w:val="24"/>
          <w:lang w:val="es-CR"/>
        </w:rPr>
        <w:tab/>
        <w:t>Cuando el dato del campo "</w:t>
      </w:r>
      <w:proofErr w:type="spellStart"/>
      <w:r w:rsidRPr="000028A3">
        <w:rPr>
          <w:rFonts w:cs="Arial"/>
          <w:sz w:val="24"/>
          <w:lang w:val="es-CR"/>
        </w:rPr>
        <w:t>IndicadorVinculadoEntidad</w:t>
      </w:r>
      <w:proofErr w:type="spellEnd"/>
      <w:r w:rsidRPr="000028A3">
        <w:rPr>
          <w:rFonts w:cs="Arial"/>
          <w:sz w:val="24"/>
          <w:lang w:val="es-CR"/>
        </w:rPr>
        <w:t>" es igual "V", el deudor [Tipo Persona Deudor, Deudor], debe estar registrado en la Base de datos de Grupo Vinculado.</w:t>
      </w:r>
    </w:p>
    <w:p w:rsidRPr="000028A3" w:rsidR="001E0549" w:rsidP="001E0549" w:rsidRDefault="001E0549" w14:paraId="1F32A68F" w14:textId="77777777">
      <w:pPr>
        <w:spacing w:line="240" w:lineRule="auto"/>
        <w:ind w:left="1134" w:hanging="567"/>
        <w:rPr>
          <w:rFonts w:cs="Arial"/>
          <w:sz w:val="24"/>
          <w:lang w:val="es-CR"/>
        </w:rPr>
      </w:pPr>
      <w:r w:rsidRPr="000028A3">
        <w:rPr>
          <w:rFonts w:cs="Arial"/>
          <w:sz w:val="24"/>
          <w:lang w:val="es-CR"/>
        </w:rPr>
        <w:tab/>
        <w:t>Validación vigente a partir del corte de noviembre 2021 inclusive.</w:t>
      </w:r>
    </w:p>
    <w:p w:rsidRPr="000028A3" w:rsidR="001E0549" w:rsidP="001E0549" w:rsidRDefault="001E0549" w14:paraId="752C841A" w14:textId="77777777">
      <w:pPr>
        <w:spacing w:line="240" w:lineRule="auto"/>
        <w:rPr>
          <w:rFonts w:cs="Arial"/>
          <w:sz w:val="24"/>
          <w:lang w:val="es-CR"/>
        </w:rPr>
      </w:pPr>
    </w:p>
    <w:p w:rsidRPr="000028A3" w:rsidR="001E0549" w:rsidP="001E0549" w:rsidRDefault="001E0549" w14:paraId="47D4D693" w14:textId="77777777">
      <w:pPr>
        <w:spacing w:line="240" w:lineRule="auto"/>
        <w:rPr>
          <w:rFonts w:cs="Arial"/>
          <w:sz w:val="24"/>
          <w:lang w:val="es-CR"/>
        </w:rPr>
      </w:pPr>
      <w:r w:rsidRPr="000028A3">
        <w:rPr>
          <w:rFonts w:cs="Arial"/>
          <w:sz w:val="24"/>
          <w:lang w:val="es-CR"/>
        </w:rPr>
        <w:t xml:space="preserve">Las disposiciones anteriores entrarán en </w:t>
      </w:r>
      <w:r w:rsidRPr="000028A3">
        <w:rPr>
          <w:rFonts w:cs="Arial"/>
          <w:b/>
          <w:bCs/>
          <w:sz w:val="24"/>
          <w:lang w:val="es-CR"/>
        </w:rPr>
        <w:t>vigencia</w:t>
      </w:r>
      <w:r w:rsidRPr="000028A3">
        <w:rPr>
          <w:rFonts w:cs="Arial"/>
          <w:sz w:val="24"/>
          <w:lang w:val="es-CR"/>
        </w:rPr>
        <w:t xml:space="preserve"> con la información crediticia al corte de </w:t>
      </w:r>
      <w:proofErr w:type="gramStart"/>
      <w:r w:rsidRPr="000028A3">
        <w:rPr>
          <w:rFonts w:cs="Arial"/>
          <w:sz w:val="24"/>
          <w:lang w:val="es-CR"/>
        </w:rPr>
        <w:t>Noviembre</w:t>
      </w:r>
      <w:proofErr w:type="gramEnd"/>
      <w:r w:rsidRPr="000028A3">
        <w:rPr>
          <w:rFonts w:cs="Arial"/>
          <w:sz w:val="24"/>
          <w:lang w:val="es-CR"/>
        </w:rPr>
        <w:t xml:space="preserve"> 2021.</w:t>
      </w:r>
    </w:p>
    <w:p w:rsidRPr="000028A3" w:rsidR="001E0549" w:rsidP="001E0549" w:rsidRDefault="001E0549" w14:paraId="4B38AC6E" w14:textId="77777777">
      <w:pPr>
        <w:spacing w:line="240" w:lineRule="auto"/>
        <w:rPr>
          <w:rFonts w:cs="Arial"/>
          <w:sz w:val="24"/>
          <w:lang w:val="es-CR"/>
        </w:rPr>
      </w:pPr>
    </w:p>
    <w:p w:rsidRPr="000028A3" w:rsidR="001E0549" w:rsidP="001E0549" w:rsidRDefault="001E0549" w14:paraId="583BC86F" w14:textId="77777777">
      <w:pPr>
        <w:pStyle w:val="Prrafodelista"/>
        <w:numPr>
          <w:ilvl w:val="0"/>
          <w:numId w:val="4"/>
        </w:numPr>
        <w:spacing w:line="240" w:lineRule="auto"/>
        <w:ind w:left="567" w:hanging="567"/>
        <w:rPr>
          <w:rFonts w:eastAsia="Cambria" w:cs="Arial"/>
          <w:b/>
          <w:sz w:val="24"/>
          <w:lang w:val="es-CR"/>
        </w:rPr>
      </w:pPr>
      <w:r w:rsidRPr="000028A3">
        <w:rPr>
          <w:rFonts w:cs="Arial"/>
          <w:sz w:val="24"/>
          <w:lang w:val="es-CR"/>
        </w:rPr>
        <w:t>Actualizar la tabla “</w:t>
      </w:r>
      <w:proofErr w:type="spellStart"/>
      <w:r w:rsidRPr="000028A3">
        <w:rPr>
          <w:b/>
          <w:bCs/>
          <w:sz w:val="24"/>
        </w:rPr>
        <w:t>T</w:t>
      </w:r>
      <w:r w:rsidRPr="000028A3">
        <w:rPr>
          <w:b/>
          <w:bCs/>
          <w:color w:val="000000"/>
          <w:sz w:val="24"/>
          <w:shd w:val="clear" w:color="auto" w:fill="FFFFFF"/>
        </w:rPr>
        <w:t>ipo_Interes_Referencia_Tasa_Variable</w:t>
      </w:r>
      <w:proofErr w:type="spellEnd"/>
      <w:r w:rsidRPr="000028A3">
        <w:rPr>
          <w:b/>
          <w:bCs/>
          <w:color w:val="000000"/>
          <w:sz w:val="24"/>
          <w:shd w:val="clear" w:color="auto" w:fill="FFFFFF"/>
        </w:rPr>
        <w:t xml:space="preserve">”, </w:t>
      </w:r>
      <w:r w:rsidRPr="000028A3">
        <w:rPr>
          <w:color w:val="000000"/>
          <w:sz w:val="24"/>
          <w:shd w:val="clear" w:color="auto" w:fill="FFFFFF"/>
        </w:rPr>
        <w:t>con los códigos del 9 al 18 y una columna de estado [activo, inactivo], quedando</w:t>
      </w:r>
      <w:r w:rsidRPr="000028A3">
        <w:rPr>
          <w:b/>
          <w:bCs/>
          <w:color w:val="000000"/>
          <w:sz w:val="24"/>
          <w:shd w:val="clear" w:color="auto" w:fill="FFFFFF"/>
        </w:rPr>
        <w:t xml:space="preserve"> </w:t>
      </w:r>
      <w:r w:rsidRPr="000028A3">
        <w:rPr>
          <w:color w:val="000000"/>
          <w:sz w:val="24"/>
          <w:shd w:val="clear" w:color="auto" w:fill="FFFFFF"/>
        </w:rPr>
        <w:t>de la siguiente manera:</w:t>
      </w:r>
    </w:p>
    <w:p w:rsidRPr="000028A3" w:rsidR="001E0549" w:rsidP="001E0549" w:rsidRDefault="001E0549" w14:paraId="08852750" w14:textId="77777777">
      <w:pPr>
        <w:pStyle w:val="Texto"/>
        <w:spacing w:before="0" w:after="0" w:line="240" w:lineRule="auto"/>
        <w:rPr>
          <w:rFonts w:cs="Arial"/>
          <w:sz w:val="24"/>
          <w:lang w:val="es-CR"/>
        </w:rPr>
      </w:pPr>
    </w:p>
    <w:tbl>
      <w:tblPr>
        <w:tblW w:w="5456" w:type="dxa"/>
        <w:jc w:val="center"/>
        <w:tblCellMar>
          <w:left w:w="70" w:type="dxa"/>
          <w:right w:w="70" w:type="dxa"/>
        </w:tblCellMar>
        <w:tblLook w:val="04A0" w:firstRow="1" w:lastRow="0" w:firstColumn="1" w:lastColumn="0" w:noHBand="0" w:noVBand="1"/>
      </w:tblPr>
      <w:tblGrid>
        <w:gridCol w:w="1560"/>
        <w:gridCol w:w="2776"/>
        <w:gridCol w:w="1127"/>
      </w:tblGrid>
      <w:tr w:rsidRPr="000028A3" w:rsidR="001E0549" w:rsidTr="001E0549" w14:paraId="4739F05B" w14:textId="77777777">
        <w:trPr>
          <w:trHeight w:val="20"/>
          <w:jc w:val="center"/>
        </w:trPr>
        <w:tc>
          <w:tcPr>
            <w:tcW w:w="1560" w:type="dxa"/>
            <w:tcBorders>
              <w:top w:val="single" w:color="auto" w:sz="4" w:space="0"/>
              <w:left w:val="single" w:color="auto" w:sz="4" w:space="0"/>
              <w:bottom w:val="single" w:color="auto" w:sz="4" w:space="0"/>
              <w:right w:val="single" w:color="auto" w:sz="4" w:space="0"/>
            </w:tcBorders>
            <w:shd w:val="clear" w:color="000000" w:fill="0070C0"/>
            <w:noWrap/>
            <w:vAlign w:val="center"/>
            <w:hideMark/>
          </w:tcPr>
          <w:p w:rsidRPr="000028A3" w:rsidR="001E0549" w:rsidP="00323047" w:rsidRDefault="001E0549" w14:paraId="7741EB7F" w14:textId="77777777">
            <w:pPr>
              <w:spacing w:line="240" w:lineRule="auto"/>
              <w:jc w:val="center"/>
              <w:rPr>
                <w:rFonts w:ascii="Microsoft Sans Serif" w:hAnsi="Microsoft Sans Serif" w:cs="Microsoft Sans Serif"/>
                <w:color w:val="FFFFFF"/>
                <w:sz w:val="24"/>
                <w:lang w:val="es-CR" w:eastAsia="es-CR"/>
              </w:rPr>
            </w:pPr>
            <w:r w:rsidRPr="000028A3">
              <w:rPr>
                <w:rFonts w:ascii="Microsoft Sans Serif" w:hAnsi="Microsoft Sans Serif" w:cs="Microsoft Sans Serif"/>
                <w:color w:val="FFFFFF"/>
                <w:sz w:val="24"/>
                <w:lang w:val="es-CR" w:eastAsia="es-CR"/>
              </w:rPr>
              <w:t>C TIPO INTERES</w:t>
            </w:r>
          </w:p>
        </w:tc>
        <w:tc>
          <w:tcPr>
            <w:tcW w:w="2776" w:type="dxa"/>
            <w:tcBorders>
              <w:top w:val="single" w:color="auto" w:sz="4" w:space="0"/>
              <w:left w:val="nil"/>
              <w:bottom w:val="single" w:color="auto" w:sz="4" w:space="0"/>
              <w:right w:val="single" w:color="auto" w:sz="4" w:space="0"/>
            </w:tcBorders>
            <w:shd w:val="clear" w:color="000000" w:fill="0070C0"/>
            <w:noWrap/>
            <w:vAlign w:val="center"/>
            <w:hideMark/>
          </w:tcPr>
          <w:p w:rsidRPr="000028A3" w:rsidR="001E0549" w:rsidP="00323047" w:rsidRDefault="001E0549" w14:paraId="36F45342" w14:textId="77777777">
            <w:pPr>
              <w:spacing w:line="240" w:lineRule="auto"/>
              <w:jc w:val="center"/>
              <w:rPr>
                <w:rFonts w:ascii="Microsoft Sans Serif" w:hAnsi="Microsoft Sans Serif" w:cs="Microsoft Sans Serif"/>
                <w:color w:val="FFFFFF"/>
                <w:sz w:val="24"/>
                <w:lang w:val="es-CR" w:eastAsia="es-CR"/>
              </w:rPr>
            </w:pPr>
            <w:r w:rsidRPr="000028A3">
              <w:rPr>
                <w:rFonts w:ascii="Microsoft Sans Serif" w:hAnsi="Microsoft Sans Serif" w:cs="Microsoft Sans Serif"/>
                <w:color w:val="FFFFFF"/>
                <w:sz w:val="24"/>
                <w:lang w:val="es-CR" w:eastAsia="es-CR"/>
              </w:rPr>
              <w:t>NOMBRE TIPO INTERES</w:t>
            </w:r>
          </w:p>
        </w:tc>
        <w:tc>
          <w:tcPr>
            <w:tcW w:w="1120" w:type="dxa"/>
            <w:tcBorders>
              <w:top w:val="single" w:color="auto" w:sz="4" w:space="0"/>
              <w:left w:val="nil"/>
              <w:bottom w:val="single" w:color="auto" w:sz="4" w:space="0"/>
              <w:right w:val="single" w:color="auto" w:sz="4" w:space="0"/>
            </w:tcBorders>
            <w:shd w:val="clear" w:color="000000" w:fill="0070C0"/>
            <w:noWrap/>
            <w:vAlign w:val="center"/>
            <w:hideMark/>
          </w:tcPr>
          <w:p w:rsidRPr="000028A3" w:rsidR="001E0549" w:rsidP="00323047" w:rsidRDefault="001E0549" w14:paraId="562AE903" w14:textId="77777777">
            <w:pPr>
              <w:spacing w:line="240" w:lineRule="auto"/>
              <w:jc w:val="center"/>
              <w:rPr>
                <w:rFonts w:ascii="Microsoft Sans Serif" w:hAnsi="Microsoft Sans Serif" w:cs="Microsoft Sans Serif"/>
                <w:color w:val="FFFFFF"/>
                <w:sz w:val="24"/>
                <w:lang w:val="es-CR" w:eastAsia="es-CR"/>
              </w:rPr>
            </w:pPr>
            <w:r w:rsidRPr="000028A3">
              <w:rPr>
                <w:rFonts w:ascii="Microsoft Sans Serif" w:hAnsi="Microsoft Sans Serif" w:cs="Microsoft Sans Serif"/>
                <w:color w:val="FFFFFF"/>
                <w:sz w:val="24"/>
                <w:lang w:val="es-CR" w:eastAsia="es-CR"/>
              </w:rPr>
              <w:t>ESTADO</w:t>
            </w:r>
          </w:p>
        </w:tc>
      </w:tr>
      <w:tr w:rsidRPr="000028A3" w:rsidR="001E0549" w:rsidTr="001E0549" w14:paraId="1087E942"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14C6ABDA"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24BB870A" w14:textId="77777777">
            <w:pPr>
              <w:spacing w:line="240" w:lineRule="auto"/>
              <w:rPr>
                <w:rFonts w:cs="Calibri"/>
                <w:color w:val="000000"/>
                <w:sz w:val="24"/>
                <w:lang w:val="es-CR" w:eastAsia="es-CR"/>
              </w:rPr>
            </w:pPr>
            <w:r w:rsidRPr="000028A3">
              <w:rPr>
                <w:rFonts w:cs="Calibri"/>
                <w:color w:val="000000"/>
                <w:sz w:val="24"/>
                <w:lang w:val="es-CR" w:eastAsia="es-CR"/>
              </w:rPr>
              <w:t>Libor 3 meses</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493850FE"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0BBBE16E"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490C394E"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2</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74FF453E" w14:textId="77777777">
            <w:pPr>
              <w:spacing w:line="240" w:lineRule="auto"/>
              <w:rPr>
                <w:rFonts w:cs="Calibri"/>
                <w:color w:val="000000"/>
                <w:sz w:val="24"/>
                <w:lang w:val="es-CR" w:eastAsia="es-CR"/>
              </w:rPr>
            </w:pPr>
            <w:r w:rsidRPr="000028A3">
              <w:rPr>
                <w:rFonts w:cs="Calibri"/>
                <w:color w:val="000000"/>
                <w:sz w:val="24"/>
                <w:lang w:val="es-CR" w:eastAsia="es-CR"/>
              </w:rPr>
              <w:t>Libor 6 meses</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0010488C"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24479221"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41C3DFC7"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3</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126C99E0" w14:textId="77777777">
            <w:pPr>
              <w:spacing w:line="240" w:lineRule="auto"/>
              <w:rPr>
                <w:rFonts w:cs="Calibri"/>
                <w:color w:val="000000"/>
                <w:sz w:val="24"/>
                <w:lang w:val="es-CR" w:eastAsia="es-CR"/>
              </w:rPr>
            </w:pPr>
            <w:r w:rsidRPr="000028A3">
              <w:rPr>
                <w:rFonts w:cs="Calibri"/>
                <w:color w:val="000000"/>
                <w:sz w:val="24"/>
                <w:lang w:val="es-CR" w:eastAsia="es-CR"/>
              </w:rPr>
              <w:t xml:space="preserve">Prime </w:t>
            </w:r>
            <w:proofErr w:type="spellStart"/>
            <w:r w:rsidRPr="000028A3">
              <w:rPr>
                <w:rFonts w:cs="Calibri"/>
                <w:color w:val="000000"/>
                <w:sz w:val="24"/>
                <w:lang w:val="es-CR" w:eastAsia="es-CR"/>
              </w:rPr>
              <w:t>Rate</w:t>
            </w:r>
            <w:proofErr w:type="spellEnd"/>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6B57D9B3"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1D0C3604"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68BDB741"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4</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512C2C74" w14:textId="77777777">
            <w:pPr>
              <w:spacing w:line="240" w:lineRule="auto"/>
              <w:rPr>
                <w:rFonts w:cs="Calibri"/>
                <w:color w:val="000000"/>
                <w:sz w:val="24"/>
                <w:lang w:val="es-CR" w:eastAsia="es-CR"/>
              </w:rPr>
            </w:pPr>
            <w:r w:rsidRPr="000028A3">
              <w:rPr>
                <w:rFonts w:cs="Calibri"/>
                <w:color w:val="000000"/>
                <w:sz w:val="24"/>
                <w:lang w:val="es-CR" w:eastAsia="es-CR"/>
              </w:rPr>
              <w:t>Tasa Básica Pasiva BCCR</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26B230F0"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43894AE9"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7880EE39"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5</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053FF872" w14:textId="77777777">
            <w:pPr>
              <w:spacing w:line="240" w:lineRule="auto"/>
              <w:rPr>
                <w:rFonts w:cs="Calibri"/>
                <w:color w:val="000000"/>
                <w:sz w:val="24"/>
                <w:lang w:val="es-CR" w:eastAsia="es-CR"/>
              </w:rPr>
            </w:pPr>
            <w:r w:rsidRPr="000028A3">
              <w:rPr>
                <w:rFonts w:cs="Calibri"/>
                <w:color w:val="000000"/>
                <w:sz w:val="24"/>
                <w:lang w:val="es-CR" w:eastAsia="es-CR"/>
              </w:rPr>
              <w:t>Tasa Política Monetaria CR</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022AEB16"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4FF21FCB"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050BB507"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6</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2D2C72A2" w14:textId="77777777">
            <w:pPr>
              <w:spacing w:line="240" w:lineRule="auto"/>
              <w:rPr>
                <w:rFonts w:cs="Calibri"/>
                <w:color w:val="000000"/>
                <w:sz w:val="24"/>
                <w:lang w:val="es-CR" w:eastAsia="es-CR"/>
              </w:rPr>
            </w:pPr>
            <w:r w:rsidRPr="000028A3">
              <w:rPr>
                <w:rFonts w:cs="Calibri"/>
                <w:color w:val="000000"/>
                <w:sz w:val="24"/>
                <w:lang w:val="es-CR" w:eastAsia="es-CR"/>
              </w:rPr>
              <w:t>Tasa Redescuento BCCR</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1D368752"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72089413"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16BA81C5"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7</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0C111FF0" w14:textId="77777777">
            <w:pPr>
              <w:spacing w:line="240" w:lineRule="auto"/>
              <w:rPr>
                <w:rFonts w:cs="Calibri"/>
                <w:color w:val="000000"/>
                <w:sz w:val="24"/>
                <w:lang w:val="es-CR" w:eastAsia="es-CR"/>
              </w:rPr>
            </w:pPr>
            <w:r w:rsidRPr="000028A3">
              <w:rPr>
                <w:rFonts w:cs="Calibri"/>
                <w:color w:val="000000"/>
                <w:sz w:val="24"/>
                <w:lang w:val="es-CR" w:eastAsia="es-CR"/>
              </w:rPr>
              <w:t>Otra</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0802E49A"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69D133B5"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4E259C94"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8</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13F4C764" w14:textId="77777777">
            <w:pPr>
              <w:spacing w:line="240" w:lineRule="auto"/>
              <w:rPr>
                <w:rFonts w:cs="Calibri"/>
                <w:color w:val="000000"/>
                <w:sz w:val="24"/>
                <w:lang w:val="es-CR" w:eastAsia="es-CR"/>
              </w:rPr>
            </w:pPr>
            <w:r w:rsidRPr="000028A3">
              <w:rPr>
                <w:rFonts w:cs="Calibri"/>
                <w:color w:val="000000"/>
                <w:sz w:val="24"/>
                <w:lang w:val="es-CR" w:eastAsia="es-CR"/>
              </w:rPr>
              <w:t>Sin tasa de referencia</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3091F0D7"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3193AB4F"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19B98B29"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9</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7E1C66A7" w14:textId="77777777">
            <w:pPr>
              <w:spacing w:line="240" w:lineRule="auto"/>
              <w:rPr>
                <w:rFonts w:cs="Calibri"/>
                <w:color w:val="000000"/>
                <w:sz w:val="24"/>
                <w:lang w:val="es-CR" w:eastAsia="es-CR"/>
              </w:rPr>
            </w:pPr>
            <w:r w:rsidRPr="000028A3">
              <w:rPr>
                <w:rFonts w:cs="Calibri"/>
                <w:color w:val="000000"/>
                <w:sz w:val="24"/>
                <w:lang w:val="es-CR" w:eastAsia="es-CR"/>
              </w:rPr>
              <w:t>Tasa SOFR</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229B0ECE"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3DBA8EC5"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091FD191"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10</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24B74F51" w14:textId="77777777">
            <w:pPr>
              <w:spacing w:line="240" w:lineRule="auto"/>
              <w:rPr>
                <w:rFonts w:cs="Calibri"/>
                <w:color w:val="000000"/>
                <w:sz w:val="24"/>
                <w:lang w:val="es-CR" w:eastAsia="es-CR"/>
              </w:rPr>
            </w:pPr>
            <w:r w:rsidRPr="000028A3">
              <w:rPr>
                <w:rFonts w:cs="Calibri"/>
                <w:color w:val="000000"/>
                <w:sz w:val="24"/>
                <w:lang w:val="es-CR" w:eastAsia="es-CR"/>
              </w:rPr>
              <w:t>TRI 1 Semana</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276A8D46"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343F06A7"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3903FB53"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11</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68CD7E3C" w14:textId="77777777">
            <w:pPr>
              <w:spacing w:line="240" w:lineRule="auto"/>
              <w:rPr>
                <w:rFonts w:cs="Calibri"/>
                <w:color w:val="000000"/>
                <w:sz w:val="24"/>
                <w:lang w:val="es-CR" w:eastAsia="es-CR"/>
              </w:rPr>
            </w:pPr>
            <w:r w:rsidRPr="000028A3">
              <w:rPr>
                <w:rFonts w:cs="Calibri"/>
                <w:color w:val="000000"/>
                <w:sz w:val="24"/>
                <w:lang w:val="es-CR" w:eastAsia="es-CR"/>
              </w:rPr>
              <w:t>TRI 1 Mes</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2E70B0E5"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45D7A3BC"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70EEF6C1"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12</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1A7D2BE6" w14:textId="77777777">
            <w:pPr>
              <w:spacing w:line="240" w:lineRule="auto"/>
              <w:rPr>
                <w:rFonts w:cs="Calibri"/>
                <w:color w:val="000000"/>
                <w:sz w:val="24"/>
                <w:lang w:val="es-CR" w:eastAsia="es-CR"/>
              </w:rPr>
            </w:pPr>
            <w:r w:rsidRPr="000028A3">
              <w:rPr>
                <w:rFonts w:cs="Calibri"/>
                <w:color w:val="000000"/>
                <w:sz w:val="24"/>
                <w:lang w:val="es-CR" w:eastAsia="es-CR"/>
              </w:rPr>
              <w:t>TRI 3 Meses</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4F09CBAE"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4C095E18"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7CB12EBF"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13</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345B5238" w14:textId="77777777">
            <w:pPr>
              <w:spacing w:line="240" w:lineRule="auto"/>
              <w:rPr>
                <w:rFonts w:cs="Calibri"/>
                <w:color w:val="000000"/>
                <w:sz w:val="24"/>
                <w:lang w:val="es-CR" w:eastAsia="es-CR"/>
              </w:rPr>
            </w:pPr>
            <w:r w:rsidRPr="000028A3">
              <w:rPr>
                <w:rFonts w:cs="Calibri"/>
                <w:color w:val="000000"/>
                <w:sz w:val="24"/>
                <w:lang w:val="es-CR" w:eastAsia="es-CR"/>
              </w:rPr>
              <w:t>TRI 6 Meses</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2E6DF980"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37E2D2DB"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1E6B9A35"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14</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2107B4C7" w14:textId="77777777">
            <w:pPr>
              <w:spacing w:line="240" w:lineRule="auto"/>
              <w:rPr>
                <w:rFonts w:cs="Calibri"/>
                <w:color w:val="000000"/>
                <w:sz w:val="24"/>
                <w:lang w:val="es-CR" w:eastAsia="es-CR"/>
              </w:rPr>
            </w:pPr>
            <w:r w:rsidRPr="000028A3">
              <w:rPr>
                <w:rFonts w:cs="Calibri"/>
                <w:color w:val="000000"/>
                <w:sz w:val="24"/>
                <w:lang w:val="es-CR" w:eastAsia="es-CR"/>
              </w:rPr>
              <w:t>TRI 9 Meses</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3FAF01BF"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2EB0AE72"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13BFE691"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15</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43FCF555" w14:textId="77777777">
            <w:pPr>
              <w:spacing w:line="240" w:lineRule="auto"/>
              <w:rPr>
                <w:rFonts w:cs="Calibri"/>
                <w:color w:val="000000"/>
                <w:sz w:val="24"/>
                <w:lang w:val="es-CR" w:eastAsia="es-CR"/>
              </w:rPr>
            </w:pPr>
            <w:r w:rsidRPr="000028A3">
              <w:rPr>
                <w:rFonts w:cs="Calibri"/>
                <w:color w:val="000000"/>
                <w:sz w:val="24"/>
                <w:lang w:val="es-CR" w:eastAsia="es-CR"/>
              </w:rPr>
              <w:t>TRI 12 Meses</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5A5CA19B"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304A0A00"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4B211DE9"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16</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50854CF5" w14:textId="77777777">
            <w:pPr>
              <w:spacing w:line="240" w:lineRule="auto"/>
              <w:rPr>
                <w:rFonts w:cs="Calibri"/>
                <w:color w:val="000000"/>
                <w:sz w:val="24"/>
                <w:lang w:val="es-CR" w:eastAsia="es-CR"/>
              </w:rPr>
            </w:pPr>
            <w:r w:rsidRPr="000028A3">
              <w:rPr>
                <w:rFonts w:cs="Calibri"/>
                <w:color w:val="000000"/>
                <w:sz w:val="24"/>
                <w:lang w:val="es-CR" w:eastAsia="es-CR"/>
              </w:rPr>
              <w:t>TRI 24 Meses</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24E640A0"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0BA71847"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236E6D9B"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17</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5E6F9159" w14:textId="77777777">
            <w:pPr>
              <w:spacing w:line="240" w:lineRule="auto"/>
              <w:rPr>
                <w:rFonts w:cs="Calibri"/>
                <w:color w:val="000000"/>
                <w:sz w:val="24"/>
                <w:lang w:val="es-CR" w:eastAsia="es-CR"/>
              </w:rPr>
            </w:pPr>
            <w:r w:rsidRPr="000028A3">
              <w:rPr>
                <w:rFonts w:cs="Calibri"/>
                <w:color w:val="000000"/>
                <w:sz w:val="24"/>
                <w:lang w:val="es-CR" w:eastAsia="es-CR"/>
              </w:rPr>
              <w:t>TRI 36 Meses</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7927EC74"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r w:rsidRPr="000028A3" w:rsidR="001E0549" w:rsidTr="001E0549" w14:paraId="05ADF810" w14:textId="77777777">
        <w:trPr>
          <w:trHeight w:val="20"/>
          <w:jc w:val="center"/>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0028A3" w:rsidR="001E0549" w:rsidP="00323047" w:rsidRDefault="001E0549" w14:paraId="245B1245"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18</w:t>
            </w:r>
          </w:p>
        </w:tc>
        <w:tc>
          <w:tcPr>
            <w:tcW w:w="2776" w:type="dxa"/>
            <w:tcBorders>
              <w:top w:val="nil"/>
              <w:left w:val="nil"/>
              <w:bottom w:val="single" w:color="auto" w:sz="4" w:space="0"/>
              <w:right w:val="single" w:color="auto" w:sz="4" w:space="0"/>
            </w:tcBorders>
            <w:shd w:val="clear" w:color="auto" w:fill="auto"/>
            <w:noWrap/>
            <w:vAlign w:val="center"/>
            <w:hideMark/>
          </w:tcPr>
          <w:p w:rsidRPr="000028A3" w:rsidR="001E0549" w:rsidP="00323047" w:rsidRDefault="001E0549" w14:paraId="54D89690" w14:textId="77777777">
            <w:pPr>
              <w:spacing w:line="240" w:lineRule="auto"/>
              <w:rPr>
                <w:rFonts w:cs="Calibri"/>
                <w:color w:val="000000"/>
                <w:sz w:val="24"/>
                <w:lang w:val="es-CR" w:eastAsia="es-CR"/>
              </w:rPr>
            </w:pPr>
            <w:r w:rsidRPr="000028A3">
              <w:rPr>
                <w:rFonts w:cs="Calibri"/>
                <w:color w:val="000000"/>
                <w:sz w:val="24"/>
                <w:lang w:val="es-CR" w:eastAsia="es-CR"/>
              </w:rPr>
              <w:t>TRI 60 Meses</w:t>
            </w:r>
          </w:p>
        </w:tc>
        <w:tc>
          <w:tcPr>
            <w:tcW w:w="1120" w:type="dxa"/>
            <w:tcBorders>
              <w:top w:val="nil"/>
              <w:left w:val="nil"/>
              <w:bottom w:val="single" w:color="auto" w:sz="4" w:space="0"/>
              <w:right w:val="single" w:color="auto" w:sz="4" w:space="0"/>
            </w:tcBorders>
            <w:shd w:val="clear" w:color="auto" w:fill="auto"/>
            <w:vAlign w:val="center"/>
            <w:hideMark/>
          </w:tcPr>
          <w:p w:rsidRPr="000028A3" w:rsidR="001E0549" w:rsidP="00323047" w:rsidRDefault="001E0549" w14:paraId="141506AE" w14:textId="77777777">
            <w:pPr>
              <w:spacing w:line="240" w:lineRule="auto"/>
              <w:jc w:val="center"/>
              <w:rPr>
                <w:rFonts w:ascii="Microsoft Sans Serif" w:hAnsi="Microsoft Sans Serif" w:cs="Microsoft Sans Serif"/>
                <w:color w:val="000000"/>
                <w:sz w:val="24"/>
                <w:lang w:val="es-CR" w:eastAsia="es-CR"/>
              </w:rPr>
            </w:pPr>
            <w:r w:rsidRPr="000028A3">
              <w:rPr>
                <w:rFonts w:ascii="Microsoft Sans Serif" w:hAnsi="Microsoft Sans Serif" w:cs="Microsoft Sans Serif"/>
                <w:color w:val="000000"/>
                <w:sz w:val="24"/>
                <w:lang w:val="es-CR" w:eastAsia="es-CR"/>
              </w:rPr>
              <w:t>1</w:t>
            </w:r>
          </w:p>
        </w:tc>
      </w:tr>
    </w:tbl>
    <w:p w:rsidRPr="000028A3" w:rsidR="001E0549" w:rsidP="001E0549" w:rsidRDefault="001E0549" w14:paraId="7E122FC9" w14:textId="77777777">
      <w:pPr>
        <w:pStyle w:val="Texto"/>
        <w:spacing w:before="0" w:after="0" w:line="240" w:lineRule="auto"/>
        <w:rPr>
          <w:rFonts w:cs="Arial"/>
          <w:sz w:val="24"/>
          <w:lang w:val="es-CR"/>
        </w:rPr>
      </w:pPr>
    </w:p>
    <w:p w:rsidRPr="000028A3" w:rsidR="001E0549" w:rsidP="001E0549" w:rsidRDefault="001E0549" w14:paraId="1AC03825" w14:textId="77777777">
      <w:pPr>
        <w:pStyle w:val="Texto"/>
        <w:spacing w:before="0" w:after="0" w:line="240" w:lineRule="auto"/>
        <w:rPr>
          <w:rFonts w:cs="Arial"/>
          <w:sz w:val="24"/>
          <w:lang w:val="es-CR"/>
        </w:rPr>
      </w:pPr>
      <w:r w:rsidRPr="000028A3">
        <w:rPr>
          <w:rFonts w:cs="Arial"/>
          <w:sz w:val="24"/>
          <w:lang w:val="es-CR"/>
        </w:rPr>
        <w:t>La tabla actualizada queda vigente a partir del corte de agosto 2021, información con fecha límite de envío el décimo día de setiembre 2021.</w:t>
      </w:r>
    </w:p>
    <w:p w:rsidRPr="000028A3" w:rsidR="001E0549" w:rsidP="001E0549" w:rsidRDefault="001E0549" w14:paraId="5B369C50" w14:textId="77777777">
      <w:pPr>
        <w:pStyle w:val="Texto"/>
        <w:spacing w:before="0" w:after="0" w:line="240" w:lineRule="auto"/>
        <w:rPr>
          <w:rFonts w:cs="Arial"/>
          <w:sz w:val="24"/>
          <w:lang w:val="es-CR"/>
        </w:rPr>
      </w:pPr>
    </w:p>
    <w:p w:rsidRPr="000028A3" w:rsidR="001E0549" w:rsidP="001E0549" w:rsidRDefault="001E0549" w14:paraId="753F5283" w14:textId="77777777">
      <w:pPr>
        <w:pStyle w:val="Texto"/>
        <w:spacing w:before="0" w:after="0" w:line="240" w:lineRule="auto"/>
        <w:rPr>
          <w:rFonts w:cs="Arial"/>
          <w:sz w:val="24"/>
          <w:lang w:val="es-CR"/>
        </w:rPr>
      </w:pPr>
      <w:r w:rsidRPr="000028A3">
        <w:rPr>
          <w:rFonts w:cs="Arial"/>
          <w:noProof/>
          <w:sz w:val="24"/>
          <w:lang w:val="es-CR" w:eastAsia="es-CR"/>
        </w:rPr>
        <w:drawing>
          <wp:anchor distT="0" distB="0" distL="114300" distR="114300" simplePos="0" relativeHeight="251659264" behindDoc="1" locked="0" layoutInCell="1" allowOverlap="1" wp14:editId="1E5693F0" wp14:anchorId="3843DBDE">
            <wp:simplePos x="0" y="0"/>
            <wp:positionH relativeFrom="column">
              <wp:posOffset>-215777</wp:posOffset>
            </wp:positionH>
            <wp:positionV relativeFrom="paragraph">
              <wp:posOffset>201336</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0028A3">
        <w:rPr>
          <w:rFonts w:cs="Arial"/>
          <w:sz w:val="24"/>
          <w:lang w:val="es-CR"/>
        </w:rPr>
        <w:t>Atentamente,</w:t>
      </w:r>
    </w:p>
    <w:p w:rsidRPr="000028A3" w:rsidR="001E0549" w:rsidP="001E0549" w:rsidRDefault="001E0549" w14:paraId="194D54CB" w14:textId="77777777">
      <w:pPr>
        <w:spacing w:line="240" w:lineRule="auto"/>
        <w:rPr>
          <w:rFonts w:cs="Arial"/>
          <w:sz w:val="24"/>
          <w:lang w:val="es-CR"/>
        </w:rPr>
      </w:pPr>
    </w:p>
    <w:p w:rsidRPr="000028A3" w:rsidR="001E0549" w:rsidP="001E0549" w:rsidRDefault="001E0549" w14:paraId="46BAA41F" w14:textId="77777777">
      <w:pPr>
        <w:pStyle w:val="Negrita"/>
        <w:spacing w:line="240" w:lineRule="auto"/>
        <w:jc w:val="left"/>
        <w:rPr>
          <w:rFonts w:cs="Arial"/>
          <w:sz w:val="24"/>
          <w:lang w:val="es-CR" w:eastAsia="es-CR"/>
        </w:rPr>
      </w:pPr>
    </w:p>
    <w:p w:rsidRPr="000028A3" w:rsidR="001E0549" w:rsidP="001E0549" w:rsidRDefault="001E0549" w14:paraId="013711D5" w14:textId="77777777">
      <w:pPr>
        <w:pStyle w:val="Negrita"/>
        <w:spacing w:line="240" w:lineRule="auto"/>
        <w:jc w:val="left"/>
        <w:rPr>
          <w:rFonts w:cs="Arial"/>
          <w:b w:val="0"/>
          <w:sz w:val="24"/>
          <w:lang w:val="es-CR"/>
        </w:rPr>
      </w:pPr>
      <w:r w:rsidRPr="000028A3">
        <w:rPr>
          <w:rFonts w:cs="Arial"/>
          <w:b w:val="0"/>
          <w:sz w:val="24"/>
          <w:lang w:val="es-CR"/>
        </w:rPr>
        <w:t>José Armando Fallas Martínez</w:t>
      </w:r>
    </w:p>
    <w:p w:rsidRPr="000028A3" w:rsidR="001E0549" w:rsidP="001E0549" w:rsidRDefault="001E0549" w14:paraId="38B3C051" w14:textId="77777777">
      <w:pPr>
        <w:spacing w:line="240" w:lineRule="auto"/>
        <w:jc w:val="left"/>
        <w:rPr>
          <w:rFonts w:cs="Arial"/>
          <w:b/>
          <w:bCs/>
          <w:sz w:val="24"/>
          <w:lang w:val="es-CR"/>
        </w:rPr>
      </w:pPr>
      <w:r w:rsidRPr="000028A3">
        <w:rPr>
          <w:rFonts w:cs="Arial"/>
          <w:b/>
          <w:bCs/>
          <w:sz w:val="24"/>
          <w:lang w:val="es-CR"/>
        </w:rPr>
        <w:t>Intendente General</w:t>
      </w:r>
    </w:p>
    <w:p w:rsidRPr="000028A3" w:rsidR="001E0549" w:rsidP="001E0549" w:rsidRDefault="001E0549" w14:paraId="62E5B625" w14:textId="77777777">
      <w:pPr>
        <w:spacing w:line="240" w:lineRule="auto"/>
        <w:rPr>
          <w:rFonts w:cs="Arial"/>
          <w:sz w:val="24"/>
          <w:lang w:val="es-CR"/>
        </w:rPr>
      </w:pPr>
    </w:p>
    <w:p w:rsidRPr="000028A3" w:rsidR="001E0549" w:rsidP="001E0549" w:rsidRDefault="001E0549" w14:paraId="2189A321" w14:textId="77777777">
      <w:pPr>
        <w:spacing w:line="240" w:lineRule="auto"/>
        <w:rPr>
          <w:sz w:val="24"/>
          <w:lang w:val="es-CR"/>
        </w:rPr>
      </w:pPr>
      <w:r w:rsidRPr="000028A3">
        <w:rPr>
          <w:b/>
          <w:sz w:val="24"/>
          <w:lang w:val="es-CR"/>
        </w:rPr>
        <w:t>JSC/EAMS/ALVB/</w:t>
      </w:r>
      <w:proofErr w:type="spellStart"/>
      <w:r w:rsidRPr="000028A3">
        <w:rPr>
          <w:b/>
          <w:sz w:val="24"/>
          <w:lang w:val="es-CR"/>
        </w:rPr>
        <w:t>gvl</w:t>
      </w:r>
      <w:proofErr w:type="spellEnd"/>
      <w:r w:rsidRPr="000028A3">
        <w:rPr>
          <w:b/>
          <w:sz w:val="24"/>
          <w:lang w:val="es-CR"/>
        </w:rPr>
        <w:t>*</w:t>
      </w:r>
    </w:p>
    <w:sectPr w:rsidRPr="000028A3" w:rsidR="001E0549" w:rsidSect="00322EE0">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0EA90" w14:textId="77777777" w:rsidR="002A2B00" w:rsidRDefault="002A2B00" w:rsidP="009349F3">
      <w:pPr>
        <w:spacing w:line="240" w:lineRule="auto"/>
      </w:pPr>
      <w:r>
        <w:separator/>
      </w:r>
    </w:p>
  </w:endnote>
  <w:endnote w:type="continuationSeparator" w:id="0">
    <w:p w14:paraId="12FA72AC" w14:textId="77777777" w:rsidR="002A2B00" w:rsidRDefault="002A2B00"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Japanese">
    <w:altName w:val="Batang"/>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A45" w:rsidRDefault="00595A45" w14:paraId="4E6FE6C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42"/>
      <w:gridCol w:w="2943"/>
      <w:gridCol w:w="1617"/>
      <w:gridCol w:w="1472"/>
    </w:tblGrid>
    <w:tr w:rsidRPr="00322EE0" w:rsidR="00517D62" w:rsidTr="00322EE0" w14:paraId="1229BC04" w14:textId="77777777">
      <w:trPr>
        <w:jc w:val="center"/>
      </w:trPr>
      <w:tc>
        <w:tcPr>
          <w:tcW w:w="2942" w:type="dxa"/>
        </w:tcPr>
        <w:p w:rsidRPr="00322EE0" w:rsidR="00517D62" w:rsidRDefault="00517D62" w14:paraId="47A6E484" w14:textId="77777777">
          <w:pPr>
            <w:pStyle w:val="Piedepgina"/>
            <w:rPr>
              <w:b/>
              <w:color w:val="7F7F7F" w:themeColor="text1" w:themeTint="80"/>
              <w:sz w:val="16"/>
              <w:szCs w:val="16"/>
            </w:rPr>
          </w:pPr>
          <w:r w:rsidRPr="00322EE0">
            <w:rPr>
              <w:b/>
              <w:color w:val="7F7F7F" w:themeColor="text1" w:themeTint="80"/>
              <w:sz w:val="16"/>
              <w:szCs w:val="16"/>
            </w:rPr>
            <w:t>Teléfono: (506) 2243</w:t>
          </w:r>
          <w:r w:rsidRPr="00322EE0" w:rsidR="00147C4D">
            <w:rPr>
              <w:b/>
              <w:color w:val="7F7F7F" w:themeColor="text1" w:themeTint="80"/>
              <w:sz w:val="16"/>
              <w:szCs w:val="16"/>
            </w:rPr>
            <w:t>-</w:t>
          </w:r>
          <w:r w:rsidRPr="00322EE0">
            <w:rPr>
              <w:b/>
              <w:color w:val="7F7F7F" w:themeColor="text1" w:themeTint="80"/>
              <w:sz w:val="16"/>
              <w:szCs w:val="16"/>
            </w:rPr>
            <w:t>4848</w:t>
          </w:r>
        </w:p>
        <w:p w:rsidRPr="00322EE0" w:rsidR="00517D62" w:rsidRDefault="00517D62" w14:paraId="68996E86" w14:textId="77777777">
          <w:pPr>
            <w:pStyle w:val="Piedepgina"/>
            <w:rPr>
              <w:b/>
              <w:color w:val="7F7F7F" w:themeColor="text1" w:themeTint="80"/>
              <w:sz w:val="16"/>
              <w:szCs w:val="16"/>
            </w:rPr>
          </w:pPr>
          <w:r w:rsidRPr="00322EE0">
            <w:rPr>
              <w:b/>
              <w:color w:val="7F7F7F" w:themeColor="text1" w:themeTint="80"/>
              <w:sz w:val="16"/>
              <w:szCs w:val="16"/>
            </w:rPr>
            <w:t>Facsímile:</w:t>
          </w:r>
          <w:r w:rsidRPr="00322EE0" w:rsidR="00147C4D">
            <w:rPr>
              <w:b/>
              <w:color w:val="7F7F7F" w:themeColor="text1" w:themeTint="80"/>
              <w:sz w:val="16"/>
              <w:szCs w:val="16"/>
            </w:rPr>
            <w:t xml:space="preserve"> (506) 2243-4849</w:t>
          </w:r>
        </w:p>
        <w:p w:rsidRPr="00322EE0" w:rsidR="00517D62" w:rsidRDefault="00517D62" w14:paraId="6131EAF6" w14:textId="77777777">
          <w:pPr>
            <w:pStyle w:val="Piedepgina"/>
            <w:rPr>
              <w:b/>
              <w:color w:val="7F7F7F" w:themeColor="text1" w:themeTint="80"/>
              <w:sz w:val="16"/>
              <w:szCs w:val="16"/>
            </w:rPr>
          </w:pPr>
        </w:p>
      </w:tc>
      <w:tc>
        <w:tcPr>
          <w:tcW w:w="2943" w:type="dxa"/>
        </w:tcPr>
        <w:p w:rsidRPr="00322EE0" w:rsidR="00517D62" w:rsidP="00855792" w:rsidRDefault="00517D62" w14:paraId="530FC8DE" w14:textId="77777777">
          <w:pPr>
            <w:pStyle w:val="Piedepgina"/>
            <w:jc w:val="left"/>
            <w:rPr>
              <w:b/>
              <w:color w:val="7F7F7F" w:themeColor="text1" w:themeTint="80"/>
              <w:sz w:val="16"/>
              <w:szCs w:val="16"/>
            </w:rPr>
          </w:pPr>
          <w:r w:rsidRPr="00322EE0">
            <w:rPr>
              <w:b/>
              <w:color w:val="7F7F7F" w:themeColor="text1" w:themeTint="80"/>
              <w:sz w:val="16"/>
              <w:szCs w:val="16"/>
            </w:rPr>
            <w:t xml:space="preserve">Apartado: 2762-1000 </w:t>
          </w:r>
          <w:r w:rsidRPr="00322EE0">
            <w:rPr>
              <w:b/>
              <w:color w:val="7F7F7F" w:themeColor="text1" w:themeTint="80"/>
              <w:sz w:val="16"/>
              <w:szCs w:val="16"/>
            </w:rPr>
            <w:br/>
            <w:t>San José, Costa Rica</w:t>
          </w:r>
        </w:p>
      </w:tc>
      <w:tc>
        <w:tcPr>
          <w:tcW w:w="1471" w:type="dxa"/>
        </w:tcPr>
        <w:p w:rsidRPr="00322EE0" w:rsidR="00517D62" w:rsidRDefault="00517D62" w14:paraId="1F99BCE6" w14:textId="77777777">
          <w:pPr>
            <w:pStyle w:val="Piedepgina"/>
            <w:rPr>
              <w:b/>
              <w:color w:val="7F7F7F" w:themeColor="text1" w:themeTint="80"/>
              <w:sz w:val="16"/>
              <w:szCs w:val="16"/>
            </w:rPr>
          </w:pPr>
          <w:r w:rsidRPr="00322EE0">
            <w:rPr>
              <w:b/>
              <w:color w:val="7F7F7F" w:themeColor="text1" w:themeTint="80"/>
              <w:sz w:val="16"/>
              <w:szCs w:val="16"/>
            </w:rPr>
            <w:t>www.sugef.fi.cr</w:t>
          </w:r>
          <w:r w:rsidRPr="00322EE0">
            <w:rPr>
              <w:b/>
              <w:color w:val="7F7F7F" w:themeColor="text1" w:themeTint="80"/>
              <w:sz w:val="16"/>
              <w:szCs w:val="16"/>
            </w:rPr>
            <w:br/>
            <w:t>sugefcr@sugef.fi.cr</w:t>
          </w:r>
        </w:p>
      </w:tc>
      <w:tc>
        <w:tcPr>
          <w:tcW w:w="1472" w:type="dxa"/>
        </w:tcPr>
        <w:p w:rsidRPr="00322EE0" w:rsidR="00517D62" w:rsidP="00517D62" w:rsidRDefault="006972C9" w14:paraId="67F08BA2" w14:textId="77777777">
          <w:pPr>
            <w:pStyle w:val="Piedepgina"/>
            <w:jc w:val="right"/>
            <w:rPr>
              <w:b/>
              <w:color w:val="7F7F7F" w:themeColor="text1" w:themeTint="80"/>
              <w:sz w:val="16"/>
              <w:szCs w:val="16"/>
            </w:rPr>
          </w:pPr>
          <w:r w:rsidRPr="00322EE0">
            <w:rPr>
              <w:b/>
              <w:color w:val="7F7F7F" w:themeColor="text1" w:themeTint="80"/>
              <w:sz w:val="16"/>
              <w:szCs w:val="16"/>
            </w:rPr>
            <w:fldChar w:fldCharType="begin"/>
          </w:r>
          <w:r w:rsidRPr="00322EE0">
            <w:rPr>
              <w:b/>
              <w:color w:val="7F7F7F" w:themeColor="text1" w:themeTint="80"/>
              <w:sz w:val="16"/>
              <w:szCs w:val="16"/>
            </w:rPr>
            <w:instrText>PAGE   \* MERGEFORMAT</w:instrText>
          </w:r>
          <w:r w:rsidRPr="00322EE0">
            <w:rPr>
              <w:b/>
              <w:color w:val="7F7F7F" w:themeColor="text1" w:themeTint="80"/>
              <w:sz w:val="16"/>
              <w:szCs w:val="16"/>
            </w:rPr>
            <w:fldChar w:fldCharType="separate"/>
          </w:r>
          <w:r w:rsidRPr="00322EE0" w:rsidR="00147C4D">
            <w:rPr>
              <w:b/>
              <w:noProof/>
              <w:color w:val="7F7F7F" w:themeColor="text1" w:themeTint="80"/>
              <w:sz w:val="16"/>
              <w:szCs w:val="16"/>
            </w:rPr>
            <w:t>1</w:t>
          </w:r>
          <w:r w:rsidRPr="00322EE0">
            <w:rPr>
              <w:b/>
              <w:color w:val="7F7F7F" w:themeColor="text1" w:themeTint="80"/>
              <w:sz w:val="16"/>
              <w:szCs w:val="16"/>
            </w:rPr>
            <w:fldChar w:fldCharType="end"/>
          </w:r>
        </w:p>
      </w:tc>
    </w:tr>
  </w:tbl>
  <w:p w:rsidRPr="00322EE0" w:rsidR="009349F3" w:rsidRDefault="009349F3" w14:paraId="661EAA16" w14:textId="77777777">
    <w:pPr>
      <w:pStyle w:val="Piedepgin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A45" w:rsidRDefault="00595A45" w14:paraId="59FF3F4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E36B1" w14:textId="77777777" w:rsidR="002A2B00" w:rsidRDefault="002A2B00" w:rsidP="009349F3">
      <w:pPr>
        <w:spacing w:line="240" w:lineRule="auto"/>
      </w:pPr>
      <w:r>
        <w:separator/>
      </w:r>
    </w:p>
  </w:footnote>
  <w:footnote w:type="continuationSeparator" w:id="0">
    <w:p w14:paraId="65931619" w14:textId="77777777" w:rsidR="002A2B00" w:rsidRDefault="002A2B00"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A45" w:rsidRDefault="00595A45" w14:paraId="703F9779"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08E73F14" w14:textId="77777777">
    <w:pPr>
      <w:pStyle w:val="Encabezado"/>
    </w:pPr>
    <w:r>
      <w:ptab w:alignment="center" w:relativeTo="margin" w:leader="none"/>
    </w:r>
    <w:r>
      <w:rPr>
        <w:noProof/>
        <w:lang w:val="es-CR" w:eastAsia="es-CR"/>
      </w:rPr>
      <w:drawing>
        <wp:inline distT="0" distB="0" distL="0" distR="0" wp14:anchorId="68F62A86" wp14:editId="46CA402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A45" w:rsidRDefault="00595A45" w14:paraId="769C47F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58AC"/>
    <w:multiLevelType w:val="hybridMultilevel"/>
    <w:tmpl w:val="A2BC9D78"/>
    <w:lvl w:ilvl="0" w:tplc="15FCB0D0">
      <w:start w:val="1"/>
      <w:numFmt w:val="decimal"/>
      <w:lvlText w:val="%1."/>
      <w:lvlJc w:val="left"/>
      <w:pPr>
        <w:ind w:left="927" w:hanging="360"/>
      </w:p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1" w15:restartNumberingAfterBreak="0">
    <w:nsid w:val="06701822"/>
    <w:multiLevelType w:val="hybridMultilevel"/>
    <w:tmpl w:val="8F761D22"/>
    <w:lvl w:ilvl="0" w:tplc="7E34EFE4">
      <w:start w:val="1"/>
      <w:numFmt w:val="upperRoman"/>
      <w:lvlText w:val="%1."/>
      <w:lvlJc w:val="left"/>
      <w:pPr>
        <w:ind w:left="979"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1" w:tplc="271A56A0">
      <w:start w:val="1"/>
      <w:numFmt w:val="lowerLetter"/>
      <w:lvlText w:val="%2."/>
      <w:lvlJc w:val="left"/>
      <w:pPr>
        <w:ind w:left="1193"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2" w:tplc="EF24F21C">
      <w:start w:val="1"/>
      <w:numFmt w:val="lowerRoman"/>
      <w:lvlText w:val="%3"/>
      <w:lvlJc w:val="left"/>
      <w:pPr>
        <w:ind w:left="19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C3E47546">
      <w:start w:val="1"/>
      <w:numFmt w:val="decimal"/>
      <w:lvlText w:val="%4"/>
      <w:lvlJc w:val="left"/>
      <w:pPr>
        <w:ind w:left="26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146443C">
      <w:start w:val="1"/>
      <w:numFmt w:val="lowerLetter"/>
      <w:lvlText w:val="%5"/>
      <w:lvlJc w:val="left"/>
      <w:pPr>
        <w:ind w:left="33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145EE0B0">
      <w:start w:val="1"/>
      <w:numFmt w:val="lowerRoman"/>
      <w:lvlText w:val="%6"/>
      <w:lvlJc w:val="left"/>
      <w:pPr>
        <w:ind w:left="407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811EE92C">
      <w:start w:val="1"/>
      <w:numFmt w:val="decimal"/>
      <w:lvlText w:val="%7"/>
      <w:lvlJc w:val="left"/>
      <w:pPr>
        <w:ind w:left="479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EE803530">
      <w:start w:val="1"/>
      <w:numFmt w:val="lowerLetter"/>
      <w:lvlText w:val="%8"/>
      <w:lvlJc w:val="left"/>
      <w:pPr>
        <w:ind w:left="55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DA9ACE38">
      <w:start w:val="1"/>
      <w:numFmt w:val="lowerRoman"/>
      <w:lvlText w:val="%9"/>
      <w:lvlJc w:val="left"/>
      <w:pPr>
        <w:ind w:left="62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2AC8749E"/>
    <w:multiLevelType w:val="hybridMultilevel"/>
    <w:tmpl w:val="64268CC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506B4C4E"/>
    <w:multiLevelType w:val="hybridMultilevel"/>
    <w:tmpl w:val="19A6496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5D152C2C"/>
    <w:multiLevelType w:val="hybridMultilevel"/>
    <w:tmpl w:val="A55A0B08"/>
    <w:lvl w:ilvl="0" w:tplc="140A0015">
      <w:start w:val="1"/>
      <w:numFmt w:val="upperLetter"/>
      <w:lvlText w:val="%1."/>
      <w:lvlJc w:val="left"/>
      <w:pPr>
        <w:ind w:left="979" w:firstLine="0"/>
      </w:pPr>
      <w:rPr>
        <w:b w:val="0"/>
        <w:i w:val="0"/>
        <w:strike w:val="0"/>
        <w:dstrike w:val="0"/>
        <w:color w:val="000000"/>
        <w:sz w:val="24"/>
        <w:szCs w:val="24"/>
        <w:u w:val="none" w:color="000000"/>
        <w:effect w:val="none"/>
        <w:bdr w:val="none" w:sz="0" w:space="0" w:color="auto" w:frame="1"/>
        <w:vertAlign w:val="baseline"/>
      </w:rPr>
    </w:lvl>
    <w:lvl w:ilvl="1" w:tplc="271A56A0">
      <w:start w:val="1"/>
      <w:numFmt w:val="lowerLetter"/>
      <w:lvlText w:val="%2."/>
      <w:lvlJc w:val="left"/>
      <w:pPr>
        <w:ind w:left="1193"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2" w:tplc="EF24F21C">
      <w:start w:val="1"/>
      <w:numFmt w:val="lowerRoman"/>
      <w:lvlText w:val="%3"/>
      <w:lvlJc w:val="left"/>
      <w:pPr>
        <w:ind w:left="19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C3E47546">
      <w:start w:val="1"/>
      <w:numFmt w:val="decimal"/>
      <w:lvlText w:val="%4"/>
      <w:lvlJc w:val="left"/>
      <w:pPr>
        <w:ind w:left="26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146443C">
      <w:start w:val="1"/>
      <w:numFmt w:val="lowerLetter"/>
      <w:lvlText w:val="%5"/>
      <w:lvlJc w:val="left"/>
      <w:pPr>
        <w:ind w:left="33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145EE0B0">
      <w:start w:val="1"/>
      <w:numFmt w:val="lowerRoman"/>
      <w:lvlText w:val="%6"/>
      <w:lvlJc w:val="left"/>
      <w:pPr>
        <w:ind w:left="407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811EE92C">
      <w:start w:val="1"/>
      <w:numFmt w:val="decimal"/>
      <w:lvlText w:val="%7"/>
      <w:lvlJc w:val="left"/>
      <w:pPr>
        <w:ind w:left="479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EE803530">
      <w:start w:val="1"/>
      <w:numFmt w:val="lowerLetter"/>
      <w:lvlText w:val="%8"/>
      <w:lvlJc w:val="left"/>
      <w:pPr>
        <w:ind w:left="55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DA9ACE38">
      <w:start w:val="1"/>
      <w:numFmt w:val="lowerRoman"/>
      <w:lvlText w:val="%9"/>
      <w:lvlJc w:val="left"/>
      <w:pPr>
        <w:ind w:left="62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72113D19"/>
    <w:multiLevelType w:val="hybridMultilevel"/>
    <w:tmpl w:val="C31C7D08"/>
    <w:lvl w:ilvl="0" w:tplc="7354DCCA">
      <w:start w:val="1"/>
      <w:numFmt w:val="lowerLetter"/>
      <w:pStyle w:val="ListaLetra"/>
      <w:lvlText w:val="%1."/>
      <w:lvlJc w:val="left"/>
      <w:pPr>
        <w:ind w:left="928" w:hanging="360"/>
      </w:p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4"/>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00"/>
    <w:rsid w:val="000028A3"/>
    <w:rsid w:val="00025A68"/>
    <w:rsid w:val="00147C4D"/>
    <w:rsid w:val="0016769E"/>
    <w:rsid w:val="0018361A"/>
    <w:rsid w:val="001E0549"/>
    <w:rsid w:val="001F1870"/>
    <w:rsid w:val="002A2B00"/>
    <w:rsid w:val="00322EE0"/>
    <w:rsid w:val="003C2F0D"/>
    <w:rsid w:val="00517D62"/>
    <w:rsid w:val="00595A45"/>
    <w:rsid w:val="006972C9"/>
    <w:rsid w:val="008200B7"/>
    <w:rsid w:val="00855792"/>
    <w:rsid w:val="00856F59"/>
    <w:rsid w:val="008D27E7"/>
    <w:rsid w:val="00900B79"/>
    <w:rsid w:val="009349F3"/>
    <w:rsid w:val="009577C0"/>
    <w:rsid w:val="00AF06C5"/>
    <w:rsid w:val="00B7752A"/>
    <w:rsid w:val="00BE17F9"/>
    <w:rsid w:val="00CD15F9"/>
    <w:rsid w:val="00DE2D06"/>
    <w:rsid w:val="00E6346C"/>
    <w:rsid w:val="00EA3AA9"/>
    <w:rsid w:val="00F65E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E4974"/>
  <w15:chartTrackingRefBased/>
  <w15:docId w15:val="{A3B79603-5F7F-47AA-8ECD-B937A2B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E054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NormalWeb">
    <w:name w:val="Normal (Web)"/>
    <w:basedOn w:val="Normal"/>
    <w:semiHidden/>
    <w:unhideWhenUsed/>
    <w:rsid w:val="002A2B00"/>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uiPriority w:val="34"/>
    <w:qFormat/>
    <w:rsid w:val="002A2B00"/>
    <w:pPr>
      <w:ind w:left="720"/>
      <w:contextualSpacing/>
    </w:pPr>
  </w:style>
  <w:style w:type="paragraph" w:customStyle="1" w:styleId="Default">
    <w:name w:val="Default"/>
    <w:rsid w:val="002A2B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aLetra">
    <w:name w:val="ListaLetra"/>
    <w:basedOn w:val="Texto"/>
    <w:link w:val="ListaLetraCar"/>
    <w:qFormat/>
    <w:rsid w:val="002A2B00"/>
    <w:pPr>
      <w:numPr>
        <w:numId w:val="6"/>
      </w:numPr>
      <w:spacing w:before="0" w:after="0" w:line="240" w:lineRule="auto"/>
    </w:pPr>
    <w:rPr>
      <w:rFonts w:eastAsia="Arial Japanese"/>
      <w:szCs w:val="18"/>
    </w:rPr>
  </w:style>
  <w:style w:type="character" w:customStyle="1" w:styleId="ListaLetraCar">
    <w:name w:val="ListaLetra Car"/>
    <w:basedOn w:val="TextoChar"/>
    <w:link w:val="ListaLetra"/>
    <w:rsid w:val="002A2B00"/>
    <w:rPr>
      <w:rFonts w:ascii="Cambria" w:eastAsia="Arial Japanese" w:hAnsi="Cambria" w:cs="Times New Roman"/>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CA28FE543640AEB25895F54775E119"/>
        <w:category>
          <w:name w:val="General"/>
          <w:gallery w:val="placeholder"/>
        </w:category>
        <w:types>
          <w:type w:val="bbPlcHdr"/>
        </w:types>
        <w:behaviors>
          <w:behavior w:val="content"/>
        </w:behaviors>
        <w:guid w:val="{C74EF88B-1125-4435-835D-61BC7A8B8241}"/>
      </w:docPartPr>
      <w:docPartBody>
        <w:p w:rsidR="004606AC" w:rsidRDefault="008B5E33" w:rsidP="008B5E33">
          <w:pPr>
            <w:pStyle w:val="5ACA28FE543640AEB25895F54775E119"/>
          </w:pPr>
          <w:r w:rsidRPr="001E0779">
            <w:rPr>
              <w:rStyle w:val="Textodelmarcadordeposicin"/>
            </w:rPr>
            <w:t>Haga clic aquí para escribir texto.</w:t>
          </w:r>
        </w:p>
      </w:docPartBody>
    </w:docPart>
    <w:docPart>
      <w:docPartPr>
        <w:name w:val="AD2A61502C10402B9B73D6D8D50BD8AC"/>
        <w:category>
          <w:name w:val="General"/>
          <w:gallery w:val="placeholder"/>
        </w:category>
        <w:types>
          <w:type w:val="bbPlcHdr"/>
        </w:types>
        <w:behaviors>
          <w:behavior w:val="content"/>
        </w:behaviors>
        <w:guid w:val="{B60F90A0-4BA1-4C89-A84F-4A19991D2B8B}"/>
      </w:docPartPr>
      <w:docPartBody>
        <w:p w:rsidR="004606AC" w:rsidRDefault="008B5E33" w:rsidP="008B5E33">
          <w:pPr>
            <w:pStyle w:val="AD2A61502C10402B9B73D6D8D50BD8A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Japanese">
    <w:altName w:val="Batang"/>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D2"/>
    <w:rsid w:val="004606AC"/>
    <w:rsid w:val="004713D2"/>
    <w:rsid w:val="008B5E3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B5E33"/>
  </w:style>
  <w:style w:type="paragraph" w:customStyle="1" w:styleId="97B52CFE31324309A154B63C0FA3616E">
    <w:name w:val="97B52CFE31324309A154B63C0FA3616E"/>
  </w:style>
  <w:style w:type="paragraph" w:customStyle="1" w:styleId="F0AF23408E364B408043232A2991235E">
    <w:name w:val="F0AF23408E364B408043232A2991235E"/>
  </w:style>
  <w:style w:type="paragraph" w:customStyle="1" w:styleId="5ACA28FE543640AEB25895F54775E119">
    <w:name w:val="5ACA28FE543640AEB25895F54775E119"/>
    <w:rsid w:val="008B5E33"/>
  </w:style>
  <w:style w:type="paragraph" w:customStyle="1" w:styleId="AD2A61502C10402B9B73D6D8D50BD8AC">
    <w:name w:val="AD2A61502C10402B9B73D6D8D50BD8AC"/>
    <w:rsid w:val="008B5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naX0JBn6qHLPVV1CMd3oAgvf2yfqcXSEIzNUDFizMok=</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4/sYQ9hImJDHkYUdUCqSgZOcpECkwF5dViQOWJKwb+A=</DigestValue>
    </Reference>
  </SignedInfo>
  <SignatureValue>ZSfjmu36UIH6C90r0fajeyj42TSW38SerE9Vt280skcgwPaABLW/CtUPsrnddcV+ne1xmy6Y0a7D
Ggyai/MaGalyccpRVhAMs7nmrcS1493Lg4I5DzpqmwjBQ8Pj1WxHpyl8u0ttE63i1XM8+jxEVQVo
IBJc6FKiyTkCo8BoKWUufnq/GYsey+gch74g/JY/MopMfAax7EYP1DamqNXpNhR6HfgVyd2mOQpx
PncxwjAJgNde7jZOQgLsPCc9KLI4BpWC/Kvff8+baZxSg+0KD/zgc8F3+1kqc1Gdtt4wT7fK6cKs
9TgkoI3Ejmk8mpMHwrBNpJKZdGZRf5flcfhr3w==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6kEVKNHqM5c26Nawt+cSNkbeJuB9rCx5vvwDwWNmecg=</DigestValue>
      </Reference>
      <Reference URI="/word/endnotes.xml?ContentType=application/vnd.openxmlformats-officedocument.wordprocessingml.endnotes+xml">
        <DigestMethod Algorithm="http://www.w3.org/2001/04/xmlenc#sha256"/>
        <DigestValue>Ecdn1dG/n3DrpBQzoPv3CoObsusPkxBXhzeXfkOsklE=</DigestValue>
      </Reference>
      <Reference URI="/word/fontTable.xml?ContentType=application/vnd.openxmlformats-officedocument.wordprocessingml.fontTable+xml">
        <DigestMethod Algorithm="http://www.w3.org/2001/04/xmlenc#sha256"/>
        <DigestValue>QJ8A4h/DCSaLC2ytHVEMfXeof7E8OIRlSeM799XI2LE=</DigestValue>
      </Reference>
      <Reference URI="/word/footer1.xml?ContentType=application/vnd.openxmlformats-officedocument.wordprocessingml.footer+xml">
        <DigestMethod Algorithm="http://www.w3.org/2001/04/xmlenc#sha256"/>
        <DigestValue>i3T4TWedEFFcFx439de2DwziyWIxDf3NXGGcmXOizg4=</DigestValue>
      </Reference>
      <Reference URI="/word/footer2.xml?ContentType=application/vnd.openxmlformats-officedocument.wordprocessingml.footer+xml">
        <DigestMethod Algorithm="http://www.w3.org/2001/04/xmlenc#sha256"/>
        <DigestValue>tpZBtH5wsOe5FF7bok1L+A7eUXqL5jsmO8oXZy8MRMM=</DigestValue>
      </Reference>
      <Reference URI="/word/footer3.xml?ContentType=application/vnd.openxmlformats-officedocument.wordprocessingml.footer+xml">
        <DigestMethod Algorithm="http://www.w3.org/2001/04/xmlenc#sha256"/>
        <DigestValue>nsx5iHF/maZGWlIH6W5PyObjW4ir3xsAU21y4TiV1Yw=</DigestValue>
      </Reference>
      <Reference URI="/word/footnotes.xml?ContentType=application/vnd.openxmlformats-officedocument.wordprocessingml.footnotes+xml">
        <DigestMethod Algorithm="http://www.w3.org/2001/04/xmlenc#sha256"/>
        <DigestValue>l6Y7CIzkU2PSJB6OAVw2lykNmEh3/rkJ+UZlEmY8n5A=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U5XASGNneFe+H5g6DPSChlrNIuAudpFG+GB/jtf8S+Y=</DigestValue>
      </Reference>
      <Reference URI="/word/glossary/fontTable.xml?ContentType=application/vnd.openxmlformats-officedocument.wordprocessingml.fontTable+xml">
        <DigestMethod Algorithm="http://www.w3.org/2001/04/xmlenc#sha256"/>
        <DigestValue>QJ8A4h/DCSaLC2ytHVEMfXeof7E8OIRlSeM799XI2LE=</DigestValue>
      </Reference>
      <Reference URI="/word/glossary/settings.xml?ContentType=application/vnd.openxmlformats-officedocument.wordprocessingml.settings+xml">
        <DigestMethod Algorithm="http://www.w3.org/2001/04/xmlenc#sha256"/>
        <DigestValue>5P9t1f/X3nkcognhhFyNpC2mL+jbK7xrjYpjtyQ2uTY=</DigestValue>
      </Reference>
      <Reference URI="/word/glossary/styles.xml?ContentType=application/vnd.openxmlformats-officedocument.wordprocessingml.styles+xml">
        <DigestMethod Algorithm="http://www.w3.org/2001/04/xmlenc#sha256"/>
        <DigestValue>ikvxAoWDUIITwyLulXyWm402goGQGnuwR8nOihOxhsg=</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gGhbjxfKv+yTSob+jphESmArUa3gz9OHHnZp3vkpRjE=</DigestValue>
      </Reference>
      <Reference URI="/word/header2.xml?ContentType=application/vnd.openxmlformats-officedocument.wordprocessingml.header+xml">
        <DigestMethod Algorithm="http://www.w3.org/2001/04/xmlenc#sha256"/>
        <DigestValue>HH+3beQhO7m3+uXRaqHFVX3RXSSWti9YoLaB131NOII=</DigestValue>
      </Reference>
      <Reference URI="/word/header3.xml?ContentType=application/vnd.openxmlformats-officedocument.wordprocessingml.header+xml">
        <DigestMethod Algorithm="http://www.w3.org/2001/04/xmlenc#sha256"/>
        <DigestValue>5sgwY4A/3D3GBB2gxH+pEUNzsgrrqWKkSDOrnljDjX0=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Cp18M7kkTU2M6BQofw3aSNz/spg+Jl5eK+pkF/yqZEc=</DigestValue>
      </Reference>
      <Reference URI="/word/settings.xml?ContentType=application/vnd.openxmlformats-officedocument.wordprocessingml.settings+xml">
        <DigestMethod Algorithm="http://www.w3.org/2001/04/xmlenc#sha256"/>
        <DigestValue>0tOiA1UFWiFC507yXSEHb63kazSfCsGdko3HsbsrCjY=</DigestValue>
      </Reference>
      <Reference URI="/word/styles.xml?ContentType=application/vnd.openxmlformats-officedocument.wordprocessingml.styles+xml">
        <DigestMethod Algorithm="http://www.w3.org/2001/04/xmlenc#sha256"/>
        <DigestValue>0ayEPgKUF78XXVH55TTx3V0BX/eaKjt8ugfqCQLJK3w=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qkAhlRCUcUPvLnWx7cX4NmnuyleFXpmlR9rFlbBGLv8=</DigestValue>
      </Reference>
    </Manifest>
    <SignatureProperties>
      <SignatureProperty Id="idSignatureTime" Target="#idPackageSignature">
        <mdssi:SignatureTime xmlns:mdssi="http://schemas.openxmlformats.org/package/2006/digital-signature">
          <mdssi:Format>YYYY-MM-DDThh:mm:ssTZD</mdssi:Format>
          <mdssi:Value>2021-08-27T19:03:38Z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2021-08-27T19:03:38Z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cqy4ZGXq/jrSmMNfKJB4ERkv68ATWHwScYPC2Lbx2eACBAyOHXkYDzIwMjEwODI3MTkwND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yNzE5MDQwNlowLwYJKoZIhvcNAQkEMSIEIBwP/946Y9xiqKxU0fF3jnZouOJfZsg6F2M5GgItCPJcMDcGCyqGSIb3DQEJEAIvMSgwJjAkMCIEIDcrk3iY5iZu+N7/iFpVKDYeTZ9u7elabVQcL5d9tumpMA0GCSqGSIb3DQEBAQUABIIBAI1oyE9XkCvFc71bnHoR+OX+N0xvrXX1nEj7q0XW1K440k4pyCrHSy0c4GJeNS6WRBM9T6xVpz4jy/gay42K6ndOSQ+eCOBkgI5XRun7TRzZ4oc3o2bXzmG2cHlZl2CWAa7KQve9YBbMDdf0G56ZGvT4Mqz8HLKpw3r2Fn0TnRnAA5YzDkLRmFD+JPq2MbcEHdkhJBWxPz9i1lhD8drdzwOEbgK/cjXySNJ5NQXD7fC4KYKlufk+mJ/oQKVtD43CUFoyonvSBwGcdcL469bC1ygHAOhWtiPuLZzJT5VGXLmQ9vd4WhpPXAnsN5RqTU7nZrYZ+/9pRNkSfZUOxOIGAk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OEABXEpl/IBOumRQCdXz5z8NyXM=</xd:ByKey>
                  </xd:ResponderID>
                  <xd:ProducedAt>2021-08-27T19:01:02Z</xd:ProducedAt>
                </xd:OCSPIdentifier>
                <xd:DigestAlgAndValue>
                  <DigestMethod Algorithm="http://www.w3.org/2001/04/xmlenc#sha256"/>
                  <DigestValue>EVc8hfM25YpHDN+2OE8nGDPqATg2DtzlGyS6FNPh3Zg=</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OQoBAKCCBjIwggYuBgkrBgEFBQcwAQEEggYfMIIGGzCBxaIWBBQ4QAFcSmX8gE66ZFAJ1fPnPw3JcxgPMjAyMTA4MjcxOTAxMDJaMIGZMIGWMEwwCQYFKw4DAhoFAAQUzgxHzN03kqP+e9oD7BphnZQwSGIEFLR0i6ue23bwf6Uo45StMcxy8LMpAhMUAAMs11JOhlpABVcuAAAAAyzXgAAYDzIwMjEwODI3MTY1NTE5WqARGA8yMDIxMDgyOTA1MTUxOVqhIDAeMBwGCSsGAQQBgjcVBAQPFw0yMTA4MjgxNzA1MTlaMA0GCSqGSIb3DQEBCwUAA4IBAQDGA4iN0BlhDjm4KERS3ixpRE4MzQJGKREpvHbskGBZ76h2aOemLOB9NdEkXisWuH775BIm3DjJOIYbxfD3g2xLBjKICwHGpvtZ1pHfLc6OPA8hzGbyOrJVfu/U8pkyrPGApP8vwy85FFD/ODHce5aQaCi0vh+jjDMkwaJJBm17VlHFo6d6FhbZrzLprbIEAMqJm4J05vCZTm3BwIWR+OemmXLaNu6FVY9vIW4cbegfYPq1MOJc8gvruFgM/b2Ujw/KhjaSiWfaD9QkaMGGNWrbBBSYk3KtkdCpOkJs6iYL1DlugJ57NwAbZOASK0yUfqoUhA54cFWVQizxobDBM+wQoIIEOzCCBDcwggQzMIIDG6ADAgECAhMUAAutRYANXYxBFvYJAAEAC61FMA0GCSqGSIb3DQEBCwUAMIGZMRkwFwYDVQQFExBDUEotNC0wMDAtMDA0MDE3MQswCQYDVQQGEwJDUjEkMCIGA1UEChMbQkFOQ08gQ0VOVFJBTCBERSBDT1NUQSBSSUNBMSIwIAYDVQQLExlESVZJU0lPTiBTSVNURU1BUyBERSBQQUdPMSUwIwYDVQQDExxDQSBTSU5QRSAtIFBFUlNPTkEgRklTSUNBIHYyMB4XDTIxMDgyNzE0NTQ0OFoXDTIxMDkxMDE0NTQ0OFowGjEYMBYGA1UEAxMPUE9SVkVOSVIuZmRpLmNyMIIBIjANBgkqhkiG9w0BAQEFAAOCAQ8AMIIBCgKCAQEAxtpwUJe51iiPWT1w1EtUQaIq24Loh2oAoeJepgZ/EpPwWzhmcMfyqLIUKvs/M9Yclm2JxhBsWSUq99Yx/NSjqnxc/BGDrGUtRjnmPz+3q+i/e4Zw7Wm1cwIGLQlI10CgIQXzitOZ6XmzeuVxJo3JbXxx9ArxawXNi6Gbjjq4dGCl/a1IGlmiVdzHylvcjL7dbMTOMRD5wFl2eQHS6+a/jTYuai31D7BRDLPsuQPRQOHtRruJom2fImL6pRDnF1VNoLST8KkUsFy+wcXuVHh18ba7mbyhRfoYSJ4GeKCDnIET7F2x2hFJdXF0cgiozQis58YWKHM/KtLRodep8XWPywIDAQABo4HxMIHuMD0GCSsGAQQBgjcVBwQwMC4GJisGAQQBgjcVCIXE6luC0eM1lZEbgvmXGIaly2uBf4P2/HeBuPEzAgFkAgEHMBMGA1UdJQQMMAoGCCsGAQUFBwMJMA4GA1UdDwEB/wQEAwIHgDAbBgkrBgEEAYI3FQoEDjAMMAoGCCsGAQUFBwMJMA8GCSsGAQUFBzABBQQCBQAwHwYDVR0jBBgwFoAUtHSLq57bdvB/pSjjlK0xzHLwsykwHQYDVR0OBBYEFDhAAVxKZfyATrpkUAnV8+c/DclzMBoGA1UdEQQTMBGCD1BPUlZFTklSLmZkaS5jcjANBgkqhkiG9w0BAQsFAAOCAQEA4JkJ32gbdCi98Wi9FRKWO0IgF2xffYZbkwf4BaQyDgbbxc1WsRFePECYkXAExaMZupOFik2OLZYAzxLhCfy4IX161MtagW++YDkp18WSA8ekRnvLJKjLkGOoO0sS30yQQCjHsUXSjep/rLOA2Q8hlHkV8UOz/7gpdAHgvzSqx9FTh1dNUwMjDHiJUJW9+RaVJ2R+cpOglmfuacouLKIB0XC9LbnXf49j1xKHA/6WTxG4EjlSEjveGbLOf2n3XdsaINJ0LPH+VFOQ1UTmATnl4W6Ee9IQLEktTscrzd2gYZjQ/j/6WadHRfJ3keMGKXP5HeMLD2AGuA5s7I12OwFga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A0ET3670CCtvdJ8uX5vzel4ER7j22vmvwymlIoczk9QCBAyOHXsYDzIwMjEwODI3MTkwND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yNzE5MDQwN1owLwYJKoZIhvcNAQkEMSIEIBLnG7BKcO1aQdvph/T88sq9V+3W5FDatFVToOzDkP+RMDcGCyqGSIb3DQEJEAIvMSgwJjAkMCIEIDcrk3iY5iZu+N7/iFpVKDYeTZ9u7elabVQcL5d9tumpMA0GCSqGSIb3DQEBAQUABIIBAIvoWKG/ouWUH1luunBriL0iqFHuvDbZWi3A76rvOJAKbNUhtZze6RKroduMFrn5uWEr/DYdiMOGHDUl5nNjpRDHLAtKV/nA2Q0JmPGFj+B5b17fO6CcLnvtXMYglB/e5Q1sHhG0SUy4FqhATDif08NjmgrLVv6MyG1p9qWKL59+nd2ED2p3uOssOZFLbvydaaNsFcsnL6XhfHWUnDmfUBmpjd1HaK68tbqpiznoDa7vN5RRgztWmaFyzewOz5hDqXy3y5Xf2LF0lxpMfx17WVRfsbpzc6gO+76MlPaHlgMwOSXi8sRyBdUZttF3OU2VDOfwLOl5IUtfWM+dXHKi0d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CORRESPONDE A NINGUNA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PARA TODAS LAS ENTIDADES SUPERVISADAS POR SUGEF.
SALIENTE GRUPOS DE INTERES ECONOMICOS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Validaciones GIE</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E9FC5603-8D64-44B9-9604-817C5973A4D4}"/>
</file>

<file path=customXml/itemProps2.xml><?xml version="1.0" encoding="utf-8"?>
<ds:datastoreItem xmlns:ds="http://schemas.openxmlformats.org/officeDocument/2006/customXml" ds:itemID="{8D6BCE14-55F6-40BD-B261-2EEC4B590C2D}"/>
</file>

<file path=customXml/itemProps3.xml><?xml version="1.0" encoding="utf-8"?>
<ds:datastoreItem xmlns:ds="http://schemas.openxmlformats.org/officeDocument/2006/customXml" ds:itemID="{7E1A6AFB-C237-493F-B35B-A9C91BC6FE18}">
  <ds:schemaRefs>
    <ds:schemaRef ds:uri="b875e23b-67d9-4b2e-bdec-edacbf90b326"/>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5.xml><?xml version="1.0" encoding="utf-8"?>
<ds:datastoreItem xmlns:ds="http://schemas.openxmlformats.org/officeDocument/2006/customXml" ds:itemID="{BA8C1D3E-B4A5-4BBF-8DEB-410C2AEE890D}"/>
</file>

<file path=customXml/itemProps6.xml><?xml version="1.0" encoding="utf-8"?>
<ds:datastoreItem xmlns:ds="http://schemas.openxmlformats.org/officeDocument/2006/customXml" ds:itemID="{6D1D43F9-7FFF-4C64-B5D3-9B55810D84EE}"/>
</file>

<file path=docProps/app.xml><?xml version="1.0" encoding="utf-8"?>
<Properties xmlns="http://schemas.openxmlformats.org/officeDocument/2006/extended-properties" xmlns:vt="http://schemas.openxmlformats.org/officeDocument/2006/docPropsVTypes">
  <Template>plantillas-SGF-13</Template>
  <TotalTime>55</TotalTime>
  <Pages>3</Pages>
  <Words>936</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MARIA GABRIELA</cp:lastModifiedBy>
  <cp:revision>8</cp:revision>
  <dcterms:created xsi:type="dcterms:W3CDTF">2021-08-25T16:02:00Z</dcterms:created>
  <dcterms:modified xsi:type="dcterms:W3CDTF">2021-08-26T21:10:00Z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561300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58129e4d-2a7c-4442-ab86-f4288b01d5ff,5;7dedacbb-5c77-4a35-8847-40abd1245d4d,8;</vt:lpwstr>
  </property>
</Properties>
</file>