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863B8" w:rsidR="005749ED" w:rsidP="005749ED" w:rsidRDefault="005749ED" w14:paraId="253CEEFC" w14:textId="0A4E24C3">
      <w:pPr>
        <w:pStyle w:val="Texto"/>
        <w:spacing w:before="0" w:after="0" w:line="240" w:lineRule="auto"/>
        <w:jc w:val="center"/>
        <w:rPr>
          <w:b/>
          <w:sz w:val="24"/>
        </w:rPr>
      </w:pPr>
      <w:r w:rsidRPr="00B863B8">
        <w:rPr>
          <w:b/>
          <w:sz w:val="24"/>
        </w:rPr>
        <w:t>Circular externa</w:t>
      </w:r>
    </w:p>
    <w:p w:rsidRPr="00B863B8" w:rsidR="006972C9" w:rsidP="005749ED" w:rsidRDefault="00E70F99" w14:paraId="0DAB69A7" w14:textId="2FC3E50D">
      <w:pPr>
        <w:pStyle w:val="Texto"/>
        <w:spacing w:before="0" w:after="0" w:line="240" w:lineRule="auto"/>
        <w:jc w:val="center"/>
        <w:rPr>
          <w:sz w:val="24"/>
        </w:rPr>
      </w:pPr>
      <w:r w:rsidRPr="00B863B8">
        <w:rPr>
          <w:sz w:val="24"/>
        </w:rPr>
        <w:t>27</w:t>
      </w:r>
      <w:r w:rsidRPr="00B863B8" w:rsidR="005749ED">
        <w:rPr>
          <w:sz w:val="24"/>
        </w:rPr>
        <w:t xml:space="preserve"> de julio de 2021</w:t>
      </w:r>
    </w:p>
    <w:sdt>
      <w:sdtPr>
        <w:rPr>
          <w:sz w:val="24"/>
        </w:rPr>
        <w:alias w:val="Consecutivo"/>
        <w:tag w:val="Consecutivo"/>
        <w:id w:val="2052717023"/>
        <w:placeholder>
          <w:docPart w:val="7E9F398F6F114BB09EE7EB805D5A3588"/>
        </w:placeholder>
        <w:text/>
      </w:sdtPr>
      <w:sdtEndPr/>
      <w:sdtContent>
        <w:p w:rsidRPr="00B863B8" w:rsidR="006972C9" w:rsidP="005749ED" w:rsidRDefault="006972C9" w14:paraId="0400DDF3" w14:textId="77777777">
          <w:pPr>
            <w:tabs>
              <w:tab w:val="left" w:pos="2843"/>
            </w:tabs>
            <w:spacing w:line="240" w:lineRule="auto"/>
            <w:jc w:val="center"/>
            <w:rPr>
              <w:sz w:val="24"/>
            </w:rPr>
          </w:pPr>
          <w:r>
            <w:t>SGF-2114-2021</w:t>
          </w:r>
        </w:p>
      </w:sdtContent>
    </w:sdt>
    <w:p w:rsidRPr="00B863B8" w:rsidR="006972C9" w:rsidP="005749ED" w:rsidRDefault="007A407A" w14:paraId="304F622F" w14:textId="08D52A2F">
      <w:pPr>
        <w:tabs>
          <w:tab w:val="left" w:pos="2843"/>
        </w:tabs>
        <w:spacing w:line="240" w:lineRule="auto"/>
        <w:jc w:val="center"/>
        <w:rPr>
          <w:sz w:val="24"/>
        </w:rPr>
      </w:pPr>
      <w:sdt>
        <w:sdtPr>
          <w:rPr>
            <w:sz w:val="24"/>
          </w:rPr>
          <w:alias w:val="Confidencialidad"/>
          <w:tag w:val="Confidencialidad"/>
          <w:id w:val="1447896894"/>
          <w:placeholder>
            <w:docPart w:val="7EA00787AF864CCAB6FB200D1277B0B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B863B8" w:rsidR="005749ED">
            <w:rPr>
              <w:sz w:val="24"/>
            </w:rPr>
            <w:t>SGF-PUBLICO</w:t>
          </w:r>
        </w:sdtContent>
      </w:sdt>
    </w:p>
    <w:p w:rsidRPr="00B863B8" w:rsidR="005749ED" w:rsidP="005749ED" w:rsidRDefault="005749ED" w14:paraId="3B8D2AD7" w14:textId="77777777">
      <w:pPr>
        <w:spacing w:line="240" w:lineRule="auto"/>
        <w:jc w:val="left"/>
        <w:rPr>
          <w:rFonts w:eastAsia="Calibri"/>
          <w:b/>
          <w:sz w:val="24"/>
          <w:lang w:val="es-CR"/>
        </w:rPr>
      </w:pPr>
    </w:p>
    <w:p w:rsidRPr="00B863B8" w:rsidR="005749ED" w:rsidP="005749ED" w:rsidRDefault="005749ED" w14:paraId="1C3AD3B2" w14:textId="31B13D9E">
      <w:pPr>
        <w:spacing w:line="240" w:lineRule="auto"/>
        <w:jc w:val="left"/>
        <w:rPr>
          <w:rFonts w:eastAsia="Calibri"/>
          <w:b/>
          <w:sz w:val="24"/>
          <w:lang w:val="es-CR"/>
        </w:rPr>
      </w:pPr>
      <w:r w:rsidRPr="00B863B8">
        <w:rPr>
          <w:rFonts w:eastAsia="Calibri"/>
          <w:b/>
          <w:sz w:val="24"/>
          <w:lang w:val="es-CR"/>
        </w:rPr>
        <w:t xml:space="preserve">Dirigida a: </w:t>
      </w:r>
    </w:p>
    <w:p w:rsidRPr="00B863B8" w:rsidR="005749ED" w:rsidP="005749ED" w:rsidRDefault="005749ED" w14:paraId="17D8209E" w14:textId="77777777">
      <w:pPr>
        <w:spacing w:line="240" w:lineRule="auto"/>
        <w:jc w:val="left"/>
        <w:rPr>
          <w:rFonts w:eastAsia="Calibri"/>
          <w:b/>
          <w:sz w:val="24"/>
          <w:lang w:val="es-CR"/>
        </w:rPr>
      </w:pPr>
    </w:p>
    <w:p w:rsidRPr="00B863B8" w:rsidR="005749ED" w:rsidP="005749ED" w:rsidRDefault="005749ED" w14:paraId="596815C7" w14:textId="77777777">
      <w:pPr>
        <w:numPr>
          <w:ilvl w:val="0"/>
          <w:numId w:val="3"/>
        </w:numPr>
        <w:spacing w:after="160" w:line="240" w:lineRule="auto"/>
        <w:jc w:val="left"/>
        <w:rPr>
          <w:rFonts w:eastAsia="Calibri"/>
          <w:b/>
          <w:sz w:val="24"/>
          <w:lang w:val="es-CR"/>
        </w:rPr>
      </w:pPr>
      <w:r w:rsidRPr="00B863B8">
        <w:rPr>
          <w:rFonts w:eastAsia="Calibri"/>
          <w:b/>
          <w:sz w:val="24"/>
          <w:lang w:val="es-CR"/>
        </w:rPr>
        <w:t>Banco Popular y de Desarrollo Comunal</w:t>
      </w:r>
    </w:p>
    <w:p w:rsidRPr="00B863B8" w:rsidR="005749ED" w:rsidP="005749ED" w:rsidRDefault="005749ED" w14:paraId="09185EF8" w14:textId="77777777">
      <w:pPr>
        <w:numPr>
          <w:ilvl w:val="0"/>
          <w:numId w:val="3"/>
        </w:numPr>
        <w:spacing w:after="160" w:line="240" w:lineRule="auto"/>
        <w:jc w:val="left"/>
        <w:rPr>
          <w:rFonts w:eastAsia="Calibri"/>
          <w:b/>
          <w:sz w:val="24"/>
          <w:lang w:val="es-CR"/>
        </w:rPr>
      </w:pPr>
      <w:r w:rsidRPr="00B863B8">
        <w:rPr>
          <w:rFonts w:eastAsia="Calibri"/>
          <w:b/>
          <w:sz w:val="24"/>
          <w:lang w:val="es-CR"/>
        </w:rPr>
        <w:t>Organizaciones Cooperativas de Ahorro y Crédito</w:t>
      </w:r>
    </w:p>
    <w:p w:rsidRPr="00B863B8" w:rsidR="005749ED" w:rsidP="005749ED" w:rsidRDefault="005749ED" w14:paraId="0700043F" w14:textId="77777777">
      <w:pPr>
        <w:spacing w:line="240" w:lineRule="auto"/>
        <w:jc w:val="left"/>
        <w:rPr>
          <w:rFonts w:eastAsia="Calibri"/>
          <w:sz w:val="24"/>
          <w:lang w:val="es-CR"/>
        </w:rPr>
      </w:pPr>
    </w:p>
    <w:p w:rsidRPr="00B863B8" w:rsidR="00E70F99" w:rsidP="005749ED" w:rsidRDefault="005749ED" w14:paraId="76B81906" w14:textId="09AFE174">
      <w:pPr>
        <w:spacing w:line="240" w:lineRule="auto"/>
        <w:rPr>
          <w:sz w:val="24"/>
          <w:lang w:val="es-CR"/>
        </w:rPr>
      </w:pPr>
      <w:r w:rsidRPr="00B863B8">
        <w:rPr>
          <w:rFonts w:eastAsia="Calibri"/>
          <w:b/>
          <w:sz w:val="24"/>
          <w:lang w:val="es-CR"/>
        </w:rPr>
        <w:t>Asunto:</w:t>
      </w:r>
      <w:r w:rsidRPr="00B863B8">
        <w:rPr>
          <w:rFonts w:eastAsia="Calibri"/>
          <w:sz w:val="24"/>
          <w:lang w:val="es-CR"/>
        </w:rPr>
        <w:t xml:space="preserve"> </w:t>
      </w:r>
      <w:r w:rsidRPr="00B863B8" w:rsidR="00A14F65">
        <w:rPr>
          <w:rFonts w:eastAsia="Calibri"/>
          <w:sz w:val="24"/>
          <w:lang w:val="es-CR"/>
        </w:rPr>
        <w:t>Registro y v</w:t>
      </w:r>
      <w:r w:rsidRPr="00B863B8" w:rsidR="00E70F99">
        <w:rPr>
          <w:sz w:val="24"/>
          <w:lang w:val="es-CR"/>
        </w:rPr>
        <w:t>aluación de la cuenta contable para el registro de la garantía contingente que requiere el artículo 16  de la Ley de Creación del Fondo de Garantía de Depósitos y de Mecanismos de Resolución de los Intermediarios Financieros</w:t>
      </w:r>
      <w:r w:rsidRPr="00B863B8" w:rsidR="00FB2657">
        <w:rPr>
          <w:sz w:val="24"/>
          <w:lang w:val="es-CR"/>
        </w:rPr>
        <w:t xml:space="preserve"> N° 9816</w:t>
      </w:r>
      <w:r w:rsidRPr="00B863B8" w:rsidR="00E70F99">
        <w:rPr>
          <w:sz w:val="24"/>
          <w:lang w:val="es-CR"/>
        </w:rPr>
        <w:t>, específicamente, para las entidades contribuyentes sujetas al régimen de reserva de liquidez y para el Banco Popular y de Desarrollo Comunal.</w:t>
      </w:r>
    </w:p>
    <w:p w:rsidRPr="00B863B8" w:rsidR="00E70F99" w:rsidP="005749ED" w:rsidRDefault="00E70F99" w14:paraId="48AE4084" w14:textId="77777777">
      <w:pPr>
        <w:spacing w:line="240" w:lineRule="auto"/>
        <w:rPr>
          <w:sz w:val="24"/>
        </w:rPr>
      </w:pPr>
    </w:p>
    <w:p w:rsidRPr="00B863B8" w:rsidR="005749ED" w:rsidP="005749ED" w:rsidRDefault="005749ED" w14:paraId="62FC2F46" w14:textId="77777777">
      <w:pPr>
        <w:spacing w:line="240" w:lineRule="auto"/>
        <w:jc w:val="left"/>
        <w:rPr>
          <w:rFonts w:eastAsia="Calibri"/>
          <w:sz w:val="24"/>
          <w:lang w:val="es-CR"/>
        </w:rPr>
      </w:pPr>
      <w:r w:rsidRPr="00B863B8">
        <w:rPr>
          <w:rFonts w:eastAsia="Calibri"/>
          <w:sz w:val="24"/>
          <w:lang w:val="es-CR"/>
        </w:rPr>
        <w:t>La Superintendente General de Entidades Financieras:</w:t>
      </w:r>
    </w:p>
    <w:p w:rsidRPr="00B863B8" w:rsidR="005749ED" w:rsidP="005749ED" w:rsidRDefault="005749ED" w14:paraId="7FAE8936" w14:textId="77777777">
      <w:pPr>
        <w:spacing w:line="240" w:lineRule="auto"/>
        <w:jc w:val="left"/>
        <w:rPr>
          <w:rFonts w:eastAsia="Calibri"/>
          <w:b/>
          <w:bCs/>
          <w:sz w:val="24"/>
          <w:lang w:val="es-CR"/>
        </w:rPr>
      </w:pPr>
    </w:p>
    <w:p w:rsidRPr="00B863B8" w:rsidR="005749ED" w:rsidP="005749ED" w:rsidRDefault="005749ED" w14:paraId="65D2D553" w14:textId="77777777">
      <w:pPr>
        <w:spacing w:line="240" w:lineRule="auto"/>
        <w:jc w:val="left"/>
        <w:rPr>
          <w:rFonts w:eastAsia="Calibri"/>
          <w:b/>
          <w:bCs/>
          <w:sz w:val="24"/>
          <w:lang w:val="es-CR"/>
        </w:rPr>
      </w:pPr>
      <w:r w:rsidRPr="00B863B8">
        <w:rPr>
          <w:rFonts w:eastAsia="Calibri"/>
          <w:b/>
          <w:bCs/>
          <w:sz w:val="24"/>
          <w:lang w:val="es-CR"/>
        </w:rPr>
        <w:t>Considerando que:</w:t>
      </w:r>
    </w:p>
    <w:p w:rsidRPr="00B863B8" w:rsidR="005749ED" w:rsidP="005749ED" w:rsidRDefault="005749ED" w14:paraId="644EC2F7" w14:textId="77777777">
      <w:pPr>
        <w:spacing w:line="240" w:lineRule="auto"/>
        <w:jc w:val="left"/>
        <w:rPr>
          <w:rFonts w:eastAsia="Calibri"/>
          <w:b/>
          <w:bCs/>
          <w:sz w:val="24"/>
          <w:lang w:val="es-CR"/>
        </w:rPr>
      </w:pPr>
    </w:p>
    <w:p w:rsidRPr="00B863B8" w:rsidR="005749ED" w:rsidP="005749ED" w:rsidRDefault="005749ED" w14:paraId="3C9A7A90" w14:textId="77777777">
      <w:pPr>
        <w:spacing w:line="240" w:lineRule="auto"/>
        <w:jc w:val="left"/>
        <w:rPr>
          <w:rFonts w:eastAsia="Calibri"/>
          <w:b/>
          <w:bCs/>
          <w:sz w:val="24"/>
          <w:lang w:val="es-CR"/>
        </w:rPr>
      </w:pPr>
    </w:p>
    <w:p w:rsidRPr="00B863B8" w:rsidR="005749ED" w:rsidP="005749ED" w:rsidRDefault="005749ED" w14:paraId="0D5CB152" w14:textId="45E37DA9">
      <w:pPr>
        <w:pStyle w:val="Prrafodelista"/>
        <w:numPr>
          <w:ilvl w:val="0"/>
          <w:numId w:val="4"/>
        </w:numPr>
        <w:autoSpaceDE w:val="0"/>
        <w:autoSpaceDN w:val="0"/>
        <w:adjustRightInd w:val="0"/>
        <w:spacing w:line="240" w:lineRule="auto"/>
        <w:rPr>
          <w:rFonts w:eastAsia="Calibri"/>
          <w:sz w:val="24"/>
          <w:lang w:val="es-CR"/>
        </w:rPr>
      </w:pPr>
      <w:r w:rsidRPr="00B863B8">
        <w:rPr>
          <w:sz w:val="24"/>
        </w:rPr>
        <w:t>El Consejo Nacional de Supervisión del Sistema Financiero, en el artículo 5, del acta de la sesión 1640-2021, celebrada el 28 de enero de 2021, en el apartado C, dispuso aprobar en firme</w:t>
      </w:r>
      <w:r w:rsidRPr="00B863B8" w:rsidR="00FB2657">
        <w:rPr>
          <w:bCs/>
          <w:iCs/>
          <w:color w:val="000000" w:themeColor="text1"/>
          <w:sz w:val="24"/>
        </w:rPr>
        <w:t>, la modificación a los a</w:t>
      </w:r>
      <w:r w:rsidRPr="00B863B8">
        <w:rPr>
          <w:bCs/>
          <w:iCs/>
          <w:color w:val="000000" w:themeColor="text1"/>
          <w:sz w:val="24"/>
        </w:rPr>
        <w:t>nexo</w:t>
      </w:r>
      <w:r w:rsidRPr="00B863B8" w:rsidR="00FB2657">
        <w:rPr>
          <w:bCs/>
          <w:iCs/>
          <w:color w:val="000000" w:themeColor="text1"/>
          <w:sz w:val="24"/>
        </w:rPr>
        <w:t>s</w:t>
      </w:r>
      <w:r w:rsidRPr="00B863B8">
        <w:rPr>
          <w:bCs/>
          <w:iCs/>
          <w:color w:val="000000" w:themeColor="text1"/>
          <w:sz w:val="24"/>
        </w:rPr>
        <w:t xml:space="preserve"> 1 y 3 del Reglamento de Información Financiera, para agregar las subcuentas y cuentas analíticas necesarias para el registro</w:t>
      </w:r>
      <w:r w:rsidRPr="00B863B8" w:rsidR="00FB2657">
        <w:rPr>
          <w:bCs/>
          <w:iCs/>
          <w:color w:val="000000" w:themeColor="text1"/>
          <w:sz w:val="24"/>
        </w:rPr>
        <w:t xml:space="preserve"> de la garantía contingente que deben establecer las entidades contribuyentes al </w:t>
      </w:r>
      <w:r w:rsidRPr="00B863B8">
        <w:rPr>
          <w:bCs/>
          <w:iCs/>
          <w:color w:val="000000" w:themeColor="text1"/>
          <w:sz w:val="24"/>
        </w:rPr>
        <w:t>Fondo de Garantía de Depósito (FGD)</w:t>
      </w:r>
      <w:r w:rsidRPr="00B863B8" w:rsidR="00FB2657">
        <w:rPr>
          <w:bCs/>
          <w:iCs/>
          <w:color w:val="000000" w:themeColor="text1"/>
          <w:sz w:val="24"/>
        </w:rPr>
        <w:t>, según lo estipula el artículo 16 de la Ley N° 9816</w:t>
      </w:r>
      <w:r w:rsidRPr="00B863B8">
        <w:rPr>
          <w:bCs/>
          <w:iCs/>
          <w:color w:val="000000" w:themeColor="text1"/>
          <w:sz w:val="24"/>
        </w:rPr>
        <w:t>.</w:t>
      </w:r>
    </w:p>
    <w:p w:rsidRPr="00B863B8" w:rsidR="005749ED" w:rsidP="005749ED" w:rsidRDefault="005749ED" w14:paraId="380B4372" w14:textId="77777777">
      <w:pPr>
        <w:pStyle w:val="Prrafodelista"/>
        <w:autoSpaceDE w:val="0"/>
        <w:autoSpaceDN w:val="0"/>
        <w:adjustRightInd w:val="0"/>
        <w:spacing w:line="240" w:lineRule="auto"/>
        <w:ind w:left="1080"/>
        <w:rPr>
          <w:rFonts w:eastAsia="Calibri"/>
          <w:sz w:val="24"/>
          <w:lang w:val="es-CR"/>
        </w:rPr>
      </w:pPr>
    </w:p>
    <w:p w:rsidRPr="00B863B8" w:rsidR="005749ED" w:rsidP="005749ED" w:rsidRDefault="005749ED" w14:paraId="23275025" w14:textId="55BE8380">
      <w:pPr>
        <w:pStyle w:val="Prrafodelista"/>
        <w:numPr>
          <w:ilvl w:val="0"/>
          <w:numId w:val="4"/>
        </w:numPr>
        <w:autoSpaceDE w:val="0"/>
        <w:autoSpaceDN w:val="0"/>
        <w:adjustRightInd w:val="0"/>
        <w:spacing w:line="240" w:lineRule="auto"/>
        <w:rPr>
          <w:rFonts w:eastAsia="Calibri"/>
          <w:sz w:val="24"/>
          <w:lang w:val="es-CR"/>
        </w:rPr>
      </w:pPr>
      <w:r w:rsidRPr="00B863B8">
        <w:rPr>
          <w:rFonts w:eastAsia="Calibri"/>
          <w:sz w:val="24"/>
          <w:lang w:val="es-CR"/>
        </w:rPr>
        <w:t>La cuenta contable creada para el registro</w:t>
      </w:r>
      <w:r w:rsidRPr="00B863B8" w:rsidR="006456E5">
        <w:rPr>
          <w:rFonts w:eastAsia="Calibri"/>
          <w:sz w:val="24"/>
          <w:lang w:val="es-CR"/>
        </w:rPr>
        <w:t xml:space="preserve"> de esa garantía contingente para el FGD</w:t>
      </w:r>
      <w:r w:rsidRPr="00B863B8" w:rsidR="009B498F">
        <w:rPr>
          <w:rFonts w:eastAsia="Calibri"/>
          <w:sz w:val="24"/>
          <w:lang w:val="es-CR"/>
        </w:rPr>
        <w:t xml:space="preserve"> por parte de las entidades contribuyentes que se encuentran en el régimen de reserva de liquidez, es  </w:t>
      </w:r>
      <w:r w:rsidRPr="00B863B8">
        <w:rPr>
          <w:rFonts w:eastAsia="Calibri"/>
          <w:sz w:val="24"/>
          <w:lang w:val="es-CR"/>
        </w:rPr>
        <w:t xml:space="preserve">la cuenta </w:t>
      </w:r>
      <w:r w:rsidRPr="00B863B8">
        <w:rPr>
          <w:rFonts w:eastAsia="Calibri"/>
          <w:i/>
          <w:iCs/>
          <w:sz w:val="24"/>
          <w:lang w:val="es-CR"/>
        </w:rPr>
        <w:t>“125.90 Garantía contingente al Fondo de Garantía de Depósitos (FGD) – Reserva de liquidez”</w:t>
      </w:r>
      <w:r w:rsidRPr="00B863B8">
        <w:rPr>
          <w:rFonts w:eastAsia="Calibri"/>
          <w:sz w:val="24"/>
          <w:lang w:val="es-CR"/>
        </w:rPr>
        <w:t>, junto con las siguientes cuentas analíticas:</w:t>
      </w:r>
    </w:p>
    <w:p w:rsidRPr="00B863B8" w:rsidR="005749ED" w:rsidP="005749ED" w:rsidRDefault="005749ED" w14:paraId="363A6C37" w14:textId="77777777">
      <w:pPr>
        <w:pStyle w:val="Prrafodelista"/>
        <w:rPr>
          <w:rFonts w:eastAsia="Calibri"/>
          <w:sz w:val="24"/>
          <w:lang w:val="es-CR"/>
        </w:rPr>
      </w:pPr>
    </w:p>
    <w:p w:rsidRPr="00B863B8" w:rsidR="005749ED" w:rsidP="005749ED" w:rsidRDefault="005749ED" w14:paraId="7A564C79" w14:textId="08C79B39">
      <w:pPr>
        <w:pStyle w:val="Prrafodelista"/>
        <w:numPr>
          <w:ilvl w:val="0"/>
          <w:numId w:val="6"/>
        </w:numPr>
        <w:autoSpaceDE w:val="0"/>
        <w:autoSpaceDN w:val="0"/>
        <w:adjustRightInd w:val="0"/>
        <w:spacing w:line="240" w:lineRule="auto"/>
        <w:rPr>
          <w:rFonts w:eastAsia="Calibri"/>
          <w:sz w:val="24"/>
          <w:lang w:val="es-CR"/>
        </w:rPr>
      </w:pPr>
      <w:r w:rsidRPr="00B863B8">
        <w:rPr>
          <w:rFonts w:eastAsia="Calibri"/>
          <w:sz w:val="24"/>
          <w:lang w:val="es-CR"/>
        </w:rPr>
        <w:t>125.90.M.01 Valor adquisición de instrumentos financieros garantía contingente - 2% sobre la reserva de liquidez</w:t>
      </w:r>
      <w:r w:rsidRPr="00B863B8" w:rsidR="009B498F">
        <w:rPr>
          <w:rFonts w:eastAsia="Calibri"/>
          <w:sz w:val="24"/>
          <w:lang w:val="es-CR"/>
        </w:rPr>
        <w:t>.</w:t>
      </w:r>
    </w:p>
    <w:p w:rsidRPr="00B863B8" w:rsidR="005749ED" w:rsidP="005749ED" w:rsidRDefault="005749ED" w14:paraId="5BC0BDA2" w14:textId="29DF154C">
      <w:pPr>
        <w:pStyle w:val="Prrafodelista"/>
        <w:numPr>
          <w:ilvl w:val="0"/>
          <w:numId w:val="6"/>
        </w:numPr>
        <w:autoSpaceDE w:val="0"/>
        <w:autoSpaceDN w:val="0"/>
        <w:adjustRightInd w:val="0"/>
        <w:spacing w:line="240" w:lineRule="auto"/>
        <w:rPr>
          <w:rFonts w:eastAsia="Calibri"/>
          <w:sz w:val="24"/>
          <w:lang w:val="es-CR"/>
        </w:rPr>
      </w:pPr>
      <w:r w:rsidRPr="00B863B8">
        <w:rPr>
          <w:rFonts w:eastAsia="Calibri"/>
          <w:sz w:val="24"/>
          <w:lang w:val="es-CR"/>
        </w:rPr>
        <w:t>125.90.M.03 (Amortización prima sobre instrumentos financieros garantía contingente - 2% sobre la reserva de liquidez)</w:t>
      </w:r>
      <w:r w:rsidRPr="00B863B8" w:rsidR="009B498F">
        <w:rPr>
          <w:rFonts w:eastAsia="Calibri"/>
          <w:sz w:val="24"/>
          <w:lang w:val="es-CR"/>
        </w:rPr>
        <w:t>.</w:t>
      </w:r>
    </w:p>
    <w:p w:rsidRPr="00B863B8" w:rsidR="005749ED" w:rsidP="005749ED" w:rsidRDefault="005749ED" w14:paraId="0C37DD7A" w14:textId="0B7CEE21">
      <w:pPr>
        <w:pStyle w:val="Prrafodelista"/>
        <w:numPr>
          <w:ilvl w:val="0"/>
          <w:numId w:val="6"/>
        </w:numPr>
        <w:autoSpaceDE w:val="0"/>
        <w:autoSpaceDN w:val="0"/>
        <w:adjustRightInd w:val="0"/>
        <w:spacing w:line="240" w:lineRule="auto"/>
        <w:rPr>
          <w:rFonts w:eastAsia="Calibri"/>
          <w:sz w:val="24"/>
          <w:lang w:val="es-CR"/>
        </w:rPr>
      </w:pPr>
      <w:r w:rsidRPr="00B863B8">
        <w:rPr>
          <w:rFonts w:eastAsia="Calibri"/>
          <w:sz w:val="24"/>
          <w:lang w:val="es-CR"/>
        </w:rPr>
        <w:t>125.90.M.04 Amortización descuento sobre instrumentos financieros garantía contingente - 2% sobre la reserva de liquidez</w:t>
      </w:r>
      <w:r w:rsidRPr="00B863B8" w:rsidR="009B498F">
        <w:rPr>
          <w:rFonts w:eastAsia="Calibri"/>
          <w:sz w:val="24"/>
          <w:lang w:val="es-CR"/>
        </w:rPr>
        <w:t>.</w:t>
      </w:r>
    </w:p>
    <w:p w:rsidRPr="00B863B8" w:rsidR="001F0A49" w:rsidP="001F0A49" w:rsidRDefault="001F0A49" w14:paraId="190ADBA9" w14:textId="77777777">
      <w:pPr>
        <w:autoSpaceDE w:val="0"/>
        <w:autoSpaceDN w:val="0"/>
        <w:adjustRightInd w:val="0"/>
        <w:spacing w:line="240" w:lineRule="auto"/>
        <w:rPr>
          <w:rFonts w:eastAsia="Calibri"/>
          <w:sz w:val="24"/>
          <w:lang w:val="es-CR"/>
        </w:rPr>
      </w:pPr>
    </w:p>
    <w:p w:rsidRPr="00B863B8" w:rsidR="001F0A49" w:rsidP="001F0A49" w:rsidRDefault="001F0A49" w14:paraId="0CD3248A" w14:textId="2E27EBD2">
      <w:pPr>
        <w:numPr>
          <w:ilvl w:val="0"/>
          <w:numId w:val="4"/>
        </w:numPr>
        <w:autoSpaceDE w:val="0"/>
        <w:autoSpaceDN w:val="0"/>
        <w:adjustRightInd w:val="0"/>
        <w:spacing w:after="160" w:line="240" w:lineRule="auto"/>
        <w:contextualSpacing/>
        <w:rPr>
          <w:rFonts w:eastAsia="Calibri"/>
          <w:sz w:val="24"/>
          <w:lang w:val="es-CR"/>
        </w:rPr>
      </w:pPr>
      <w:r w:rsidRPr="00B863B8">
        <w:rPr>
          <w:rFonts w:eastAsia="Calibri"/>
          <w:sz w:val="24"/>
          <w:lang w:val="es-CR"/>
        </w:rPr>
        <w:lastRenderedPageBreak/>
        <w:t>Asimismo, e</w:t>
      </w:r>
      <w:r w:rsidRPr="00B863B8">
        <w:rPr>
          <w:rFonts w:eastAsia="Calibri"/>
          <w:sz w:val="24"/>
          <w:lang w:val="es-CR"/>
        </w:rPr>
        <w:t>l Reglamento de Información Financiera</w:t>
      </w:r>
      <w:r w:rsidRPr="00B863B8">
        <w:rPr>
          <w:rFonts w:eastAsia="Calibri"/>
          <w:sz w:val="24"/>
          <w:lang w:val="es-CR"/>
        </w:rPr>
        <w:t>,</w:t>
      </w:r>
      <w:r w:rsidRPr="00B863B8">
        <w:rPr>
          <w:rFonts w:eastAsia="Calibri"/>
          <w:sz w:val="24"/>
          <w:lang w:val="es-CR"/>
        </w:rPr>
        <w:t xml:space="preserve"> en su artículo 26 </w:t>
      </w:r>
      <w:r w:rsidRPr="00B863B8">
        <w:rPr>
          <w:rFonts w:eastAsia="Calibri"/>
          <w:i/>
          <w:iCs/>
          <w:sz w:val="24"/>
          <w:lang w:val="es-CR"/>
        </w:rPr>
        <w:t>“Estructura y codificación de Plan de Cuentas”</w:t>
      </w:r>
      <w:r w:rsidRPr="00B863B8">
        <w:rPr>
          <w:rFonts w:eastAsia="Calibri"/>
          <w:i/>
          <w:iCs/>
          <w:sz w:val="24"/>
          <w:lang w:val="es-CR"/>
        </w:rPr>
        <w:t>,</w:t>
      </w:r>
      <w:r w:rsidRPr="00B863B8">
        <w:rPr>
          <w:rFonts w:eastAsia="Calibri"/>
          <w:i/>
          <w:iCs/>
          <w:sz w:val="24"/>
          <w:lang w:val="es-CR"/>
        </w:rPr>
        <w:t xml:space="preserve"> </w:t>
      </w:r>
      <w:r w:rsidRPr="00B863B8">
        <w:rPr>
          <w:rFonts w:eastAsia="Calibri"/>
          <w:sz w:val="24"/>
          <w:lang w:val="es-CR"/>
        </w:rPr>
        <w:t>establece que las entidades reguladas pueden abrir subcuentas analíticas a partir del noveno dígito, siempre que su naturaleza sea consistente con el de la cuenta analítica.</w:t>
      </w:r>
    </w:p>
    <w:p w:rsidRPr="00B863B8" w:rsidR="001F0A49" w:rsidP="001F0A49" w:rsidRDefault="001F0A49" w14:paraId="7BB5E9B1" w14:textId="77777777">
      <w:pPr>
        <w:autoSpaceDE w:val="0"/>
        <w:autoSpaceDN w:val="0"/>
        <w:adjustRightInd w:val="0"/>
        <w:spacing w:line="240" w:lineRule="auto"/>
        <w:rPr>
          <w:rFonts w:eastAsia="Calibri"/>
          <w:sz w:val="24"/>
          <w:lang w:val="es-CR"/>
        </w:rPr>
      </w:pPr>
    </w:p>
    <w:p w:rsidRPr="00B863B8" w:rsidR="00AD6800" w:rsidP="00AD6800" w:rsidRDefault="00AD6800" w14:paraId="01CF5F05" w14:textId="77777777">
      <w:pPr>
        <w:pStyle w:val="Prrafodelista"/>
        <w:autoSpaceDE w:val="0"/>
        <w:autoSpaceDN w:val="0"/>
        <w:adjustRightInd w:val="0"/>
        <w:spacing w:line="240" w:lineRule="auto"/>
        <w:ind w:left="1800"/>
        <w:rPr>
          <w:rFonts w:eastAsia="Calibri"/>
          <w:sz w:val="24"/>
          <w:lang w:val="es-CR"/>
        </w:rPr>
      </w:pPr>
    </w:p>
    <w:p w:rsidRPr="00B863B8" w:rsidR="005749ED" w:rsidP="000549EA" w:rsidRDefault="00AD6800" w14:paraId="4635C8FB" w14:textId="7AC036D1">
      <w:pPr>
        <w:pStyle w:val="Prrafodelista"/>
        <w:numPr>
          <w:ilvl w:val="0"/>
          <w:numId w:val="4"/>
        </w:numPr>
        <w:autoSpaceDE w:val="0"/>
        <w:autoSpaceDN w:val="0"/>
        <w:adjustRightInd w:val="0"/>
        <w:spacing w:line="240" w:lineRule="auto"/>
        <w:rPr>
          <w:rFonts w:eastAsia="Calibri"/>
          <w:i/>
          <w:iCs/>
          <w:sz w:val="24"/>
          <w:lang w:val="es-CR"/>
        </w:rPr>
      </w:pPr>
      <w:r w:rsidRPr="00B863B8">
        <w:rPr>
          <w:rFonts w:eastAsia="Calibri"/>
          <w:sz w:val="24"/>
          <w:lang w:val="es-CR"/>
        </w:rPr>
        <w:t>En el a</w:t>
      </w:r>
      <w:r w:rsidRPr="00B863B8" w:rsidR="005749ED">
        <w:rPr>
          <w:rFonts w:eastAsia="Calibri"/>
          <w:sz w:val="24"/>
          <w:lang w:val="es-CR"/>
        </w:rPr>
        <w:t>nexo 1</w:t>
      </w:r>
      <w:r w:rsidRPr="00B863B8">
        <w:rPr>
          <w:rFonts w:eastAsia="Calibri"/>
          <w:sz w:val="24"/>
          <w:lang w:val="es-CR"/>
        </w:rPr>
        <w:t xml:space="preserve"> del</w:t>
      </w:r>
      <w:r w:rsidRPr="00B863B8" w:rsidR="005749ED">
        <w:rPr>
          <w:rFonts w:eastAsia="Calibri"/>
          <w:sz w:val="24"/>
          <w:lang w:val="es-CR"/>
        </w:rPr>
        <w:t xml:space="preserve"> </w:t>
      </w:r>
      <w:r w:rsidRPr="00B863B8" w:rsidR="005749ED">
        <w:rPr>
          <w:rFonts w:eastAsia="Calibri"/>
          <w:i/>
          <w:sz w:val="24"/>
          <w:lang w:val="es-CR"/>
        </w:rPr>
        <w:t>“Plan de Cuentas”</w:t>
      </w:r>
      <w:r w:rsidRPr="00B863B8" w:rsidR="005749ED">
        <w:rPr>
          <w:rFonts w:eastAsia="Calibri"/>
          <w:sz w:val="24"/>
          <w:lang w:val="es-CR"/>
        </w:rPr>
        <w:t xml:space="preserve"> del Reglamento de Información Financiera se establece que en la cuenta contable, </w:t>
      </w:r>
      <w:r w:rsidRPr="00B863B8" w:rsidR="005749ED">
        <w:rPr>
          <w:rFonts w:eastAsia="Calibri"/>
          <w:i/>
          <w:iCs/>
          <w:sz w:val="24"/>
          <w:lang w:val="es-CR"/>
        </w:rPr>
        <w:t>“122</w:t>
      </w:r>
      <w:r w:rsidRPr="00B863B8" w:rsidR="005749ED">
        <w:rPr>
          <w:rFonts w:eastAsia="Calibri"/>
          <w:sz w:val="24"/>
          <w:lang w:val="es-CR"/>
        </w:rPr>
        <w:t xml:space="preserve"> </w:t>
      </w:r>
      <w:r w:rsidRPr="00B863B8" w:rsidR="005749ED">
        <w:rPr>
          <w:rFonts w:eastAsia="Calibri"/>
          <w:i/>
          <w:iCs/>
          <w:sz w:val="24"/>
          <w:lang w:val="es-CR"/>
        </w:rPr>
        <w:t xml:space="preserve">Inversiones al valor razonable con cambios en otro resultado integral”, </w:t>
      </w:r>
      <w:r w:rsidRPr="00B863B8" w:rsidR="005749ED">
        <w:rPr>
          <w:rFonts w:eastAsia="Calibri"/>
          <w:sz w:val="24"/>
          <w:lang w:val="es-CR"/>
        </w:rPr>
        <w:t>se registrarán las inversiones cuyo modelo de negocio tiene como fin tanto la obtención de flujos de efectivo contractuales como por su venta y se valorarán al valor razonable con cambios en el otro resultado integral (patrimonio).  Para esos activos, los intereses, diferencias de cambio y el deterioro se registran en resultados, como en el modelo de costo amortizado. Las variaciones de valor razonable se registrarán en la cuenta de patrimonio y podrán trasladarse a resultados cuando se liquidan. Cuando alguno de los instrumentos</w:t>
      </w:r>
      <w:r w:rsidRPr="00B863B8">
        <w:rPr>
          <w:rFonts w:eastAsia="Calibri"/>
          <w:sz w:val="24"/>
          <w:lang w:val="es-CR"/>
        </w:rPr>
        <w:t xml:space="preserve"> financieros clasificados en es</w:t>
      </w:r>
      <w:r w:rsidRPr="00B863B8" w:rsidR="005749ED">
        <w:rPr>
          <w:rFonts w:eastAsia="Calibri"/>
          <w:sz w:val="24"/>
          <w:lang w:val="es-CR"/>
        </w:rPr>
        <w:t xml:space="preserve">a categoría sea pignorado por medio de instrumentos con pacto de reporto tripartito (recompra) u otro tipo de instrumentos que las leyes le permitan realizar de acuerdo con su naturaleza, por cuyo medio se entreguen en garantía, o comprometan de alguna forma, serán reclasificados a la cuenta contable </w:t>
      </w:r>
      <w:r w:rsidRPr="00B863B8" w:rsidR="005749ED">
        <w:rPr>
          <w:rFonts w:eastAsia="Calibri"/>
          <w:i/>
          <w:iCs/>
          <w:sz w:val="24"/>
          <w:lang w:val="es-CR"/>
        </w:rPr>
        <w:t>“125 Instrumentos financieros vencidos y restringidos”.</w:t>
      </w:r>
    </w:p>
    <w:p w:rsidRPr="00B863B8" w:rsidR="005749ED" w:rsidP="005749ED" w:rsidRDefault="005749ED" w14:paraId="186C2997" w14:textId="77777777">
      <w:pPr>
        <w:pStyle w:val="Prrafodelista"/>
        <w:rPr>
          <w:rFonts w:eastAsia="Calibri"/>
          <w:sz w:val="24"/>
          <w:lang w:val="es-CR"/>
        </w:rPr>
      </w:pPr>
    </w:p>
    <w:p w:rsidRPr="00B863B8" w:rsidR="005749ED" w:rsidP="005749ED" w:rsidRDefault="005749ED" w14:paraId="0884489F" w14:textId="25730E39">
      <w:pPr>
        <w:pStyle w:val="Prrafodelista"/>
        <w:numPr>
          <w:ilvl w:val="0"/>
          <w:numId w:val="4"/>
        </w:numPr>
        <w:autoSpaceDE w:val="0"/>
        <w:autoSpaceDN w:val="0"/>
        <w:adjustRightInd w:val="0"/>
        <w:spacing w:line="240" w:lineRule="auto"/>
        <w:rPr>
          <w:rFonts w:eastAsia="Calibri"/>
          <w:sz w:val="24"/>
          <w:lang w:val="es-CR"/>
        </w:rPr>
      </w:pPr>
      <w:r w:rsidRPr="00B863B8">
        <w:rPr>
          <w:rFonts w:eastAsia="Calibri"/>
          <w:sz w:val="24"/>
          <w:lang w:val="es-CR"/>
        </w:rPr>
        <w:t>Actualmente</w:t>
      </w:r>
      <w:r w:rsidRPr="00B863B8" w:rsidR="001F0A49">
        <w:rPr>
          <w:rFonts w:eastAsia="Calibri"/>
          <w:sz w:val="24"/>
          <w:lang w:val="es-CR"/>
        </w:rPr>
        <w:t>,</w:t>
      </w:r>
      <w:r w:rsidRPr="00B863B8">
        <w:rPr>
          <w:rFonts w:eastAsia="Calibri"/>
          <w:sz w:val="24"/>
          <w:lang w:val="es-CR"/>
        </w:rPr>
        <w:t xml:space="preserve"> el registro contable de la reserva de liquidez se realiza en las siguientes subcuentas:</w:t>
      </w:r>
    </w:p>
    <w:p w:rsidRPr="00B863B8" w:rsidR="005749ED" w:rsidP="005749ED" w:rsidRDefault="005749ED" w14:paraId="55E2A92B" w14:textId="77777777">
      <w:pPr>
        <w:pStyle w:val="Prrafodelista"/>
        <w:rPr>
          <w:rFonts w:eastAsia="Calibri"/>
          <w:sz w:val="24"/>
          <w:lang w:val="es-CR"/>
        </w:rPr>
      </w:pPr>
    </w:p>
    <w:p w:rsidRPr="00B863B8" w:rsidR="005749ED" w:rsidP="005749ED" w:rsidRDefault="005749ED" w14:paraId="7380B34E" w14:textId="77777777">
      <w:pPr>
        <w:pStyle w:val="Prrafodelista"/>
        <w:numPr>
          <w:ilvl w:val="0"/>
          <w:numId w:val="6"/>
        </w:numPr>
        <w:autoSpaceDE w:val="0"/>
        <w:autoSpaceDN w:val="0"/>
        <w:adjustRightInd w:val="0"/>
        <w:spacing w:line="240" w:lineRule="auto"/>
        <w:rPr>
          <w:rFonts w:eastAsia="Calibri"/>
          <w:sz w:val="24"/>
          <w:lang w:val="es-CR"/>
        </w:rPr>
      </w:pPr>
      <w:r w:rsidRPr="00B863B8">
        <w:rPr>
          <w:rFonts w:eastAsia="Calibri"/>
          <w:sz w:val="24"/>
          <w:lang w:val="es-CR"/>
        </w:rPr>
        <w:t>122.60 Instrumentos financieros del BCCR - Respaldo Reserva Liquidez</w:t>
      </w:r>
    </w:p>
    <w:p w:rsidRPr="00B863B8" w:rsidR="005749ED" w:rsidP="005749ED" w:rsidRDefault="005749ED" w14:paraId="2B6BABA0" w14:textId="77777777">
      <w:pPr>
        <w:pStyle w:val="Prrafodelista"/>
        <w:numPr>
          <w:ilvl w:val="0"/>
          <w:numId w:val="6"/>
        </w:numPr>
        <w:autoSpaceDE w:val="0"/>
        <w:autoSpaceDN w:val="0"/>
        <w:adjustRightInd w:val="0"/>
        <w:spacing w:line="240" w:lineRule="auto"/>
        <w:rPr>
          <w:rFonts w:eastAsia="Calibri"/>
          <w:sz w:val="24"/>
          <w:lang w:val="es-CR"/>
        </w:rPr>
      </w:pPr>
      <w:r w:rsidRPr="00B863B8">
        <w:rPr>
          <w:rFonts w:eastAsia="Calibri"/>
          <w:sz w:val="24"/>
          <w:lang w:val="es-CR"/>
        </w:rPr>
        <w:t>122.61 Instrumentos financieros emitidos por el Gobierno Central del país - Respaldo Reserva Liquidez</w:t>
      </w:r>
    </w:p>
    <w:p w:rsidRPr="00B863B8" w:rsidR="005749ED" w:rsidP="005749ED" w:rsidRDefault="005749ED" w14:paraId="5CA3EF5E" w14:textId="77777777">
      <w:pPr>
        <w:pStyle w:val="Prrafodelista"/>
        <w:numPr>
          <w:ilvl w:val="0"/>
          <w:numId w:val="6"/>
        </w:numPr>
        <w:autoSpaceDE w:val="0"/>
        <w:autoSpaceDN w:val="0"/>
        <w:adjustRightInd w:val="0"/>
        <w:spacing w:line="240" w:lineRule="auto"/>
        <w:rPr>
          <w:rFonts w:eastAsia="Calibri"/>
          <w:sz w:val="24"/>
          <w:lang w:val="es-CR"/>
        </w:rPr>
      </w:pPr>
      <w:r w:rsidRPr="00B863B8">
        <w:rPr>
          <w:rFonts w:eastAsia="Calibri"/>
          <w:sz w:val="24"/>
          <w:lang w:val="es-CR"/>
        </w:rPr>
        <w:t>122.62 Instrumentos financieros emitidos por entidades del Sistema Bancario Nacional - Respaldo Reserva Liquidez</w:t>
      </w:r>
    </w:p>
    <w:p w:rsidRPr="00B863B8" w:rsidR="005749ED" w:rsidP="005749ED" w:rsidRDefault="005749ED" w14:paraId="1822C59D" w14:textId="77777777">
      <w:pPr>
        <w:spacing w:line="240" w:lineRule="auto"/>
        <w:rPr>
          <w:rFonts w:eastAsia="Calibri"/>
          <w:b/>
          <w:bCs/>
          <w:sz w:val="24"/>
          <w:lang w:val="es-CR"/>
        </w:rPr>
      </w:pPr>
    </w:p>
    <w:p w:rsidRPr="00B863B8" w:rsidR="005749ED" w:rsidP="005749ED" w:rsidRDefault="001F0A49" w14:paraId="0903D10F" w14:textId="2A3D2363">
      <w:pPr>
        <w:pStyle w:val="Prrafodelista"/>
        <w:spacing w:line="240" w:lineRule="auto"/>
        <w:ind w:left="1080"/>
        <w:rPr>
          <w:rFonts w:eastAsia="Calibri"/>
          <w:sz w:val="24"/>
          <w:lang w:val="es-CR"/>
        </w:rPr>
      </w:pPr>
      <w:r w:rsidRPr="00B863B8">
        <w:rPr>
          <w:rFonts w:eastAsia="Calibri"/>
          <w:sz w:val="24"/>
          <w:lang w:val="es-CR"/>
        </w:rPr>
        <w:t>Complementariamente</w:t>
      </w:r>
      <w:r w:rsidRPr="00B863B8" w:rsidR="00AD6800">
        <w:rPr>
          <w:rFonts w:eastAsia="Calibri"/>
          <w:sz w:val="24"/>
          <w:lang w:val="es-CR"/>
        </w:rPr>
        <w:t>, se utilizan las siguientes</w:t>
      </w:r>
      <w:r w:rsidRPr="00B863B8" w:rsidR="005749ED">
        <w:rPr>
          <w:rFonts w:eastAsia="Calibri"/>
          <w:sz w:val="24"/>
          <w:lang w:val="es-CR"/>
        </w:rPr>
        <w:t xml:space="preserve"> cuentas analíticas</w:t>
      </w:r>
      <w:r w:rsidRPr="00B863B8" w:rsidR="00AD6800">
        <w:rPr>
          <w:rFonts w:eastAsia="Calibri"/>
          <w:sz w:val="24"/>
          <w:lang w:val="es-CR"/>
        </w:rPr>
        <w:t xml:space="preserve"> respectivas</w:t>
      </w:r>
      <w:r w:rsidRPr="00B863B8" w:rsidR="005749ED">
        <w:rPr>
          <w:rFonts w:eastAsia="Calibri"/>
          <w:sz w:val="24"/>
          <w:lang w:val="es-CR"/>
        </w:rPr>
        <w:t>:</w:t>
      </w:r>
    </w:p>
    <w:p w:rsidRPr="00B863B8" w:rsidR="005749ED" w:rsidP="005749ED" w:rsidRDefault="005749ED" w14:paraId="7277E8B0" w14:textId="77777777">
      <w:pPr>
        <w:spacing w:line="240" w:lineRule="auto"/>
        <w:rPr>
          <w:rFonts w:eastAsia="Calibri"/>
          <w:sz w:val="24"/>
          <w:lang w:val="es-CR"/>
        </w:rPr>
      </w:pPr>
    </w:p>
    <w:p w:rsidRPr="00B863B8" w:rsidR="005749ED" w:rsidP="005749ED" w:rsidRDefault="005749ED" w14:paraId="7D26A9A3" w14:textId="77777777">
      <w:pPr>
        <w:pStyle w:val="Prrafodelista"/>
        <w:numPr>
          <w:ilvl w:val="0"/>
          <w:numId w:val="6"/>
        </w:numPr>
        <w:autoSpaceDE w:val="0"/>
        <w:autoSpaceDN w:val="0"/>
        <w:adjustRightInd w:val="0"/>
        <w:spacing w:line="240" w:lineRule="auto"/>
        <w:rPr>
          <w:rFonts w:eastAsia="Calibri"/>
          <w:sz w:val="24"/>
          <w:lang w:val="es-CR"/>
        </w:rPr>
      </w:pPr>
      <w:r w:rsidRPr="00B863B8">
        <w:rPr>
          <w:rFonts w:eastAsia="Calibri"/>
          <w:sz w:val="24"/>
          <w:lang w:val="es-CR"/>
        </w:rPr>
        <w:t>122.XX.M.01 Valor adquisición de instrumentos financieros del BCCR</w:t>
      </w:r>
    </w:p>
    <w:p w:rsidRPr="00B863B8" w:rsidR="005749ED" w:rsidP="005749ED" w:rsidRDefault="005749ED" w14:paraId="4F46BC3D" w14:textId="77777777">
      <w:pPr>
        <w:pStyle w:val="Prrafodelista"/>
        <w:numPr>
          <w:ilvl w:val="0"/>
          <w:numId w:val="6"/>
        </w:numPr>
        <w:autoSpaceDE w:val="0"/>
        <w:autoSpaceDN w:val="0"/>
        <w:adjustRightInd w:val="0"/>
        <w:spacing w:line="240" w:lineRule="auto"/>
        <w:rPr>
          <w:rFonts w:eastAsia="Calibri"/>
          <w:sz w:val="24"/>
          <w:lang w:val="es-CR"/>
        </w:rPr>
      </w:pPr>
      <w:r w:rsidRPr="00B863B8">
        <w:rPr>
          <w:rFonts w:eastAsia="Calibri"/>
          <w:sz w:val="24"/>
          <w:lang w:val="es-CR"/>
        </w:rPr>
        <w:t>122.XX.M.02 (Amortización prima sobre instrumentos financieros del BCCR)</w:t>
      </w:r>
    </w:p>
    <w:p w:rsidRPr="00B863B8" w:rsidR="005749ED" w:rsidP="005749ED" w:rsidRDefault="005749ED" w14:paraId="67B04AE5" w14:textId="77777777">
      <w:pPr>
        <w:pStyle w:val="Prrafodelista"/>
        <w:numPr>
          <w:ilvl w:val="0"/>
          <w:numId w:val="6"/>
        </w:numPr>
        <w:autoSpaceDE w:val="0"/>
        <w:autoSpaceDN w:val="0"/>
        <w:adjustRightInd w:val="0"/>
        <w:spacing w:line="240" w:lineRule="auto"/>
        <w:rPr>
          <w:rFonts w:eastAsia="Calibri"/>
          <w:sz w:val="24"/>
          <w:lang w:val="es-CR"/>
        </w:rPr>
      </w:pPr>
      <w:r w:rsidRPr="00B863B8">
        <w:rPr>
          <w:rFonts w:eastAsia="Calibri"/>
          <w:sz w:val="24"/>
          <w:lang w:val="es-CR"/>
        </w:rPr>
        <w:t>122.XX.M.03 Amortización descuento sobre instrumentos financieros del BCCR</w:t>
      </w:r>
    </w:p>
    <w:p w:rsidRPr="00B863B8" w:rsidR="005749ED" w:rsidP="005749ED" w:rsidRDefault="005749ED" w14:paraId="7136321E" w14:textId="77777777">
      <w:pPr>
        <w:pStyle w:val="Prrafodelista"/>
        <w:numPr>
          <w:ilvl w:val="0"/>
          <w:numId w:val="6"/>
        </w:numPr>
        <w:autoSpaceDE w:val="0"/>
        <w:autoSpaceDN w:val="0"/>
        <w:adjustRightInd w:val="0"/>
        <w:spacing w:line="240" w:lineRule="auto"/>
        <w:rPr>
          <w:rFonts w:eastAsia="Calibri"/>
          <w:sz w:val="24"/>
          <w:lang w:val="es-CR"/>
        </w:rPr>
      </w:pPr>
      <w:r w:rsidRPr="00B863B8">
        <w:rPr>
          <w:rFonts w:eastAsia="Calibri"/>
          <w:sz w:val="24"/>
          <w:lang w:val="es-CR"/>
        </w:rPr>
        <w:t>122.XX.M.04 Ajuste por valuación de instrumentos financieros del BCCR</w:t>
      </w:r>
    </w:p>
    <w:p w:rsidRPr="00B863B8" w:rsidR="005749ED" w:rsidP="005749ED" w:rsidRDefault="005749ED" w14:paraId="472D9D90" w14:textId="77777777">
      <w:pPr>
        <w:pStyle w:val="Prrafodelista"/>
        <w:numPr>
          <w:ilvl w:val="0"/>
          <w:numId w:val="6"/>
        </w:numPr>
        <w:autoSpaceDE w:val="0"/>
        <w:autoSpaceDN w:val="0"/>
        <w:adjustRightInd w:val="0"/>
        <w:spacing w:line="240" w:lineRule="auto"/>
        <w:rPr>
          <w:rFonts w:eastAsia="Calibri"/>
          <w:sz w:val="24"/>
          <w:lang w:val="es-CR"/>
        </w:rPr>
      </w:pPr>
      <w:r w:rsidRPr="00B863B8">
        <w:rPr>
          <w:rFonts w:eastAsia="Calibri"/>
          <w:sz w:val="24"/>
          <w:lang w:val="es-CR"/>
        </w:rPr>
        <w:t>122.XX.M.05 Ajuste en partida cubierta por cobertura valor razonable</w:t>
      </w:r>
    </w:p>
    <w:p w:rsidRPr="00B863B8" w:rsidR="005749ED" w:rsidP="005749ED" w:rsidRDefault="005749ED" w14:paraId="3C02701C" w14:textId="77777777">
      <w:pPr>
        <w:spacing w:line="240" w:lineRule="auto"/>
        <w:rPr>
          <w:rFonts w:eastAsia="Calibri"/>
          <w:b/>
          <w:bCs/>
          <w:sz w:val="24"/>
          <w:lang w:val="es-CR"/>
        </w:rPr>
      </w:pPr>
    </w:p>
    <w:p w:rsidRPr="00B863B8" w:rsidR="005749ED" w:rsidP="005749ED" w:rsidRDefault="00AD6800" w14:paraId="4493B0FF" w14:textId="21D08393">
      <w:pPr>
        <w:pStyle w:val="Prrafodelista"/>
        <w:numPr>
          <w:ilvl w:val="0"/>
          <w:numId w:val="4"/>
        </w:numPr>
        <w:autoSpaceDE w:val="0"/>
        <w:autoSpaceDN w:val="0"/>
        <w:adjustRightInd w:val="0"/>
        <w:spacing w:line="240" w:lineRule="auto"/>
        <w:rPr>
          <w:rFonts w:eastAsia="Calibri"/>
          <w:sz w:val="24"/>
          <w:lang w:val="es-CR"/>
        </w:rPr>
      </w:pPr>
      <w:r w:rsidRPr="00B863B8">
        <w:rPr>
          <w:rFonts w:eastAsia="Calibri"/>
          <w:sz w:val="24"/>
          <w:lang w:val="es-CR"/>
        </w:rPr>
        <w:t>En el a</w:t>
      </w:r>
      <w:r w:rsidRPr="00B863B8" w:rsidR="005749ED">
        <w:rPr>
          <w:rFonts w:eastAsia="Calibri"/>
          <w:sz w:val="24"/>
          <w:lang w:val="es-CR"/>
        </w:rPr>
        <w:t>nexo 1</w:t>
      </w:r>
      <w:r w:rsidRPr="00B863B8">
        <w:rPr>
          <w:rFonts w:eastAsia="Calibri"/>
          <w:sz w:val="24"/>
          <w:lang w:val="es-CR"/>
        </w:rPr>
        <w:t xml:space="preserve"> del</w:t>
      </w:r>
      <w:r w:rsidRPr="00B863B8" w:rsidR="005749ED">
        <w:rPr>
          <w:rFonts w:eastAsia="Calibri"/>
          <w:sz w:val="24"/>
          <w:lang w:val="es-CR"/>
        </w:rPr>
        <w:t xml:space="preserve"> “Plan de Cuentas” del Reglamento de Información Financiera</w:t>
      </w:r>
      <w:r w:rsidRPr="00B863B8" w:rsidR="00A14F65">
        <w:rPr>
          <w:rFonts w:eastAsia="Calibri"/>
          <w:sz w:val="24"/>
          <w:lang w:val="es-CR"/>
        </w:rPr>
        <w:t>, se estipula</w:t>
      </w:r>
      <w:r w:rsidRPr="00B863B8" w:rsidR="005749ED">
        <w:rPr>
          <w:rFonts w:eastAsia="Calibri"/>
          <w:sz w:val="24"/>
          <w:lang w:val="es-CR"/>
        </w:rPr>
        <w:t xml:space="preserve"> que en la cuenta contable </w:t>
      </w:r>
      <w:r w:rsidRPr="00B863B8" w:rsidR="005749ED">
        <w:rPr>
          <w:rFonts w:eastAsia="Calibri"/>
          <w:i/>
          <w:iCs/>
          <w:sz w:val="24"/>
          <w:lang w:val="es-CR"/>
        </w:rPr>
        <w:t>“125 Instrumentos financieros vencidos y restringidos”</w:t>
      </w:r>
      <w:r w:rsidRPr="00B863B8" w:rsidR="005749ED">
        <w:rPr>
          <w:rFonts w:eastAsia="Calibri"/>
          <w:sz w:val="24"/>
          <w:lang w:val="es-CR"/>
        </w:rPr>
        <w:t>, se registran los instrumentos financieros incluidos en cualquiera de las cuentas contables 121,122 y 123, excepto las inversiones registradas en la cuenta 124, que la entidad ha comprometido por medio de avales, garantías, reportos o reportos tripartitos (recompras), llamadas a margen, operaciones a plazo compromiso de venta, u otro tipo de compromisos. Para efectos de valuación de los instrumentos fin</w:t>
      </w:r>
      <w:r w:rsidRPr="00B863B8" w:rsidR="00A14F65">
        <w:rPr>
          <w:rFonts w:eastAsia="Calibri"/>
          <w:sz w:val="24"/>
          <w:lang w:val="es-CR"/>
        </w:rPr>
        <w:t>ancieros que se registren en la</w:t>
      </w:r>
      <w:r w:rsidRPr="00B863B8" w:rsidR="005749ED">
        <w:rPr>
          <w:rFonts w:eastAsia="Calibri"/>
          <w:sz w:val="24"/>
          <w:lang w:val="es-CR"/>
        </w:rPr>
        <w:t xml:space="preserve"> cuenta</w:t>
      </w:r>
      <w:r w:rsidRPr="00B863B8" w:rsidR="00A14F65">
        <w:rPr>
          <w:rFonts w:eastAsia="Calibri"/>
          <w:sz w:val="24"/>
          <w:lang w:val="es-CR"/>
        </w:rPr>
        <w:t xml:space="preserve"> 125 mencionada</w:t>
      </w:r>
      <w:r w:rsidRPr="00B863B8" w:rsidR="005749ED">
        <w:rPr>
          <w:rFonts w:eastAsia="Calibri"/>
          <w:sz w:val="24"/>
          <w:lang w:val="es-CR"/>
        </w:rPr>
        <w:t xml:space="preserve">, debe hacerse acorde con lo dispuesto en la subcuenta que dio origen. </w:t>
      </w:r>
      <w:r w:rsidRPr="00B863B8" w:rsidR="00A14F65">
        <w:rPr>
          <w:rFonts w:eastAsia="Calibri"/>
          <w:sz w:val="24"/>
          <w:lang w:val="es-CR"/>
        </w:rPr>
        <w:t>Asimismo, en es</w:t>
      </w:r>
      <w:r w:rsidRPr="00B863B8" w:rsidR="005749ED">
        <w:rPr>
          <w:rFonts w:eastAsia="Calibri"/>
          <w:sz w:val="24"/>
          <w:lang w:val="es-CR"/>
        </w:rPr>
        <w:t>a cuenta se registra los instrumentos financieros con plazo vencido (excepto las inversiones registradas en la cuenta 124), proveniente de las cuentas integrantes de este grupo.</w:t>
      </w:r>
    </w:p>
    <w:p w:rsidRPr="00B863B8" w:rsidR="00A14F65" w:rsidP="00A14F65" w:rsidRDefault="00A14F65" w14:paraId="2C4C8BE0" w14:textId="77777777">
      <w:pPr>
        <w:pStyle w:val="Prrafodelista"/>
        <w:autoSpaceDE w:val="0"/>
        <w:autoSpaceDN w:val="0"/>
        <w:adjustRightInd w:val="0"/>
        <w:spacing w:line="240" w:lineRule="auto"/>
        <w:ind w:left="1080"/>
        <w:rPr>
          <w:rFonts w:eastAsia="Calibri"/>
          <w:sz w:val="24"/>
          <w:lang w:val="es-CR"/>
        </w:rPr>
      </w:pPr>
    </w:p>
    <w:p w:rsidRPr="00B863B8" w:rsidR="00A14F65" w:rsidP="005749ED" w:rsidRDefault="00A14F65" w14:paraId="57547013" w14:textId="51B81EEB">
      <w:pPr>
        <w:pStyle w:val="Prrafodelista"/>
        <w:numPr>
          <w:ilvl w:val="0"/>
          <w:numId w:val="4"/>
        </w:numPr>
        <w:autoSpaceDE w:val="0"/>
        <w:autoSpaceDN w:val="0"/>
        <w:adjustRightInd w:val="0"/>
        <w:spacing w:line="240" w:lineRule="auto"/>
        <w:rPr>
          <w:rFonts w:eastAsia="Calibri"/>
          <w:sz w:val="24"/>
          <w:lang w:val="es-CR"/>
        </w:rPr>
      </w:pPr>
      <w:r w:rsidRPr="00B863B8">
        <w:rPr>
          <w:rFonts w:eastAsia="Calibri"/>
          <w:sz w:val="24"/>
          <w:lang w:val="es-CR"/>
        </w:rPr>
        <w:t xml:space="preserve">Adicionalmente, es necesario que las inversiones que se encuentran registradas en la cuenta 125.90 estén debidamente valoradas para que cumplan con su objetivo de brindar una garantía efectiva al Fondo de Garantía de Depósito. </w:t>
      </w:r>
      <w:r w:rsidRPr="00B863B8" w:rsidR="001404E3">
        <w:rPr>
          <w:rFonts w:eastAsia="Calibri"/>
          <w:sz w:val="24"/>
          <w:lang w:val="es-CR"/>
        </w:rPr>
        <w:t>Cabe destacar que si las entidades requieren de esas inversiones para su giro de negocio, puede disponer de ellas, a condición de que sean previamente reemplazadas oportunamente para seguir cumpliendo dicha garantía.</w:t>
      </w:r>
    </w:p>
    <w:p w:rsidRPr="00B863B8" w:rsidR="005749ED" w:rsidP="005749ED" w:rsidRDefault="005749ED" w14:paraId="70FA03C5" w14:textId="77777777">
      <w:pPr>
        <w:autoSpaceDE w:val="0"/>
        <w:autoSpaceDN w:val="0"/>
        <w:adjustRightInd w:val="0"/>
        <w:spacing w:after="160" w:line="240" w:lineRule="auto"/>
        <w:ind w:left="1080"/>
        <w:contextualSpacing/>
        <w:rPr>
          <w:rFonts w:eastAsia="Calibri"/>
          <w:sz w:val="24"/>
          <w:highlight w:val="yellow"/>
          <w:lang w:val="es-CR"/>
        </w:rPr>
      </w:pPr>
    </w:p>
    <w:p w:rsidRPr="00B863B8" w:rsidR="005749ED" w:rsidP="005749ED" w:rsidRDefault="005749ED" w14:paraId="426F944D" w14:textId="6C3D5D98">
      <w:pPr>
        <w:numPr>
          <w:ilvl w:val="0"/>
          <w:numId w:val="4"/>
        </w:numPr>
        <w:autoSpaceDE w:val="0"/>
        <w:autoSpaceDN w:val="0"/>
        <w:adjustRightInd w:val="0"/>
        <w:spacing w:after="160" w:line="240" w:lineRule="auto"/>
        <w:contextualSpacing/>
        <w:rPr>
          <w:rFonts w:eastAsia="Calibri"/>
          <w:sz w:val="24"/>
          <w:lang w:val="es-CR"/>
        </w:rPr>
      </w:pPr>
      <w:r w:rsidRPr="00B863B8">
        <w:rPr>
          <w:rFonts w:eastAsia="Calibri"/>
          <w:sz w:val="24"/>
          <w:lang w:val="es-CR"/>
        </w:rPr>
        <w:t>EL artículo 16 de la Ley</w:t>
      </w:r>
      <w:r w:rsidRPr="00B863B8" w:rsidR="00A14F65">
        <w:rPr>
          <w:rFonts w:eastAsia="Calibri"/>
          <w:sz w:val="24"/>
          <w:lang w:val="es-CR"/>
        </w:rPr>
        <w:t xml:space="preserve"> N</w:t>
      </w:r>
      <w:r w:rsidRPr="00B863B8">
        <w:rPr>
          <w:rFonts w:eastAsia="Calibri"/>
          <w:sz w:val="24"/>
          <w:lang w:val="es-CR"/>
        </w:rPr>
        <w:t xml:space="preserve"> 9816, dispone que el Banco Popular y de Desarrollo Comunal </w:t>
      </w:r>
      <w:r w:rsidRPr="00B863B8" w:rsidR="00683652">
        <w:rPr>
          <w:rFonts w:eastAsia="Calibri"/>
          <w:sz w:val="24"/>
          <w:lang w:val="es-CR"/>
        </w:rPr>
        <w:t>(BPDC)</w:t>
      </w:r>
      <w:r w:rsidRPr="00B863B8">
        <w:rPr>
          <w:rFonts w:eastAsia="Calibri"/>
          <w:sz w:val="24"/>
          <w:lang w:val="es-CR"/>
        </w:rPr>
        <w:t xml:space="preserve"> trasladará</w:t>
      </w:r>
      <w:r w:rsidRPr="00B863B8" w:rsidR="00683652">
        <w:rPr>
          <w:rFonts w:eastAsia="Calibri"/>
          <w:sz w:val="24"/>
          <w:lang w:val="es-CR"/>
        </w:rPr>
        <w:t>,</w:t>
      </w:r>
      <w:r w:rsidRPr="00B863B8">
        <w:rPr>
          <w:rFonts w:eastAsia="Calibri"/>
          <w:sz w:val="24"/>
          <w:lang w:val="es-CR"/>
        </w:rPr>
        <w:t xml:space="preserve"> al Fideicomiso de Garantías del Sistema de Pagos del Banco Central, valores de la mejor calidad crediticia por un monto equivalente al 2% del total de sus depósitos y captaciones, exceptuando los depósitos en cuenta corriente, los cuales estarían sujetos al encaje mínimo legal. </w:t>
      </w:r>
    </w:p>
    <w:p w:rsidRPr="00B863B8" w:rsidR="005749ED" w:rsidP="005749ED" w:rsidRDefault="005749ED" w14:paraId="4D993200" w14:textId="77777777">
      <w:pPr>
        <w:pStyle w:val="Prrafodelista"/>
        <w:rPr>
          <w:rFonts w:eastAsia="Calibri"/>
          <w:sz w:val="24"/>
          <w:lang w:val="es-CR"/>
        </w:rPr>
      </w:pPr>
    </w:p>
    <w:p w:rsidRPr="00B863B8" w:rsidR="005749ED" w:rsidP="005749ED" w:rsidRDefault="005749ED" w14:paraId="092016A6" w14:textId="77777777">
      <w:pPr>
        <w:numPr>
          <w:ilvl w:val="0"/>
          <w:numId w:val="4"/>
        </w:numPr>
        <w:autoSpaceDE w:val="0"/>
        <w:autoSpaceDN w:val="0"/>
        <w:adjustRightInd w:val="0"/>
        <w:spacing w:after="160" w:line="240" w:lineRule="auto"/>
        <w:contextualSpacing/>
        <w:rPr>
          <w:rFonts w:eastAsia="Calibri"/>
          <w:sz w:val="24"/>
          <w:lang w:val="es-CR"/>
        </w:rPr>
      </w:pPr>
      <w:r w:rsidRPr="00B863B8">
        <w:rPr>
          <w:rFonts w:eastAsia="Calibri"/>
          <w:sz w:val="24"/>
          <w:lang w:val="es-CR"/>
        </w:rPr>
        <w:t xml:space="preserve">El BPDC tendrá un plazo de hasta 24 meses para constituir esa garantía, conforme al transitorio I del </w:t>
      </w:r>
      <w:r w:rsidRPr="00B863B8">
        <w:rPr>
          <w:rFonts w:eastAsia="Calibri"/>
          <w:i/>
          <w:sz w:val="24"/>
          <w:lang w:val="es-CR"/>
        </w:rPr>
        <w:t>Reglamento de Gestión del Fondo de Garantía de Depósitos (FGD) y de otros Fondos de Garantía (OFG)</w:t>
      </w:r>
      <w:r w:rsidRPr="00B863B8">
        <w:rPr>
          <w:rFonts w:eastAsia="Calibri"/>
          <w:sz w:val="24"/>
          <w:lang w:val="es-CR"/>
        </w:rPr>
        <w:t>, el cual se fundamenta en los transitorios I y III de la Ley N 9816.</w:t>
      </w:r>
    </w:p>
    <w:p w:rsidRPr="00B863B8" w:rsidR="005749ED" w:rsidP="005749ED" w:rsidRDefault="005749ED" w14:paraId="00D4E9B3" w14:textId="77777777">
      <w:pPr>
        <w:spacing w:line="240" w:lineRule="auto"/>
        <w:rPr>
          <w:rFonts w:eastAsia="Calibri"/>
          <w:b/>
          <w:bCs/>
          <w:sz w:val="24"/>
          <w:lang w:val="es-CR"/>
        </w:rPr>
      </w:pPr>
    </w:p>
    <w:p w:rsidRPr="00B863B8" w:rsidR="005749ED" w:rsidP="005749ED" w:rsidRDefault="005749ED" w14:paraId="03161BD9" w14:textId="77777777">
      <w:pPr>
        <w:spacing w:line="240" w:lineRule="auto"/>
        <w:rPr>
          <w:rFonts w:eastAsia="Calibri"/>
          <w:b/>
          <w:bCs/>
          <w:sz w:val="24"/>
          <w:lang w:val="es-CR"/>
        </w:rPr>
      </w:pPr>
      <w:r w:rsidRPr="00B863B8">
        <w:rPr>
          <w:rFonts w:eastAsia="Calibri"/>
          <w:b/>
          <w:bCs/>
          <w:sz w:val="24"/>
          <w:lang w:val="es-CR"/>
        </w:rPr>
        <w:t>Dispone que:</w:t>
      </w:r>
    </w:p>
    <w:p w:rsidRPr="00B863B8" w:rsidR="005749ED" w:rsidP="005749ED" w:rsidRDefault="005749ED" w14:paraId="02370092" w14:textId="77777777">
      <w:pPr>
        <w:spacing w:line="240" w:lineRule="auto"/>
        <w:rPr>
          <w:rFonts w:eastAsia="Calibri"/>
          <w:b/>
          <w:bCs/>
          <w:sz w:val="24"/>
          <w:lang w:val="es-CR"/>
        </w:rPr>
      </w:pPr>
    </w:p>
    <w:p w:rsidRPr="00B863B8" w:rsidR="00965DBF" w:rsidP="005749ED" w:rsidRDefault="005749ED" w14:paraId="0AA5B6DE" w14:textId="77777777">
      <w:pPr>
        <w:pStyle w:val="Prrafodelista"/>
        <w:numPr>
          <w:ilvl w:val="0"/>
          <w:numId w:val="5"/>
        </w:numPr>
        <w:spacing w:line="240" w:lineRule="auto"/>
        <w:rPr>
          <w:rFonts w:eastAsia="Calibri"/>
          <w:sz w:val="24"/>
          <w:lang w:val="es-CR"/>
        </w:rPr>
      </w:pPr>
      <w:r w:rsidRPr="00B863B8">
        <w:rPr>
          <w:rFonts w:eastAsia="Calibri"/>
          <w:sz w:val="24"/>
          <w:lang w:val="es-CR"/>
        </w:rPr>
        <w:t>Las inversiones que utilicen las entidades contribuyentes</w:t>
      </w:r>
      <w:r w:rsidRPr="00B863B8" w:rsidR="00683652">
        <w:rPr>
          <w:rFonts w:eastAsia="Calibri"/>
          <w:sz w:val="24"/>
          <w:lang w:val="es-CR"/>
        </w:rPr>
        <w:t xml:space="preserve"> al FGD y que se encuentren en el régimen de reserva de liquidez,</w:t>
      </w:r>
      <w:r w:rsidRPr="00B863B8">
        <w:rPr>
          <w:rFonts w:eastAsia="Calibri"/>
          <w:sz w:val="24"/>
          <w:lang w:val="es-CR"/>
        </w:rPr>
        <w:t xml:space="preserve"> para</w:t>
      </w:r>
      <w:r w:rsidRPr="00B863B8" w:rsidR="00683652">
        <w:rPr>
          <w:rFonts w:eastAsia="Calibri"/>
          <w:sz w:val="24"/>
          <w:lang w:val="es-CR"/>
        </w:rPr>
        <w:t xml:space="preserve"> la confección de la garantía que dispone el artículo 16 de la Ley N°</w:t>
      </w:r>
      <w:r w:rsidRPr="00B863B8" w:rsidR="00965DBF">
        <w:rPr>
          <w:rFonts w:eastAsia="Calibri"/>
          <w:sz w:val="24"/>
          <w:lang w:val="es-CR"/>
        </w:rPr>
        <w:t xml:space="preserve"> 9816, deben ser registradas en la cuenta 125.90 y valuadas </w:t>
      </w:r>
      <w:r w:rsidRPr="00B863B8" w:rsidR="00683652">
        <w:rPr>
          <w:rFonts w:eastAsia="Calibri"/>
          <w:sz w:val="24"/>
          <w:lang w:val="es-CR"/>
        </w:rPr>
        <w:t xml:space="preserve"> </w:t>
      </w:r>
      <w:r w:rsidRPr="00B863B8" w:rsidR="00965DBF">
        <w:rPr>
          <w:rFonts w:eastAsia="Calibri"/>
          <w:sz w:val="24"/>
          <w:lang w:val="es-CR"/>
        </w:rPr>
        <w:t xml:space="preserve">con </w:t>
      </w:r>
      <w:r w:rsidRPr="00B863B8">
        <w:rPr>
          <w:rFonts w:eastAsia="Calibri"/>
          <w:sz w:val="24"/>
          <w:lang w:val="es-CR"/>
        </w:rPr>
        <w:t xml:space="preserve"> el modelo de negocio del valor razonable con cambios en otro resultado integral</w:t>
      </w:r>
      <w:r w:rsidRPr="00B863B8" w:rsidR="00965DBF">
        <w:rPr>
          <w:rFonts w:eastAsia="Calibri"/>
          <w:sz w:val="24"/>
          <w:lang w:val="es-CR"/>
        </w:rPr>
        <w:t>.</w:t>
      </w:r>
    </w:p>
    <w:p w:rsidRPr="00B863B8" w:rsidR="005749ED" w:rsidP="00965DBF" w:rsidRDefault="00965DBF" w14:paraId="6F5787E5" w14:textId="12651454">
      <w:pPr>
        <w:pStyle w:val="Prrafodelista"/>
        <w:spacing w:line="240" w:lineRule="auto"/>
        <w:rPr>
          <w:rFonts w:eastAsia="Calibri"/>
          <w:sz w:val="24"/>
          <w:lang w:val="es-CR"/>
        </w:rPr>
      </w:pPr>
      <w:r w:rsidRPr="00B863B8">
        <w:rPr>
          <w:rFonts w:eastAsia="Calibri"/>
          <w:sz w:val="24"/>
          <w:lang w:val="es-CR"/>
        </w:rPr>
        <w:t xml:space="preserve"> </w:t>
      </w:r>
      <w:r w:rsidRPr="00B863B8" w:rsidR="005749ED">
        <w:rPr>
          <w:rFonts w:eastAsia="Calibri"/>
          <w:sz w:val="24"/>
          <w:lang w:val="es-CR"/>
        </w:rPr>
        <w:t xml:space="preserve"> </w:t>
      </w:r>
    </w:p>
    <w:p w:rsidRPr="00B863B8" w:rsidR="005749ED" w:rsidP="005749ED" w:rsidRDefault="005749ED" w14:paraId="0C0547CB" w14:textId="145375E8">
      <w:pPr>
        <w:pStyle w:val="Prrafodelista"/>
        <w:numPr>
          <w:ilvl w:val="0"/>
          <w:numId w:val="5"/>
        </w:numPr>
        <w:spacing w:line="240" w:lineRule="auto"/>
        <w:rPr>
          <w:rFonts w:eastAsia="Calibri"/>
          <w:i/>
          <w:iCs/>
          <w:sz w:val="24"/>
          <w:lang w:val="es-CR"/>
        </w:rPr>
      </w:pPr>
      <w:r w:rsidRPr="00B863B8">
        <w:rPr>
          <w:rFonts w:eastAsia="Calibri"/>
          <w:sz w:val="24"/>
          <w:lang w:val="es-CR"/>
        </w:rPr>
        <w:lastRenderedPageBreak/>
        <w:t xml:space="preserve">Las entidades deberán registrar el </w:t>
      </w:r>
      <w:r w:rsidRPr="00B863B8" w:rsidR="001404E3">
        <w:rPr>
          <w:rFonts w:eastAsia="Calibri"/>
          <w:sz w:val="24"/>
          <w:lang w:val="es-CR"/>
        </w:rPr>
        <w:t>ajuste por valuación de esa</w:t>
      </w:r>
      <w:r w:rsidRPr="00B863B8">
        <w:rPr>
          <w:rFonts w:eastAsia="Calibri"/>
          <w:sz w:val="24"/>
          <w:lang w:val="es-CR"/>
        </w:rPr>
        <w:t>s inversiones</w:t>
      </w:r>
      <w:r w:rsidRPr="00B863B8" w:rsidR="001404E3">
        <w:rPr>
          <w:rFonts w:eastAsia="Calibri"/>
          <w:sz w:val="24"/>
          <w:lang w:val="es-CR"/>
        </w:rPr>
        <w:t>, directamente,</w:t>
      </w:r>
      <w:r w:rsidRPr="00B863B8">
        <w:rPr>
          <w:rFonts w:eastAsia="Calibri"/>
          <w:sz w:val="24"/>
          <w:lang w:val="es-CR"/>
        </w:rPr>
        <w:t xml:space="preserve"> en la cuenta contable </w:t>
      </w:r>
      <w:r w:rsidRPr="00B863B8">
        <w:rPr>
          <w:rFonts w:eastAsia="Calibri"/>
          <w:i/>
          <w:iCs/>
          <w:sz w:val="24"/>
          <w:lang w:val="es-CR"/>
        </w:rPr>
        <w:t xml:space="preserve">“125.90.M.01 Valor adquisición de instrumentos financieros garantía contingente - 2% sobre la reserva de liquidez”. </w:t>
      </w:r>
      <w:r w:rsidRPr="00B863B8" w:rsidR="001404E3">
        <w:rPr>
          <w:rFonts w:eastAsia="Calibri"/>
          <w:sz w:val="24"/>
          <w:lang w:val="es-CR"/>
        </w:rPr>
        <w:t xml:space="preserve">Para </w:t>
      </w:r>
      <w:r w:rsidRPr="00B863B8" w:rsidR="00142A27">
        <w:rPr>
          <w:rFonts w:eastAsia="Calibri"/>
          <w:sz w:val="24"/>
          <w:lang w:val="es-CR"/>
        </w:rPr>
        <w:t>ello,</w:t>
      </w:r>
      <w:r w:rsidRPr="00B863B8">
        <w:rPr>
          <w:rFonts w:eastAsia="Calibri"/>
          <w:sz w:val="24"/>
          <w:lang w:val="es-CR"/>
        </w:rPr>
        <w:t xml:space="preserve"> las entidades deberán crear dos subcuentas analíticas, que permita llevar el control por separado del registro contable por concepto del valor de adquisición de los instrumentos financieros y el ajuste por</w:t>
      </w:r>
      <w:r w:rsidRPr="00B863B8" w:rsidR="00142A27">
        <w:rPr>
          <w:rFonts w:eastAsia="Calibri"/>
          <w:sz w:val="24"/>
          <w:lang w:val="es-CR"/>
        </w:rPr>
        <w:t xml:space="preserve"> su</w:t>
      </w:r>
      <w:r w:rsidRPr="00B863B8">
        <w:rPr>
          <w:rFonts w:eastAsia="Calibri"/>
          <w:sz w:val="24"/>
          <w:lang w:val="es-CR"/>
        </w:rPr>
        <w:t xml:space="preserve"> valuación.</w:t>
      </w:r>
    </w:p>
    <w:p w:rsidRPr="00B863B8" w:rsidR="005749ED" w:rsidP="005749ED" w:rsidRDefault="005749ED" w14:paraId="419FE3EE" w14:textId="77777777">
      <w:pPr>
        <w:pStyle w:val="Prrafodelista"/>
        <w:rPr>
          <w:rFonts w:eastAsia="Calibri"/>
          <w:i/>
          <w:iCs/>
          <w:sz w:val="24"/>
          <w:lang w:val="es-CR"/>
        </w:rPr>
      </w:pPr>
    </w:p>
    <w:p w:rsidRPr="00B863B8" w:rsidR="005749ED" w:rsidP="005749ED" w:rsidRDefault="005749ED" w14:paraId="2DF7E93E" w14:textId="7BE5AC25">
      <w:pPr>
        <w:pStyle w:val="Prrafodelista"/>
        <w:numPr>
          <w:ilvl w:val="0"/>
          <w:numId w:val="5"/>
        </w:numPr>
        <w:spacing w:line="240" w:lineRule="auto"/>
        <w:rPr>
          <w:rFonts w:eastAsia="Calibri"/>
          <w:sz w:val="24"/>
          <w:lang w:val="es-CR"/>
        </w:rPr>
      </w:pPr>
      <w:r w:rsidRPr="00B863B8">
        <w:rPr>
          <w:rFonts w:eastAsia="Calibri"/>
          <w:sz w:val="24"/>
          <w:lang w:val="es-CR"/>
        </w:rPr>
        <w:t>En el caso del Banco Popular y de Desarrollo Comunal,</w:t>
      </w:r>
      <w:r w:rsidRPr="00B863B8" w:rsidR="00142A27">
        <w:rPr>
          <w:rFonts w:eastAsia="Calibri"/>
          <w:sz w:val="24"/>
          <w:lang w:val="es-CR"/>
        </w:rPr>
        <w:t xml:space="preserve"> éste</w:t>
      </w:r>
      <w:r w:rsidRPr="00B863B8">
        <w:rPr>
          <w:rFonts w:eastAsia="Calibri"/>
          <w:sz w:val="24"/>
          <w:lang w:val="es-CR"/>
        </w:rPr>
        <w:t xml:space="preserve"> deberá utilizar la cuenta contable </w:t>
      </w:r>
      <w:r w:rsidRPr="00B863B8">
        <w:rPr>
          <w:rFonts w:eastAsia="Calibri"/>
          <w:i/>
          <w:iCs/>
          <w:sz w:val="24"/>
          <w:lang w:val="es-CR"/>
        </w:rPr>
        <w:t>“125.90 Garantía contingente al Fondo de Garantía de Depósitos (FGD) – Reserva de liquidez”</w:t>
      </w:r>
      <w:r w:rsidRPr="00B863B8">
        <w:rPr>
          <w:rFonts w:eastAsia="Calibri"/>
          <w:sz w:val="24"/>
          <w:lang w:val="es-CR"/>
        </w:rPr>
        <w:t>, para registrar los instrumentos financieros trasladados al Fideicomiso de Garantías del Sistema de Pagos del Banco Central de Costa Rica</w:t>
      </w:r>
      <w:r w:rsidRPr="00B863B8" w:rsidR="00142A27">
        <w:rPr>
          <w:rFonts w:eastAsia="Calibri"/>
          <w:sz w:val="24"/>
          <w:lang w:val="es-CR"/>
        </w:rPr>
        <w:t xml:space="preserve"> cuando cree la garantía que indica  la Ley N° 9916 con títulos valores de la mejor calidad crediticia</w:t>
      </w:r>
      <w:r w:rsidRPr="00B863B8">
        <w:rPr>
          <w:rFonts w:eastAsia="Calibri"/>
          <w:sz w:val="24"/>
          <w:lang w:val="es-CR"/>
        </w:rPr>
        <w:t>.</w:t>
      </w:r>
      <w:r w:rsidRPr="00B863B8" w:rsidR="00142A27">
        <w:rPr>
          <w:rFonts w:eastAsia="Calibri"/>
          <w:sz w:val="24"/>
          <w:lang w:val="es-CR"/>
        </w:rPr>
        <w:t xml:space="preserve"> Asimismo, su valuación se efectuará conforme lo indicado en esta circular externa.</w:t>
      </w:r>
    </w:p>
    <w:p w:rsidRPr="00B863B8" w:rsidR="005749ED" w:rsidP="005749ED" w:rsidRDefault="005749ED" w14:paraId="1ABBC9D1" w14:textId="77777777">
      <w:pPr>
        <w:pStyle w:val="Prrafodelista"/>
        <w:rPr>
          <w:rFonts w:eastAsia="Calibri"/>
          <w:sz w:val="24"/>
          <w:lang w:val="es-CR"/>
        </w:rPr>
      </w:pPr>
    </w:p>
    <w:p w:rsidRPr="00B863B8" w:rsidR="005749ED" w:rsidP="005749ED" w:rsidRDefault="00142A27" w14:paraId="313A05AF" w14:textId="3F26422C">
      <w:pPr>
        <w:pStyle w:val="Prrafodelista"/>
        <w:numPr>
          <w:ilvl w:val="0"/>
          <w:numId w:val="5"/>
        </w:numPr>
        <w:spacing w:line="240" w:lineRule="auto"/>
        <w:rPr>
          <w:rFonts w:eastAsia="Calibri"/>
          <w:sz w:val="24"/>
          <w:lang w:val="es-CR"/>
        </w:rPr>
      </w:pPr>
      <w:r w:rsidRPr="00B863B8">
        <w:rPr>
          <w:rFonts w:eastAsia="Calibri"/>
          <w:sz w:val="24"/>
          <w:lang w:val="es-CR"/>
        </w:rPr>
        <w:t>Cualquier</w:t>
      </w:r>
      <w:r w:rsidRPr="00B863B8" w:rsidR="005749ED">
        <w:rPr>
          <w:rFonts w:eastAsia="Calibri"/>
          <w:sz w:val="24"/>
          <w:lang w:val="es-CR"/>
        </w:rPr>
        <w:t xml:space="preserve"> registro contable realizado por las entidades contribuyentes</w:t>
      </w:r>
      <w:r w:rsidR="00B863B8">
        <w:rPr>
          <w:rFonts w:eastAsia="Calibri"/>
          <w:sz w:val="24"/>
          <w:lang w:val="es-CR"/>
        </w:rPr>
        <w:t xml:space="preserve"> al FGD antes dichas,</w:t>
      </w:r>
      <w:r w:rsidRPr="00B863B8" w:rsidR="005749ED">
        <w:rPr>
          <w:rFonts w:eastAsia="Calibri"/>
          <w:sz w:val="24"/>
          <w:lang w:val="es-CR"/>
        </w:rPr>
        <w:t xml:space="preserve"> co</w:t>
      </w:r>
      <w:r w:rsidR="00B863B8">
        <w:rPr>
          <w:rFonts w:eastAsia="Calibri"/>
          <w:sz w:val="24"/>
          <w:lang w:val="es-CR"/>
        </w:rPr>
        <w:t>n corte al 30 de junio de</w:t>
      </w:r>
      <w:r w:rsidRPr="00B863B8">
        <w:rPr>
          <w:rFonts w:eastAsia="Calibri"/>
          <w:sz w:val="24"/>
          <w:lang w:val="es-CR"/>
        </w:rPr>
        <w:t xml:space="preserve"> 2021</w:t>
      </w:r>
      <w:r w:rsidRPr="00B863B8" w:rsidR="00B863B8">
        <w:rPr>
          <w:rFonts w:eastAsia="Calibri"/>
          <w:sz w:val="24"/>
          <w:lang w:val="es-CR"/>
        </w:rPr>
        <w:t>, tanto para constituir la garantía supracitada como para la valuación de las inversiones que la sustentan,</w:t>
      </w:r>
      <w:r w:rsidRPr="00B863B8" w:rsidR="005749ED">
        <w:rPr>
          <w:rFonts w:eastAsia="Calibri"/>
          <w:sz w:val="24"/>
          <w:lang w:val="es-CR"/>
        </w:rPr>
        <w:t xml:space="preserve"> deberá reclasificarse de acuerdo con lo estipulado en esta circular</w:t>
      </w:r>
      <w:r w:rsidRPr="00B863B8" w:rsidR="00B863B8">
        <w:rPr>
          <w:rFonts w:eastAsia="Calibri"/>
          <w:sz w:val="24"/>
          <w:lang w:val="es-CR"/>
        </w:rPr>
        <w:t xml:space="preserve"> externa</w:t>
      </w:r>
      <w:r w:rsidRPr="00B863B8" w:rsidR="005749ED">
        <w:rPr>
          <w:rFonts w:eastAsia="Calibri"/>
          <w:sz w:val="24"/>
          <w:lang w:val="es-CR"/>
        </w:rPr>
        <w:t>.</w:t>
      </w:r>
    </w:p>
    <w:p w:rsidRPr="00B863B8" w:rsidR="006972C9" w:rsidP="006972C9" w:rsidRDefault="006972C9" w14:paraId="707673AC" w14:textId="77777777">
      <w:pPr>
        <w:tabs>
          <w:tab w:val="left" w:pos="2843"/>
        </w:tabs>
        <w:spacing w:line="240" w:lineRule="auto"/>
        <w:rPr>
          <w:sz w:val="24"/>
        </w:rPr>
      </w:pPr>
      <w:r w:rsidRPr="00B863B8">
        <w:rPr>
          <w:sz w:val="24"/>
        </w:rPr>
        <w:tab/>
      </w:r>
    </w:p>
    <w:p w:rsidRPr="00B863B8" w:rsidR="005749ED" w:rsidP="006972C9" w:rsidRDefault="005749ED" w14:paraId="74BFFB4D" w14:textId="77777777">
      <w:pPr>
        <w:pStyle w:val="encabezado0"/>
        <w:spacing w:line="240" w:lineRule="auto"/>
        <w:rPr>
          <w:sz w:val="24"/>
        </w:rPr>
      </w:pPr>
    </w:p>
    <w:p w:rsidRPr="00B863B8" w:rsidR="006972C9" w:rsidP="006972C9" w:rsidRDefault="006972C9" w14:paraId="20DD3A2F" w14:textId="77777777">
      <w:pPr>
        <w:pStyle w:val="Texto"/>
        <w:spacing w:before="0" w:after="0" w:line="240" w:lineRule="auto"/>
        <w:rPr>
          <w:sz w:val="24"/>
        </w:rPr>
      </w:pPr>
      <w:r w:rsidRPr="00B863B8">
        <w:rPr>
          <w:sz w:val="24"/>
        </w:rPr>
        <w:t>Atentamente,</w:t>
      </w:r>
    </w:p>
    <w:p w:rsidRPr="00B863B8" w:rsidR="006972C9" w:rsidP="006972C9" w:rsidRDefault="005749ED" w14:paraId="620DD1F9" w14:textId="61BF04FA">
      <w:pPr>
        <w:spacing w:line="240" w:lineRule="auto"/>
        <w:rPr>
          <w:sz w:val="24"/>
        </w:rPr>
      </w:pPr>
      <w:r w:rsidRPr="00B863B8">
        <w:rPr>
          <w:noProof/>
          <w:sz w:val="24"/>
          <w:lang w:val="es-CR" w:eastAsia="es-CR"/>
        </w:rPr>
        <w:drawing>
          <wp:anchor distT="0" distB="0" distL="114300" distR="114300" simplePos="0" relativeHeight="251659264" behindDoc="1" locked="0" layoutInCell="1" allowOverlap="1" wp14:editId="531737E7" wp14:anchorId="06B866D3">
            <wp:simplePos x="0" y="0"/>
            <wp:positionH relativeFrom="column">
              <wp:posOffset>-163830</wp:posOffset>
            </wp:positionH>
            <wp:positionV relativeFrom="paragraph">
              <wp:posOffset>64770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B863B8" w:rsidR="00DB50AF" w:rsidP="006972C9" w:rsidRDefault="00DB50AF" w14:paraId="473D2070" w14:textId="62BC02A9">
      <w:pPr>
        <w:pStyle w:val="Negrita"/>
        <w:jc w:val="left"/>
        <w:rPr>
          <w:b w:val="0"/>
          <w:sz w:val="24"/>
        </w:rPr>
      </w:pPr>
    </w:p>
    <w:p w:rsidRPr="00B863B8" w:rsidR="008B3362" w:rsidP="008B3362" w:rsidRDefault="008B3362" w14:paraId="0F124082" w14:textId="6C7F2FFD">
      <w:pPr>
        <w:jc w:val="left"/>
        <w:rPr>
          <w:sz w:val="24"/>
        </w:rPr>
      </w:pPr>
      <w:r w:rsidRPr="00B863B8">
        <w:rPr>
          <w:sz w:val="24"/>
        </w:rPr>
        <w:t>Rocío Aguilar Montoya</w:t>
      </w:r>
      <w:r w:rsidRPr="00B863B8">
        <w:rPr>
          <w:sz w:val="24"/>
        </w:rPr>
        <w:br/>
      </w:r>
      <w:r w:rsidRPr="00B863B8">
        <w:rPr>
          <w:b/>
          <w:bCs/>
          <w:sz w:val="24"/>
        </w:rPr>
        <w:t>Superintendente General</w:t>
      </w:r>
    </w:p>
    <w:p w:rsidRPr="0051485F" w:rsidR="008B3362" w:rsidP="006972C9" w:rsidRDefault="008B3362" w14:paraId="4A416A35" w14:textId="394EF310">
      <w:pPr>
        <w:pStyle w:val="Negrita"/>
        <w:jc w:val="left"/>
        <w:rPr>
          <w:noProof/>
          <w:lang w:eastAsia="es-CR"/>
        </w:rPr>
      </w:pPr>
    </w:p>
    <w:p w:rsidR="007A407A" w:rsidP="006972C9" w:rsidRDefault="007A407A" w14:paraId="1F0E77E8" w14:textId="77777777">
      <w:pPr>
        <w:pStyle w:val="Negrita"/>
      </w:pPr>
    </w:p>
    <w:p w:rsidRPr="007A407A" w:rsidR="006972C9" w:rsidP="006972C9" w:rsidRDefault="00B863B8" w14:paraId="30D00E8F" w14:textId="091AB143">
      <w:pPr>
        <w:pStyle w:val="Negrita"/>
        <w:rPr>
          <w:b w:val="0"/>
          <w:sz w:val="18"/>
          <w:szCs w:val="18"/>
        </w:rPr>
      </w:pPr>
      <w:bookmarkStart w:name="_GoBack" w:id="0"/>
      <w:r w:rsidRPr="007A407A">
        <w:rPr>
          <w:b w:val="0"/>
          <w:sz w:val="18"/>
          <w:szCs w:val="18"/>
        </w:rPr>
        <w:t>MHA/</w:t>
      </w:r>
      <w:r w:rsidRPr="007A407A" w:rsidR="007A407A">
        <w:rPr>
          <w:b w:val="0"/>
          <w:sz w:val="18"/>
          <w:szCs w:val="18"/>
        </w:rPr>
        <w:t>MAC/pjp</w:t>
      </w:r>
    </w:p>
    <w:bookmarkEnd w:id="0"/>
    <w:p w:rsidR="006972C9" w:rsidP="006972C9" w:rsidRDefault="006972C9" w14:paraId="38CB46C9" w14:textId="77777777">
      <w:pPr>
        <w:pStyle w:val="Negrita"/>
      </w:pPr>
    </w:p>
    <w:p w:rsidR="006972C9" w:rsidP="006972C9" w:rsidRDefault="006972C9" w14:paraId="696767C1" w14:textId="77777777">
      <w:pPr>
        <w:pStyle w:val="Negrita"/>
      </w:pPr>
    </w:p>
    <w:p w:rsidR="006972C9" w:rsidP="006972C9" w:rsidRDefault="006972C9" w14:paraId="3F04560B" w14:textId="77777777">
      <w:pPr>
        <w:pStyle w:val="Negrita"/>
      </w:pPr>
    </w:p>
    <w:p w:rsidRPr="006972C9" w:rsidR="006972C9" w:rsidP="006972C9" w:rsidRDefault="006972C9" w14:paraId="6C75E054" w14:textId="77777777"/>
    <w:p w:rsidRPr="006972C9" w:rsidR="006972C9" w:rsidP="006972C9" w:rsidRDefault="006972C9" w14:paraId="012BE4BD" w14:textId="77777777"/>
    <w:p w:rsidRPr="006972C9" w:rsidR="006972C9" w:rsidP="006972C9" w:rsidRDefault="006972C9" w14:paraId="0BF2E1A2" w14:textId="77777777"/>
    <w:p w:rsidRPr="006972C9" w:rsidR="006972C9" w:rsidP="006972C9" w:rsidRDefault="006972C9" w14:paraId="7FC6B574" w14:textId="77777777"/>
    <w:p w:rsidRPr="006972C9" w:rsidR="00AF06C5" w:rsidP="006972C9" w:rsidRDefault="006972C9" w14:paraId="052C11ED" w14:textId="77777777">
      <w:pPr>
        <w:tabs>
          <w:tab w:val="left" w:pos="7187"/>
        </w:tabs>
      </w:pPr>
      <w:r>
        <w:tab/>
      </w:r>
    </w:p>
    <w:sectPr w:rsidRPr="006972C9"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0E586" w14:textId="77777777" w:rsidR="00A3131B" w:rsidRDefault="00A3131B" w:rsidP="009349F3">
      <w:pPr>
        <w:spacing w:line="240" w:lineRule="auto"/>
      </w:pPr>
      <w:r>
        <w:separator/>
      </w:r>
    </w:p>
  </w:endnote>
  <w:endnote w:type="continuationSeparator" w:id="0">
    <w:p w14:paraId="1C494ED1" w14:textId="77777777" w:rsidR="00A3131B" w:rsidRDefault="00A3131B"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5F" w:rsidRDefault="0051485F" w14:paraId="3A6B535A"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1B1D3158" w14:textId="77777777">
      <w:tc>
        <w:tcPr>
          <w:tcW w:w="2942" w:type="dxa"/>
        </w:tcPr>
        <w:p w:rsidR="00517D62" w:rsidRDefault="00517D62" w14:paraId="61640093"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D530BE">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5476E1EA"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D530BE">
            <w:rPr>
              <w:b/>
              <w:color w:val="7F7F7F" w:themeColor="text1" w:themeTint="80"/>
              <w:sz w:val="16"/>
              <w:szCs w:val="16"/>
            </w:rPr>
            <w:t>-4849</w:t>
          </w:r>
        </w:p>
        <w:p w:rsidRPr="009349F3" w:rsidR="00517D62" w:rsidRDefault="00517D62" w14:paraId="6FC5B807" w14:textId="77777777">
          <w:pPr>
            <w:pStyle w:val="Piedepgina"/>
            <w:rPr>
              <w:b/>
              <w:color w:val="7F7F7F" w:themeColor="text1" w:themeTint="80"/>
              <w:sz w:val="16"/>
              <w:szCs w:val="16"/>
            </w:rPr>
          </w:pPr>
        </w:p>
      </w:tc>
      <w:tc>
        <w:tcPr>
          <w:tcW w:w="2943" w:type="dxa"/>
        </w:tcPr>
        <w:p w:rsidRPr="009349F3" w:rsidR="00517D62" w:rsidP="00855792" w:rsidRDefault="00517D62" w14:paraId="0F31E593"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0840E3CA"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3C6F7661"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7A407A">
            <w:rPr>
              <w:b/>
              <w:noProof/>
              <w:color w:val="7F7F7F" w:themeColor="text1" w:themeTint="80"/>
              <w:sz w:val="16"/>
              <w:szCs w:val="16"/>
            </w:rPr>
            <w:t>4</w:t>
          </w:r>
          <w:r w:rsidRPr="006972C9">
            <w:rPr>
              <w:b/>
              <w:color w:val="7F7F7F" w:themeColor="text1" w:themeTint="80"/>
              <w:sz w:val="16"/>
              <w:szCs w:val="16"/>
            </w:rPr>
            <w:fldChar w:fldCharType="end"/>
          </w:r>
        </w:p>
      </w:tc>
    </w:tr>
  </w:tbl>
  <w:p w:rsidR="009349F3" w:rsidRDefault="009349F3" w14:paraId="49FAC918" w14:textId="777777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5F" w:rsidRDefault="0051485F" w14:paraId="5EF1022B"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470A1" w14:textId="77777777" w:rsidR="00A3131B" w:rsidRDefault="00A3131B" w:rsidP="009349F3">
      <w:pPr>
        <w:spacing w:line="240" w:lineRule="auto"/>
      </w:pPr>
      <w:r>
        <w:separator/>
      </w:r>
    </w:p>
  </w:footnote>
  <w:footnote w:type="continuationSeparator" w:id="0">
    <w:p w14:paraId="1919462E" w14:textId="77777777" w:rsidR="00A3131B" w:rsidRDefault="00A3131B"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5F" w:rsidRDefault="0051485F" w14:paraId="0D6BBD02"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77213CB4" w14:textId="77777777">
    <w:pPr>
      <w:pStyle w:val="Encabezado"/>
    </w:pPr>
    <w:r>
      <w:ptab w:alignment="center" w:relativeTo="margin" w:leader="none"/>
    </w:r>
    <w:r>
      <w:rPr>
        <w:noProof/>
        <w:lang w:val="es-CR" w:eastAsia="es-CR"/>
      </w:rPr>
      <w:drawing>
        <wp:inline distT="0" distB="0" distL="0" distR="0" wp14:anchorId="3A191076" wp14:editId="6E993F9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5F" w:rsidRDefault="0051485F" w14:paraId="1779566A"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5C09"/>
    <w:multiLevelType w:val="hybridMultilevel"/>
    <w:tmpl w:val="365A72DE"/>
    <w:lvl w:ilvl="0" w:tplc="30A20C10">
      <w:start w:val="1"/>
      <w:numFmt w:val="upperRoman"/>
      <w:lvlText w:val="%1."/>
      <w:lvlJc w:val="left"/>
      <w:pPr>
        <w:ind w:left="1080" w:hanging="72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1F80EF1"/>
    <w:multiLevelType w:val="hybridMultilevel"/>
    <w:tmpl w:val="C72A23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482B6263"/>
    <w:multiLevelType w:val="hybridMultilevel"/>
    <w:tmpl w:val="4F946182"/>
    <w:lvl w:ilvl="0" w:tplc="3036EB7A">
      <w:start w:val="1"/>
      <w:numFmt w:val="decimal"/>
      <w:lvlText w:val="%1."/>
      <w:lvlJc w:val="left"/>
      <w:pPr>
        <w:ind w:left="720" w:hanging="360"/>
      </w:pPr>
      <w:rPr>
        <w:rFonts w:hint="default"/>
        <w:b/>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79A86472"/>
    <w:multiLevelType w:val="hybridMultilevel"/>
    <w:tmpl w:val="63C29CCA"/>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1B"/>
    <w:rsid w:val="00043F58"/>
    <w:rsid w:val="000549EA"/>
    <w:rsid w:val="001404E3"/>
    <w:rsid w:val="00142A27"/>
    <w:rsid w:val="001F0A49"/>
    <w:rsid w:val="0051485F"/>
    <w:rsid w:val="00517D62"/>
    <w:rsid w:val="005545BC"/>
    <w:rsid w:val="005749ED"/>
    <w:rsid w:val="006456E5"/>
    <w:rsid w:val="00683652"/>
    <w:rsid w:val="006972C9"/>
    <w:rsid w:val="007A407A"/>
    <w:rsid w:val="008200B7"/>
    <w:rsid w:val="00855792"/>
    <w:rsid w:val="008B3362"/>
    <w:rsid w:val="00900B79"/>
    <w:rsid w:val="009349F3"/>
    <w:rsid w:val="00965DBF"/>
    <w:rsid w:val="009B498F"/>
    <w:rsid w:val="00A14F65"/>
    <w:rsid w:val="00A3131B"/>
    <w:rsid w:val="00AD6800"/>
    <w:rsid w:val="00AF06C5"/>
    <w:rsid w:val="00B00D3C"/>
    <w:rsid w:val="00B7752A"/>
    <w:rsid w:val="00B863B8"/>
    <w:rsid w:val="00D530BE"/>
    <w:rsid w:val="00DB50AF"/>
    <w:rsid w:val="00DD402E"/>
    <w:rsid w:val="00DE2D06"/>
    <w:rsid w:val="00E70F99"/>
    <w:rsid w:val="00FB2657"/>
    <w:rsid w:val="00FC4D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9F42B0"/>
  <w15:chartTrackingRefBased/>
  <w15:docId w15:val="{D54AA466-C5A1-492E-86E7-80C160D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43F5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F58"/>
    <w:rPr>
      <w:rFonts w:ascii="Segoe UI" w:eastAsia="Times New Roman" w:hAnsi="Segoe UI" w:cs="Segoe UI"/>
      <w:sz w:val="18"/>
      <w:szCs w:val="18"/>
      <w:lang w:val="es-ES"/>
    </w:rPr>
  </w:style>
  <w:style w:type="paragraph" w:styleId="Prrafodelista">
    <w:name w:val="List Paragraph"/>
    <w:basedOn w:val="Normal"/>
    <w:uiPriority w:val="34"/>
    <w:qFormat/>
    <w:rsid w:val="00574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empresas_financiera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9F398F6F114BB09EE7EB805D5A3588"/>
        <w:category>
          <w:name w:val="General"/>
          <w:gallery w:val="placeholder"/>
        </w:category>
        <w:types>
          <w:type w:val="bbPlcHdr"/>
        </w:types>
        <w:behaviors>
          <w:behavior w:val="content"/>
        </w:behaviors>
        <w:guid w:val="{589263D1-53D6-43F7-8FD9-6EA602ABB9FF}"/>
      </w:docPartPr>
      <w:docPartBody>
        <w:p w:rsidR="003F6C8B" w:rsidRDefault="003F6C8B">
          <w:pPr>
            <w:pStyle w:val="7E9F398F6F114BB09EE7EB805D5A3588"/>
          </w:pPr>
          <w:r w:rsidRPr="001E0779">
            <w:rPr>
              <w:rStyle w:val="Textodelmarcadordeposicin"/>
            </w:rPr>
            <w:t>Haga clic aquí para escribir texto.</w:t>
          </w:r>
        </w:p>
      </w:docPartBody>
    </w:docPart>
    <w:docPart>
      <w:docPartPr>
        <w:name w:val="7EA00787AF864CCAB6FB200D1277B0BC"/>
        <w:category>
          <w:name w:val="General"/>
          <w:gallery w:val="placeholder"/>
        </w:category>
        <w:types>
          <w:type w:val="bbPlcHdr"/>
        </w:types>
        <w:behaviors>
          <w:behavior w:val="content"/>
        </w:behaviors>
        <w:guid w:val="{FA9614E9-FAA3-4DD6-A90B-234C5932752B}"/>
      </w:docPartPr>
      <w:docPartBody>
        <w:p w:rsidR="003F6C8B" w:rsidRDefault="003F6C8B">
          <w:pPr>
            <w:pStyle w:val="7EA00787AF864CCAB6FB200D1277B0B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8B"/>
    <w:rsid w:val="003F6C8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7E9F398F6F114BB09EE7EB805D5A3588">
    <w:name w:val="7E9F398F6F114BB09EE7EB805D5A3588"/>
  </w:style>
  <w:style w:type="paragraph" w:customStyle="1" w:styleId="7EA00787AF864CCAB6FB200D1277B0BC">
    <w:name w:val="7EA00787AF864CCAB6FB200D1277B0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Qp57aNBi1lUwYIWQIUp9BV+xVgytLzHpdxT38ZRRH0s=</DigestValue>
    </Reference>
    <Reference Type="http://www.w3.org/2000/09/xmldsig#Object" URI="#idOfficeObject">
      <DigestMethod Algorithm="http://www.w3.org/2001/04/xmlenc#sha256"/>
      <DigestValue>7wlkxx11UBscP2a9aIMaPgKCnjW1lv9ZdYHXDyHPAvA=</DigestValue>
    </Reference>
    <Reference Type="http://uri.etsi.org/01903#SignedProperties" URI="#idSignedProperties">
      <Transforms>
        <Transform Algorithm="http://www.w3.org/TR/2001/REC-xml-c14n-20010315"/>
      </Transforms>
      <DigestMethod Algorithm="http://www.w3.org/2001/04/xmlenc#sha256"/>
      <DigestValue>TuqHSm5CeHusIqQx1PYhW6jnfQsk2ac7nxHiabNZSao=</DigestValue>
    </Reference>
  </SignedInfo>
  <SignatureValue>SN2aHT694DF+MEaFjcvCqWbyHHmQF2bRLyddEx9IAGChT1zrpEf5CDIhebG1R1pqTWChDoM5dY3r
140LNBxoYzxg12knyUs9szzivzCfOUaKMHEofqhPPkSVAMUFFkBPu0e2mBgHwwHsxzLfB9094Brr
1KHb8SslORvyDibeJWmJFpxJgu5u7eCyKteaRpsXXaK57uo5kzZGbmPMsGSyPwVgksaEc0fXEVAp
BdPy3v5UDX4dU6cHV6ZsoNyGILSz5KyyPX6uvDAFnjXQ3Z45NswssfZiMPEeqFiROa6zyul86ZCh
CtMNk2D3S2XJcLz01xssGicN49+12h36uU0XKg==</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bTD1dOPfPl6bGmxC3IxfT28ZBT86dWUMTtAl8Cld960=</DigestValue>
      </Reference>
      <Reference URI="/word/document.xml?ContentType=application/vnd.openxmlformats-officedocument.wordprocessingml.document.main+xml">
        <DigestMethod Algorithm="http://www.w3.org/2001/04/xmlenc#sha256"/>
        <DigestValue>DqhYovHuusnAi8ea1CeIiVEDspgW1UrGZOhkyxSIYSg=</DigestValue>
      </Reference>
      <Reference URI="/word/endnotes.xml?ContentType=application/vnd.openxmlformats-officedocument.wordprocessingml.endnotes+xml">
        <DigestMethod Algorithm="http://www.w3.org/2001/04/xmlenc#sha256"/>
        <DigestValue>sGLCscATOj5DJ9JyzuQrD+IBayERkmN/XSU3eju6cuk=</DigestValue>
      </Reference>
      <Reference URI="/word/fontTable.xml?ContentType=application/vnd.openxmlformats-officedocument.wordprocessingml.fontTable+xml">
        <DigestMethod Algorithm="http://www.w3.org/2001/04/xmlenc#sha256"/>
        <DigestValue>SdIALq8DcK8b4aZekNSFCfflRVQQzhfm5hyGGjofOFk=</DigestValue>
      </Reference>
      <Reference URI="/word/footer1.xml?ContentType=application/vnd.openxmlformats-officedocument.wordprocessingml.footer+xml">
        <DigestMethod Algorithm="http://www.w3.org/2001/04/xmlenc#sha256"/>
        <DigestValue>6QMdBAGPp+YqjFbX+KWCaQjBXlXJvUb43GrVXX3+A1Q=</DigestValue>
      </Reference>
      <Reference URI="/word/footer2.xml?ContentType=application/vnd.openxmlformats-officedocument.wordprocessingml.footer+xml">
        <DigestMethod Algorithm="http://www.w3.org/2001/04/xmlenc#sha256"/>
        <DigestValue>7dvj+rmvFXnVKUeFHXKpB/QcTraBtm/8Jsa9Wkqdyfs=</DigestValue>
      </Reference>
      <Reference URI="/word/footer3.xml?ContentType=application/vnd.openxmlformats-officedocument.wordprocessingml.footer+xml">
        <DigestMethod Algorithm="http://www.w3.org/2001/04/xmlenc#sha256"/>
        <DigestValue>+6V/QvC2n+UPo4tcGMCOm31k/hwEP70x90u2T2nVslo=</DigestValue>
      </Reference>
      <Reference URI="/word/footnotes.xml?ContentType=application/vnd.openxmlformats-officedocument.wordprocessingml.footnotes+xml">
        <DigestMethod Algorithm="http://www.w3.org/2001/04/xmlenc#sha256"/>
        <DigestValue>oRwE4DwT4ewLK2tME6ZmjTrTQKkvVOCq22FejPwJWuU=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1BhZ3mn7nN+md9Pl/3R5YhBEUrDRh94rs1qVwe6nSPA=</DigestValue>
      </Reference>
      <Reference URI="/word/glossary/fontTable.xml?ContentType=application/vnd.openxmlformats-officedocument.wordprocessingml.fontTable+xml">
        <DigestMethod Algorithm="http://www.w3.org/2001/04/xmlenc#sha256"/>
        <DigestValue>SdIALq8DcK8b4aZekNSFCfflRVQQzhfm5hyGGjofOFk=</DigestValue>
      </Reference>
      <Reference URI="/word/glossary/settings.xml?ContentType=application/vnd.openxmlformats-officedocument.wordprocessingml.settings+xml">
        <DigestMethod Algorithm="http://www.w3.org/2001/04/xmlenc#sha256"/>
        <DigestValue>TU4ao9rkShDIn+4qDsQD8wT0adKGcVCCJjzZdGxjS8M=</DigestValue>
      </Reference>
      <Reference URI="/word/glossary/styles.xml?ContentType=application/vnd.openxmlformats-officedocument.wordprocessingml.styles+xml">
        <DigestMethod Algorithm="http://www.w3.org/2001/04/xmlenc#sha256"/>
        <DigestValue>ovR82AmkW6VSCkvQ65+vdUQLrqtTxwNn81hSC/KKP64=</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Ko4o2HXEMfLhjMoicTBleIuBC50J/A91ukXyXgu5u+M=</DigestValue>
      </Reference>
      <Reference URI="/word/header2.xml?ContentType=application/vnd.openxmlformats-officedocument.wordprocessingml.header+xml">
        <DigestMethod Algorithm="http://www.w3.org/2001/04/xmlenc#sha256"/>
        <DigestValue>GnCSCQyn0XhSYaK5mtQATZ3F5N8/68z/tLYA7NmJlP0=</DigestValue>
      </Reference>
      <Reference URI="/word/header3.xml?ContentType=application/vnd.openxmlformats-officedocument.wordprocessingml.header+xml">
        <DigestMethod Algorithm="http://www.w3.org/2001/04/xmlenc#sha256"/>
        <DigestValue>ot+88LhD7vqHnujpBj1syf9r/NYIS3ZphYEuvf+slVc=</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wk9D0CpdVoH6fO0vdhZcmbaaLzDo5N1ZhHXMp3ImZj4=</DigestValue>
      </Reference>
      <Reference URI="/word/settings.xml?ContentType=application/vnd.openxmlformats-officedocument.wordprocessingml.settings+xml">
        <DigestMethod Algorithm="http://www.w3.org/2001/04/xmlenc#sha256"/>
        <DigestValue>acNoVCL9yj8j4tIF6gK0i48w7/FTYF39PFq1zopgFSE=</DigestValue>
      </Reference>
      <Reference URI="/word/styles.xml?ContentType=application/vnd.openxmlformats-officedocument.wordprocessingml.styles+xml">
        <DigestMethod Algorithm="http://www.w3.org/2001/04/xmlenc#sha256"/>
        <DigestValue>41l+3vU+AqHzGPLGbYtPOl4Tpgz12Cy9PeTzki7mBwM=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2021-07-28T00:23:08Z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2021-07-28T00:23:08Z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Dfdbp1AQlGMhL8EGnuRU5JtzLik2qUjA0+FX0pjYem0CBAxQbTkYDzIwMjEwNzI4MDAyMzE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</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cj6LtiACDWyUsCfYm1jAGr/x5Io=</xd:ByKey>
                  </xd:ResponderID>
                  <xd:ProducedAt>2021-07-28T00:15:37Z</xd:ProducedAt>
                </xd:OCSPIdentifier>
                <xd:DigestAlgAndValue>
                  <DigestMethod Algorithm="http://www.w3.org/2001/04/xmlenc#sha256"/>
                  <DigestValue>azxYNfDUBvKU4nrK+s4vm6pBkyZcQwsUQoJYQ80AN5o=</DigestValue>
                </xd:DigestAlgAndValue>
              </xd:OCSPRef>
            </xd:OCSPRefs>
            <xd:CRLRefs>
              <xd:CRLRef>
                <xd:DigestAlgAndValue>
                  <DigestMethod Algorithm="http://www.w3.org/2001/04/xmlenc#sha256"/>
                  <DigestValue>RAvE76MI/iTYrOHVZ0bRTCyAhvqxopiEr+ONiNZ5LFk=</DigestValue>
                </xd:DigestAlgAndValue>
                <xd:CRLIdentifier>
                  <xd:Issuer>CN=CA POLITICA PERSONA FISICA - COSTA RICA v2, OU=DCFD, O=MICITT, C=CR, SERIALNUMBER=CPJ-2-100-098311</xd:Issuer>
                  <xd:IssueTime>2021-07-08T19:37:22Z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</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</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wZp2alLHsZimL5mW+2agdR/wcrz0adNjstVqATebqsCBAxQbToYDzIwMjEwNzI4MDAyMzE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</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
        <AccountId xsi:nil="true"/>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Circular externa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Supervisión de Empresas Financieras y Cooperativas</RemitenteOriginal>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para el registro contable de la valuación de la cuenta 125.90</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0055D22C-273F-4852-BF0D-FA433FC378EF}">
  <ds:schemaRefs>
    <ds:schemaRef ds:uri="Microsoft.SharePoint.Taxonomy.ContentTypeSync"/>
  </ds:schemaRefs>
</ds:datastoreItem>
</file>

<file path=customXml/itemProps2.xml><?xml version="1.0" encoding="utf-8"?>
<ds:datastoreItem xmlns:ds="http://schemas.openxmlformats.org/officeDocument/2006/customXml" ds:itemID="{DE7086DD-2D03-4A25-BF44-EE52EF921D77}"/>
</file>

<file path=customXml/itemProps3.xml><?xml version="1.0" encoding="utf-8"?>
<ds:datastoreItem xmlns:ds="http://schemas.openxmlformats.org/officeDocument/2006/customXml" ds:itemID="{3512C9E2-59DF-475E-87DD-E90946F69232}"/>
</file>

<file path=customXml/itemProps4.xml><?xml version="1.0" encoding="utf-8"?>
<ds:datastoreItem xmlns:ds="http://schemas.openxmlformats.org/officeDocument/2006/customXml" ds:itemID="{3CC92F9E-6395-48B1-B2A0-D9AEF3D79C0E}"/>
</file>

<file path=customXml/itemProps5.xml><?xml version="1.0" encoding="utf-8"?>
<ds:datastoreItem xmlns:ds="http://schemas.openxmlformats.org/officeDocument/2006/customXml" ds:itemID="{3C20FF79-F144-4426-9143-29134E26A2A9}">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b875e23b-67d9-4b2e-bdec-edacbf90b326"/>
    <ds:schemaRef ds:uri="http://purl.org/dc/terms/"/>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AF3F1540-19CA-4A42-A659-4201FD7B0517}"/>
</file>

<file path=docProps/app.xml><?xml version="1.0" encoding="utf-8"?>
<Properties xmlns="http://schemas.openxmlformats.org/officeDocument/2006/extended-properties" xmlns:vt="http://schemas.openxmlformats.org/officeDocument/2006/docPropsVTypes">
  <Template>plantillas-SGF-13</Template>
  <TotalTime>192</TotalTime>
  <Pages>4</Pages>
  <Words>1206</Words>
  <Characters>6639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AVILA MARCO</dc:creator>
  <cp:keywords/>
  <dc:description/>
  <cp:lastModifiedBy>HERNANDEZ AVILA MARCO</cp:lastModifiedBy>
  <cp:revision>5</cp:revision>
  <dcterms:created xsi:type="dcterms:W3CDTF">2021-07-22T16:24:00Z</dcterms:created>
  <dcterms:modified xsi:type="dcterms:W3CDTF">2021-07-27T21:07:00Z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426;#Circular|a95dd0af-ef18-4305-9c8d-aa79141c6059</vt:lpwstr>
  </property>
  <property fmtid="{D5CDD505-2E9C-101B-9397-08002B2CF9AE}" pid="4" name="Unidad de Destino">
    <vt:lpwstr/>
  </property>
  <property fmtid="{D5CDD505-2E9C-101B-9397-08002B2CF9AE}" pid="5" name="Confidencialidad1">
    <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Disponibilidad">
    <vt:lpwstr>161;#Alta|7fca731c-4c62-4f1c-9061-e9f164c964b2</vt:lpwstr>
  </property>
  <property fmtid="{D5CDD505-2E9C-101B-9397-08002B2CF9AE}" pid="9" name="Integridad">
    <vt:lpwstr>128;#Alta|0fd17ec2-e5d0-4d9f-8e18-466324d0fdd4</vt:lpwstr>
  </property>
  <property fmtid="{D5CDD505-2E9C-101B-9397-08002B2CF9AE}" pid="10" name="ConfidencialidadNueva">
    <vt:lpwstr>1;#Público|99c2402f-8ec3-4ca8-8024-be52e4e7f629</vt:lpwstr>
  </property>
  <property fmtid="{D5CDD505-2E9C-101B-9397-08002B2CF9AE}" pid="12" name="Order">
    <vt:r8>177300</vt:r8>
  </property>
  <property fmtid="{D5CDD505-2E9C-101B-9397-08002B2CF9AE}" pid="14" name="lb0b7da792b243d9bfa96ad7487ad734">
    <vt:lpwstr/>
  </property>
  <property fmtid="{D5CDD505-2E9C-101B-9397-08002B2CF9AE}" pid="15" name="_dlc_policyId">
    <vt:lpwstr>0x010100E97154E09FCE6A4E8EAEBD5C54DD1AE4|-1695030217</vt:lpwstr>
  </property>
  <property fmtid="{D5CDD505-2E9C-101B-9397-08002B2CF9AE}" pid="1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7" name="WorkflowChangePath">
    <vt:lpwstr>dc9be4ca-c6c9-41a3-8f1b-604965ed1693,4;7dedacbb-5c77-4a35-8847-40abd1245d4d,6;</vt:lpwstr>
  </property>
</Properties>
</file>