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3C21" w:rsidR="00460125" w:rsidP="00460125" w:rsidRDefault="00460125" w14:paraId="0965E523" w14:textId="77777777">
      <w:pPr>
        <w:pStyle w:val="Texto"/>
        <w:spacing w:before="0" w:after="0" w:line="240" w:lineRule="auto"/>
        <w:jc w:val="center"/>
        <w:rPr>
          <w:b/>
          <w:sz w:val="23"/>
          <w:szCs w:val="23"/>
        </w:rPr>
      </w:pPr>
      <w:r w:rsidRPr="001B3C21">
        <w:rPr>
          <w:b/>
          <w:sz w:val="23"/>
          <w:szCs w:val="23"/>
        </w:rPr>
        <w:t>Resolución</w:t>
      </w:r>
    </w:p>
    <w:p w:rsidRPr="001B3C21" w:rsidR="00460125" w:rsidP="00460125" w:rsidRDefault="001B3C21" w14:paraId="25142EF5" w14:textId="34A21D3D">
      <w:pPr>
        <w:pStyle w:val="Texto"/>
        <w:spacing w:before="0" w:after="0" w:line="240" w:lineRule="auto"/>
        <w:jc w:val="center"/>
        <w:rPr>
          <w:sz w:val="23"/>
          <w:szCs w:val="23"/>
        </w:rPr>
      </w:pPr>
      <w:r w:rsidRPr="001B3C21">
        <w:rPr>
          <w:sz w:val="23"/>
          <w:szCs w:val="23"/>
        </w:rPr>
        <w:t>0</w:t>
      </w:r>
      <w:r w:rsidR="0056759E">
        <w:rPr>
          <w:sz w:val="23"/>
          <w:szCs w:val="23"/>
        </w:rPr>
        <w:t>3</w:t>
      </w:r>
      <w:r w:rsidRPr="001B3C21" w:rsidR="00460125">
        <w:rPr>
          <w:sz w:val="23"/>
          <w:szCs w:val="23"/>
        </w:rPr>
        <w:t xml:space="preserve"> de </w:t>
      </w:r>
      <w:r w:rsidRPr="001B3C21">
        <w:rPr>
          <w:sz w:val="23"/>
          <w:szCs w:val="23"/>
        </w:rPr>
        <w:t>agosto</w:t>
      </w:r>
      <w:r w:rsidRPr="001B3C21" w:rsidR="00460125">
        <w:rPr>
          <w:sz w:val="23"/>
          <w:szCs w:val="23"/>
        </w:rPr>
        <w:t xml:space="preserve"> del 2023</w:t>
      </w:r>
    </w:p>
    <w:sdt>
      <w:sdtPr>
        <w:rPr>
          <w:sz w:val="23"/>
          <w:szCs w:val="23"/>
        </w:rPr>
        <w:alias w:val="Consecutivo"/>
        <w:tag w:val="Consecutivo"/>
        <w:id w:val="2052717023"/>
        <w:placeholder>
          <w:docPart w:val="BA8D52E19F1F4629AE9C3792BB18042F"/>
        </w:placeholder>
        <w:text/>
      </w:sdtPr>
      <w:sdtEndPr/>
      <w:sdtContent>
        <w:p w:rsidRPr="001B3C21" w:rsidR="00460125" w:rsidP="00460125" w:rsidRDefault="00460125" w14:paraId="125A2C2C" w14:textId="77777777">
          <w:pPr>
            <w:tabs>
              <w:tab w:val="left" w:pos="2843"/>
            </w:tabs>
            <w:spacing w:line="240" w:lineRule="auto"/>
            <w:jc w:val="center"/>
            <w:rPr>
              <w:sz w:val="23"/>
              <w:szCs w:val="23"/>
            </w:rPr>
          </w:pPr>
          <w:r>
            <w:t>SGF-1931-2023</w:t>
          </w:r>
        </w:p>
      </w:sdtContent>
    </w:sdt>
    <w:p w:rsidRPr="001B3C21" w:rsidR="00460125" w:rsidP="00460125" w:rsidRDefault="0056759E" w14:paraId="285D4C2F" w14:textId="77777777">
      <w:pPr>
        <w:tabs>
          <w:tab w:val="left" w:pos="2843"/>
        </w:tabs>
        <w:spacing w:line="240" w:lineRule="auto"/>
        <w:jc w:val="center"/>
        <w:rPr>
          <w:sz w:val="23"/>
          <w:szCs w:val="23"/>
        </w:rPr>
      </w:pPr>
      <w:sdt>
        <w:sdtPr>
          <w:rPr>
            <w:sz w:val="23"/>
            <w:szCs w:val="23"/>
          </w:rPr>
          <w:alias w:val="Confidencialidad"/>
          <w:tag w:val="Confidencialidad"/>
          <w:id w:val="1447896894"/>
          <w:placeholder>
            <w:docPart w:val="97E2CA3AEA274997970AD27D601E3B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B3C21" w:rsidR="00460125">
            <w:rPr>
              <w:sz w:val="23"/>
              <w:szCs w:val="23"/>
            </w:rPr>
            <w:t>SGF-PUBLICO</w:t>
          </w:r>
        </w:sdtContent>
      </w:sdt>
    </w:p>
    <w:p w:rsidRPr="001B3C21" w:rsidR="00460125" w:rsidP="00460125" w:rsidRDefault="00460125" w14:paraId="1E406365" w14:textId="77777777">
      <w:pPr>
        <w:spacing w:line="240" w:lineRule="auto"/>
        <w:contextualSpacing/>
        <w:rPr>
          <w:b/>
          <w:sz w:val="23"/>
          <w:szCs w:val="23"/>
        </w:rPr>
      </w:pPr>
      <w:r w:rsidRPr="001B3C21">
        <w:rPr>
          <w:b/>
          <w:sz w:val="23"/>
          <w:szCs w:val="23"/>
        </w:rPr>
        <w:t>Dirigida a:</w:t>
      </w:r>
    </w:p>
    <w:p w:rsidRPr="001B3C21" w:rsidR="00460125" w:rsidP="00460125" w:rsidRDefault="00460125" w14:paraId="2731D5A3" w14:textId="77777777">
      <w:pPr>
        <w:spacing w:line="240" w:lineRule="auto"/>
        <w:contextualSpacing/>
        <w:rPr>
          <w:sz w:val="23"/>
          <w:szCs w:val="23"/>
        </w:rPr>
      </w:pPr>
    </w:p>
    <w:p w:rsidRPr="001B3C21" w:rsidR="00460125" w:rsidP="00460125" w:rsidRDefault="00460125" w14:paraId="3DDD8DAE" w14:textId="77777777">
      <w:pPr>
        <w:pStyle w:val="Prrafodelista"/>
        <w:numPr>
          <w:ilvl w:val="0"/>
          <w:numId w:val="3"/>
        </w:numPr>
        <w:spacing w:after="0" w:line="240" w:lineRule="auto"/>
        <w:rPr>
          <w:rFonts w:ascii="Cambria" w:hAnsi="Cambria" w:cs="Times New Roman"/>
          <w:sz w:val="23"/>
          <w:szCs w:val="23"/>
        </w:rPr>
      </w:pPr>
      <w:r w:rsidRPr="001B3C21">
        <w:rPr>
          <w:rFonts w:ascii="Cambria" w:hAnsi="Cambria" w:cs="Times New Roman"/>
          <w:sz w:val="23"/>
          <w:szCs w:val="23"/>
        </w:rPr>
        <w:t>Bancos Comerciales del Estado.</w:t>
      </w:r>
    </w:p>
    <w:p w:rsidRPr="001B3C21" w:rsidR="00460125" w:rsidP="00460125" w:rsidRDefault="00460125" w14:paraId="77912047" w14:textId="77777777">
      <w:pPr>
        <w:pStyle w:val="Prrafodelista"/>
        <w:numPr>
          <w:ilvl w:val="0"/>
          <w:numId w:val="3"/>
        </w:numPr>
        <w:spacing w:after="0" w:line="240" w:lineRule="auto"/>
        <w:rPr>
          <w:rFonts w:ascii="Cambria" w:hAnsi="Cambria" w:cs="Times New Roman"/>
          <w:sz w:val="23"/>
          <w:szCs w:val="23"/>
        </w:rPr>
      </w:pPr>
      <w:r w:rsidRPr="001B3C21">
        <w:rPr>
          <w:rFonts w:ascii="Cambria" w:hAnsi="Cambria" w:cs="Times New Roman"/>
          <w:sz w:val="23"/>
          <w:szCs w:val="23"/>
        </w:rPr>
        <w:t>Bancos Creados por Leyes Especiales.</w:t>
      </w:r>
    </w:p>
    <w:p w:rsidRPr="001B3C21" w:rsidR="00460125" w:rsidP="00460125" w:rsidRDefault="00460125" w14:paraId="15903C5B" w14:textId="77777777">
      <w:pPr>
        <w:pStyle w:val="Prrafodelista"/>
        <w:numPr>
          <w:ilvl w:val="0"/>
          <w:numId w:val="3"/>
        </w:numPr>
        <w:spacing w:after="0" w:line="240" w:lineRule="auto"/>
        <w:rPr>
          <w:rFonts w:ascii="Cambria" w:hAnsi="Cambria" w:cs="Times New Roman"/>
          <w:sz w:val="23"/>
          <w:szCs w:val="23"/>
        </w:rPr>
      </w:pPr>
      <w:r w:rsidRPr="001B3C21">
        <w:rPr>
          <w:rFonts w:ascii="Cambria" w:hAnsi="Cambria" w:cs="Times New Roman"/>
          <w:sz w:val="23"/>
          <w:szCs w:val="23"/>
        </w:rPr>
        <w:t>Bancos Privados.</w:t>
      </w:r>
    </w:p>
    <w:p w:rsidRPr="001B3C21" w:rsidR="00460125" w:rsidP="00460125" w:rsidRDefault="00460125" w14:paraId="59682C93" w14:textId="77777777">
      <w:pPr>
        <w:pStyle w:val="Prrafodelista"/>
        <w:numPr>
          <w:ilvl w:val="0"/>
          <w:numId w:val="3"/>
        </w:numPr>
        <w:spacing w:after="0" w:line="240" w:lineRule="auto"/>
        <w:rPr>
          <w:rFonts w:ascii="Cambria" w:hAnsi="Cambria" w:cs="Times New Roman"/>
          <w:sz w:val="23"/>
          <w:szCs w:val="23"/>
        </w:rPr>
      </w:pPr>
      <w:r w:rsidRPr="001B3C21">
        <w:rPr>
          <w:rFonts w:ascii="Cambria" w:hAnsi="Cambria" w:cs="Times New Roman"/>
          <w:sz w:val="23"/>
          <w:szCs w:val="23"/>
        </w:rPr>
        <w:t>Empresas Financieras no Bancarias.</w:t>
      </w:r>
    </w:p>
    <w:p w:rsidRPr="001B3C21" w:rsidR="00460125" w:rsidP="00460125" w:rsidRDefault="00460125" w14:paraId="0C82E21D" w14:textId="77777777">
      <w:pPr>
        <w:pStyle w:val="Prrafodelista"/>
        <w:numPr>
          <w:ilvl w:val="0"/>
          <w:numId w:val="3"/>
        </w:numPr>
        <w:spacing w:after="0" w:line="240" w:lineRule="auto"/>
        <w:rPr>
          <w:rFonts w:ascii="Cambria" w:hAnsi="Cambria" w:cs="Times New Roman"/>
          <w:sz w:val="23"/>
          <w:szCs w:val="23"/>
        </w:rPr>
      </w:pPr>
      <w:r w:rsidRPr="001B3C21">
        <w:rPr>
          <w:rFonts w:ascii="Cambria" w:hAnsi="Cambria" w:cs="Times New Roman"/>
          <w:sz w:val="23"/>
          <w:szCs w:val="23"/>
        </w:rPr>
        <w:t>Otras Entidades Financieras.</w:t>
      </w:r>
    </w:p>
    <w:p w:rsidRPr="001B3C21" w:rsidR="00460125" w:rsidP="00460125" w:rsidRDefault="00460125" w14:paraId="14293CCB" w14:textId="77777777">
      <w:pPr>
        <w:pStyle w:val="Prrafodelista"/>
        <w:numPr>
          <w:ilvl w:val="0"/>
          <w:numId w:val="3"/>
        </w:numPr>
        <w:spacing w:after="0" w:line="240" w:lineRule="auto"/>
        <w:rPr>
          <w:rFonts w:ascii="Cambria" w:hAnsi="Cambria" w:cs="Times New Roman"/>
          <w:sz w:val="23"/>
          <w:szCs w:val="23"/>
        </w:rPr>
      </w:pPr>
      <w:r w:rsidRPr="001B3C21">
        <w:rPr>
          <w:rFonts w:ascii="Cambria" w:hAnsi="Cambria" w:cs="Times New Roman"/>
          <w:sz w:val="23"/>
          <w:szCs w:val="23"/>
        </w:rPr>
        <w:t>Organizaciones Cooperativas de Ahorro y Crédito.</w:t>
      </w:r>
    </w:p>
    <w:p w:rsidRPr="001B3C21" w:rsidR="00460125" w:rsidP="00460125" w:rsidRDefault="00460125" w14:paraId="0D0DEB73" w14:textId="77777777">
      <w:pPr>
        <w:pStyle w:val="Prrafodelista"/>
        <w:numPr>
          <w:ilvl w:val="0"/>
          <w:numId w:val="3"/>
        </w:numPr>
        <w:spacing w:after="0" w:line="240" w:lineRule="auto"/>
        <w:rPr>
          <w:rFonts w:ascii="Cambria" w:hAnsi="Cambria" w:cs="Times New Roman"/>
          <w:sz w:val="23"/>
          <w:szCs w:val="23"/>
        </w:rPr>
      </w:pPr>
      <w:r w:rsidRPr="001B3C21">
        <w:rPr>
          <w:rFonts w:ascii="Cambria" w:hAnsi="Cambria" w:cs="Times New Roman"/>
          <w:sz w:val="23"/>
          <w:szCs w:val="23"/>
        </w:rPr>
        <w:t>Entidades Autorizadas del Sistema Financiera Nacional para la Vivienda.</w:t>
      </w:r>
    </w:p>
    <w:p w:rsidRPr="001B3C21" w:rsidR="00460125" w:rsidP="00460125" w:rsidRDefault="00460125" w14:paraId="6A0E5AFD" w14:textId="77777777">
      <w:pPr>
        <w:spacing w:line="240" w:lineRule="auto"/>
        <w:contextualSpacing/>
        <w:rPr>
          <w:sz w:val="23"/>
          <w:szCs w:val="23"/>
        </w:rPr>
      </w:pPr>
    </w:p>
    <w:p w:rsidRPr="001B3C21" w:rsidR="00460125" w:rsidP="00460125" w:rsidRDefault="00460125" w14:paraId="43C58F4D" w14:textId="77777777">
      <w:pPr>
        <w:spacing w:line="240" w:lineRule="auto"/>
        <w:contextualSpacing/>
        <w:rPr>
          <w:sz w:val="23"/>
          <w:szCs w:val="23"/>
        </w:rPr>
      </w:pPr>
      <w:r w:rsidRPr="001B3C21">
        <w:rPr>
          <w:b/>
          <w:sz w:val="23"/>
          <w:szCs w:val="23"/>
        </w:rPr>
        <w:t>Asunto:</w:t>
      </w:r>
      <w:r w:rsidRPr="001B3C21">
        <w:rPr>
          <w:sz w:val="23"/>
          <w:szCs w:val="23"/>
        </w:rPr>
        <w:t xml:space="preserve"> Modificación del factor M de la fórmula de la estimación contracíclica del</w:t>
      </w:r>
      <w:r w:rsidRPr="001B3C21">
        <w:rPr>
          <w:i/>
          <w:sz w:val="23"/>
          <w:szCs w:val="23"/>
        </w:rPr>
        <w:t xml:space="preserve"> Reglamento para la determinación y el registro de estimaciones contracíclicas</w:t>
      </w:r>
      <w:r w:rsidRPr="001B3C21">
        <w:rPr>
          <w:sz w:val="23"/>
          <w:szCs w:val="23"/>
        </w:rPr>
        <w:t>, Acuerdo SUGEF 19-16.</w:t>
      </w:r>
    </w:p>
    <w:p w:rsidRPr="001B3C21" w:rsidR="00460125" w:rsidP="00460125" w:rsidRDefault="00460125" w14:paraId="0D174C53" w14:textId="77777777">
      <w:pPr>
        <w:spacing w:line="240" w:lineRule="auto"/>
        <w:contextualSpacing/>
        <w:rPr>
          <w:b/>
          <w:sz w:val="23"/>
          <w:szCs w:val="23"/>
        </w:rPr>
      </w:pPr>
    </w:p>
    <w:p w:rsidRPr="001B3C21" w:rsidR="00460125" w:rsidP="00460125" w:rsidRDefault="001B3C21" w14:paraId="51D7CD57" w14:textId="1A110EF5">
      <w:pPr>
        <w:spacing w:line="240" w:lineRule="auto"/>
        <w:contextualSpacing/>
        <w:rPr>
          <w:bCs/>
          <w:sz w:val="23"/>
          <w:szCs w:val="23"/>
        </w:rPr>
      </w:pPr>
      <w:r w:rsidRPr="001B3C21">
        <w:rPr>
          <w:bCs/>
          <w:sz w:val="23"/>
          <w:szCs w:val="23"/>
        </w:rPr>
        <w:t>La</w:t>
      </w:r>
      <w:r w:rsidRPr="001B3C21" w:rsidR="00460125">
        <w:rPr>
          <w:bCs/>
          <w:sz w:val="23"/>
          <w:szCs w:val="23"/>
        </w:rPr>
        <w:t xml:space="preserve"> Superintendente General de Entidades Financieras,</w:t>
      </w:r>
    </w:p>
    <w:p w:rsidRPr="001B3C21" w:rsidR="00460125" w:rsidP="00460125" w:rsidRDefault="00460125" w14:paraId="5EED5D7E" w14:textId="77777777">
      <w:pPr>
        <w:spacing w:line="240" w:lineRule="auto"/>
        <w:contextualSpacing/>
        <w:rPr>
          <w:b/>
          <w:sz w:val="23"/>
          <w:szCs w:val="23"/>
        </w:rPr>
      </w:pPr>
    </w:p>
    <w:p w:rsidRPr="001B3C21" w:rsidR="00460125" w:rsidP="00460125" w:rsidRDefault="00460125" w14:paraId="53289146" w14:textId="77777777">
      <w:pPr>
        <w:spacing w:line="240" w:lineRule="auto"/>
        <w:contextualSpacing/>
        <w:rPr>
          <w:b/>
          <w:sz w:val="23"/>
          <w:szCs w:val="23"/>
        </w:rPr>
      </w:pPr>
      <w:r w:rsidRPr="001B3C21">
        <w:rPr>
          <w:b/>
          <w:sz w:val="23"/>
          <w:szCs w:val="23"/>
        </w:rPr>
        <w:t>Considerando que:</w:t>
      </w:r>
    </w:p>
    <w:p w:rsidRPr="001B3C21" w:rsidR="00460125" w:rsidP="00460125" w:rsidRDefault="00460125" w14:paraId="565A16DA" w14:textId="77777777">
      <w:pPr>
        <w:pStyle w:val="Prrafodelista"/>
        <w:spacing w:after="0" w:line="240" w:lineRule="auto"/>
        <w:ind w:left="0"/>
        <w:jc w:val="both"/>
        <w:rPr>
          <w:rFonts w:ascii="Cambria" w:hAnsi="Cambria" w:cs="Times New Roman"/>
          <w:sz w:val="23"/>
          <w:szCs w:val="23"/>
        </w:rPr>
      </w:pPr>
    </w:p>
    <w:p w:rsidRPr="001B3C21" w:rsidR="00460125" w:rsidP="00460125" w:rsidRDefault="00460125" w14:paraId="592B7CAA" w14:textId="77777777">
      <w:pPr>
        <w:pStyle w:val="Prrafodelista"/>
        <w:spacing w:after="0" w:line="240" w:lineRule="auto"/>
        <w:ind w:left="0"/>
        <w:jc w:val="both"/>
        <w:rPr>
          <w:rFonts w:ascii="Cambria" w:hAnsi="Cambria" w:cs="Times New Roman"/>
          <w:sz w:val="23"/>
          <w:szCs w:val="23"/>
        </w:rPr>
      </w:pPr>
    </w:p>
    <w:p w:rsidRPr="001B3C21" w:rsidR="00460125" w:rsidP="00460125" w:rsidRDefault="00460125" w14:paraId="745A6CEE" w14:textId="77777777">
      <w:pPr>
        <w:pStyle w:val="Prrafodelista"/>
        <w:numPr>
          <w:ilvl w:val="0"/>
          <w:numId w:val="4"/>
        </w:numPr>
        <w:spacing w:after="0" w:line="240" w:lineRule="auto"/>
        <w:ind w:left="0" w:firstLine="0"/>
        <w:jc w:val="both"/>
        <w:rPr>
          <w:rFonts w:ascii="Cambria" w:hAnsi="Cambria" w:cs="Times New Roman"/>
          <w:sz w:val="23"/>
          <w:szCs w:val="23"/>
        </w:rPr>
      </w:pPr>
      <w:r w:rsidRPr="001B3C21">
        <w:rPr>
          <w:rFonts w:ascii="Cambria" w:hAnsi="Cambria" w:cs="Times New Roman"/>
          <w:sz w:val="23"/>
          <w:szCs w:val="23"/>
        </w:rPr>
        <w:t xml:space="preserve">El </w:t>
      </w:r>
      <w:r w:rsidRPr="001B3C21">
        <w:rPr>
          <w:rFonts w:ascii="Cambria" w:hAnsi="Cambria" w:cs="Times New Roman"/>
          <w:i/>
          <w:sz w:val="23"/>
          <w:szCs w:val="23"/>
        </w:rPr>
        <w:t>Reglamento para la determinación y el registro de estimaciones contracíclicas</w:t>
      </w:r>
      <w:r w:rsidRPr="001B3C21">
        <w:rPr>
          <w:rFonts w:ascii="Cambria" w:hAnsi="Cambria" w:cs="Times New Roman"/>
          <w:sz w:val="23"/>
          <w:szCs w:val="23"/>
        </w:rPr>
        <w:t>, Acuerdo SUGEF 19-16, fue aprobado por el Consejo Nacional de Supervisión del Sistema Financiero (CONASSIF) mediante artículo 6 del acta de la sesión 1258-2016, del 7 de junio del 2016 con el objeto de cuantificar y constituir las estimaciones contracíclicas. Publicado en el Alcance N° 100 al diario oficial La Gaceta N° 117, del 17 de junio de 2016.</w:t>
      </w:r>
    </w:p>
    <w:p w:rsidRPr="001B3C21" w:rsidR="00460125" w:rsidP="00460125" w:rsidRDefault="00460125" w14:paraId="4C11EB3C" w14:textId="77777777">
      <w:pPr>
        <w:pStyle w:val="Prrafodelista"/>
        <w:spacing w:after="0" w:line="240" w:lineRule="auto"/>
        <w:ind w:left="0"/>
        <w:jc w:val="both"/>
        <w:rPr>
          <w:rFonts w:ascii="Cambria" w:hAnsi="Cambria" w:cs="Times New Roman"/>
          <w:sz w:val="23"/>
          <w:szCs w:val="23"/>
        </w:rPr>
      </w:pPr>
    </w:p>
    <w:p w:rsidRPr="001B3C21" w:rsidR="00460125" w:rsidP="00460125" w:rsidRDefault="00460125" w14:paraId="667A318A" w14:textId="77777777">
      <w:pPr>
        <w:pStyle w:val="Prrafodelista"/>
        <w:numPr>
          <w:ilvl w:val="0"/>
          <w:numId w:val="4"/>
        </w:numPr>
        <w:spacing w:after="0" w:line="240" w:lineRule="auto"/>
        <w:ind w:left="0" w:firstLine="0"/>
        <w:jc w:val="both"/>
        <w:rPr>
          <w:rFonts w:ascii="Cambria" w:hAnsi="Cambria" w:cs="Times New Roman"/>
          <w:sz w:val="23"/>
          <w:szCs w:val="23"/>
        </w:rPr>
      </w:pPr>
      <w:r w:rsidRPr="001B3C21">
        <w:rPr>
          <w:rFonts w:ascii="Cambria" w:hAnsi="Cambria" w:cs="Times New Roman"/>
          <w:sz w:val="23"/>
          <w:szCs w:val="23"/>
        </w:rPr>
        <w:t xml:space="preserve">El artículo 6, </w:t>
      </w:r>
      <w:r w:rsidRPr="001B3C21">
        <w:rPr>
          <w:rFonts w:ascii="Cambria" w:hAnsi="Cambria" w:cs="Times New Roman"/>
          <w:i/>
          <w:iCs/>
          <w:sz w:val="23"/>
          <w:szCs w:val="23"/>
        </w:rPr>
        <w:t>Nivel porcentual mínimo requerido de estimación contracíclica</w:t>
      </w:r>
      <w:r w:rsidRPr="001B3C21">
        <w:rPr>
          <w:rFonts w:ascii="Cambria" w:hAnsi="Cambria" w:cs="Times New Roman"/>
          <w:sz w:val="23"/>
          <w:szCs w:val="23"/>
        </w:rPr>
        <w:t>, del Acuerdo SUGEF 19-16 dispone que el nivel porcentual mínimo requerido de estimación contracíclica M será definido y modificado por el Superintendente, con base en elementos de riesgos sistémicos o temas de interés macroprudenciales. La modificación del nivel porcentual se puede realizar, principalmente, en periodos de recesión, con el propósito de reducirlo o eliminarlo e incentivar la recuperación.</w:t>
      </w:r>
    </w:p>
    <w:p w:rsidRPr="001B3C21" w:rsidR="00460125" w:rsidP="00460125" w:rsidRDefault="00460125" w14:paraId="78CB65AD" w14:textId="77777777">
      <w:pPr>
        <w:rPr>
          <w:sz w:val="23"/>
          <w:szCs w:val="23"/>
        </w:rPr>
      </w:pPr>
    </w:p>
    <w:p w:rsidRPr="001B3C21" w:rsidR="00460125" w:rsidP="00460125" w:rsidRDefault="00460125" w14:paraId="2E08A94A" w14:textId="77777777">
      <w:pPr>
        <w:pStyle w:val="Prrafodelista"/>
        <w:numPr>
          <w:ilvl w:val="0"/>
          <w:numId w:val="4"/>
        </w:numPr>
        <w:spacing w:after="0" w:line="240" w:lineRule="auto"/>
        <w:ind w:left="0" w:firstLine="0"/>
        <w:jc w:val="both"/>
        <w:rPr>
          <w:rFonts w:ascii="Cambria" w:hAnsi="Cambria" w:cs="Times New Roman"/>
          <w:sz w:val="23"/>
          <w:szCs w:val="23"/>
        </w:rPr>
      </w:pPr>
      <w:r w:rsidRPr="001B3C21">
        <w:rPr>
          <w:rFonts w:ascii="Cambria" w:hAnsi="Cambria" w:cs="Times New Roman"/>
          <w:sz w:val="23"/>
          <w:szCs w:val="23"/>
        </w:rPr>
        <w:t xml:space="preserve">Con el objetivo de velar por la estabilidad financiera debido al efecto económico adverso del COVID-19, las tensiones comerciales internacionales, las decaídas expectativas económico-financieras y el elevado desempleo que enfrentó la fuerza laboral del país, el Superintendente mediante Resolución SGF-0971-2020 del 20 de marzo del 2020, estableció el factor M igual a 0.00% </w:t>
      </w:r>
    </w:p>
    <w:p w:rsidRPr="001B3C21" w:rsidR="00460125" w:rsidP="00460125" w:rsidRDefault="00460125" w14:paraId="1D535713" w14:textId="77777777">
      <w:pPr>
        <w:pStyle w:val="Prrafodelista"/>
        <w:spacing w:after="0" w:line="240" w:lineRule="auto"/>
        <w:ind w:left="0"/>
        <w:jc w:val="both"/>
        <w:rPr>
          <w:rFonts w:ascii="Cambria" w:hAnsi="Cambria" w:cs="Times New Roman"/>
          <w:sz w:val="23"/>
          <w:szCs w:val="23"/>
        </w:rPr>
      </w:pPr>
    </w:p>
    <w:p w:rsidRPr="001B3C21" w:rsidR="00460125" w:rsidP="00460125" w:rsidRDefault="00460125" w14:paraId="2140298E" w14:textId="77777777">
      <w:pPr>
        <w:pStyle w:val="Prrafodelista"/>
        <w:numPr>
          <w:ilvl w:val="0"/>
          <w:numId w:val="4"/>
        </w:numPr>
        <w:spacing w:after="0" w:line="240" w:lineRule="auto"/>
        <w:ind w:left="0" w:firstLine="0"/>
        <w:jc w:val="both"/>
        <w:rPr>
          <w:rFonts w:ascii="Cambria" w:hAnsi="Cambria" w:cs="Times New Roman"/>
          <w:sz w:val="23"/>
          <w:szCs w:val="23"/>
        </w:rPr>
      </w:pPr>
      <w:r w:rsidRPr="001B3C21">
        <w:rPr>
          <w:rFonts w:ascii="Cambria" w:hAnsi="Cambria" w:cs="Times New Roman"/>
          <w:sz w:val="23"/>
          <w:szCs w:val="23"/>
        </w:rPr>
        <w:t xml:space="preserve">Costa Rica inició la flexibilización las restricciones sobre movilidad, aglomeración, presencialidad en los lugares de trabajo y estudio, etc., causadas por la COVID-19, desde el año 2022. Más recientemente, el 6 de mayo de 2023 la Organización Mundial de la Salud </w:t>
      </w:r>
      <w:r w:rsidRPr="001B3C21">
        <w:rPr>
          <w:rFonts w:ascii="Cambria" w:hAnsi="Cambria" w:cs="Times New Roman"/>
          <w:sz w:val="23"/>
          <w:szCs w:val="23"/>
        </w:rPr>
        <w:lastRenderedPageBreak/>
        <w:t>acogió la recomendación del Comité de Emergencia de declarar el fin de la emergencia de salud pública de emergencia internacional por la COVID-19.</w:t>
      </w:r>
    </w:p>
    <w:p w:rsidRPr="001B3C21" w:rsidR="00460125" w:rsidP="00460125" w:rsidRDefault="00460125" w14:paraId="3586E229" w14:textId="77777777">
      <w:pPr>
        <w:pStyle w:val="Prrafodelista"/>
        <w:spacing w:after="0" w:line="240" w:lineRule="auto"/>
        <w:ind w:left="0"/>
        <w:jc w:val="both"/>
        <w:rPr>
          <w:rFonts w:ascii="Cambria" w:hAnsi="Cambria" w:cs="Times New Roman"/>
          <w:sz w:val="23"/>
          <w:szCs w:val="23"/>
        </w:rPr>
      </w:pPr>
    </w:p>
    <w:p w:rsidRPr="001B3C21" w:rsidR="00460125" w:rsidP="00460125" w:rsidRDefault="00460125" w14:paraId="129F13DE" w14:textId="77777777">
      <w:pPr>
        <w:pStyle w:val="Prrafodelista"/>
        <w:numPr>
          <w:ilvl w:val="0"/>
          <w:numId w:val="4"/>
        </w:numPr>
        <w:spacing w:after="0" w:line="240" w:lineRule="auto"/>
        <w:ind w:left="0" w:firstLine="0"/>
        <w:jc w:val="both"/>
        <w:rPr>
          <w:rFonts w:ascii="Cambria" w:hAnsi="Cambria" w:cs="Times New Roman"/>
          <w:sz w:val="23"/>
          <w:szCs w:val="23"/>
        </w:rPr>
      </w:pPr>
      <w:r w:rsidRPr="001B3C21">
        <w:rPr>
          <w:rFonts w:ascii="Cambria" w:hAnsi="Cambria" w:cs="Times New Roman"/>
          <w:sz w:val="23"/>
          <w:szCs w:val="23"/>
        </w:rPr>
        <w:t>La estimación contracíclica demostró su solidez y utilidad durante el choque causado por la COVID-19. Durante las etapas expansivas del ciclo crediticio, la estimación anticíclica acumuló reservas que estuvieron disponibles cuando el sistema financiero sufrió mayores pérdidas crediticias debido a la pandemia.</w:t>
      </w:r>
    </w:p>
    <w:p w:rsidRPr="001B3C21" w:rsidR="00460125" w:rsidP="00460125" w:rsidRDefault="00460125" w14:paraId="7BC9DE5F" w14:textId="77777777">
      <w:pPr>
        <w:pStyle w:val="Prrafodelista"/>
        <w:rPr>
          <w:rFonts w:ascii="Cambria" w:hAnsi="Cambria" w:cs="Times New Roman"/>
          <w:sz w:val="23"/>
          <w:szCs w:val="23"/>
        </w:rPr>
      </w:pPr>
    </w:p>
    <w:p w:rsidRPr="001B3C21" w:rsidR="00460125" w:rsidP="00460125" w:rsidRDefault="00460125" w14:paraId="0A64E198" w14:textId="77777777">
      <w:pPr>
        <w:pStyle w:val="Prrafodelista"/>
        <w:numPr>
          <w:ilvl w:val="0"/>
          <w:numId w:val="4"/>
        </w:numPr>
        <w:spacing w:after="0" w:line="240" w:lineRule="auto"/>
        <w:ind w:left="0" w:firstLine="0"/>
        <w:jc w:val="both"/>
        <w:rPr>
          <w:rFonts w:ascii="Cambria" w:hAnsi="Cambria" w:cs="Times New Roman"/>
          <w:sz w:val="23"/>
          <w:szCs w:val="23"/>
        </w:rPr>
      </w:pPr>
      <w:r w:rsidRPr="001B3C21">
        <w:rPr>
          <w:rFonts w:ascii="Cambria" w:hAnsi="Cambria" w:cs="Times New Roman"/>
          <w:sz w:val="23"/>
          <w:szCs w:val="23"/>
        </w:rPr>
        <w:t>Durante el 2021 y el 2022, el sistema financiero nacional (SFN) mantuvo indicadores de liquidez y solvencia adecuados de acuerdo con los umbrales regulatorios. Si bien el SFN mostró una importante exposición a varios riesgos financieros producto de la emergencia sanitaria, especialmente en el riesgo de crédito, esa exposición disminuyó en comparación con el 2020. Además, esos riesgos fueron mitigados por las políticas adoptadas por las autoridades financieras, entre ellas, la disminución del valor del factor M antes indicado.</w:t>
      </w:r>
    </w:p>
    <w:p w:rsidRPr="001B3C21" w:rsidR="00460125" w:rsidP="00460125" w:rsidRDefault="00460125" w14:paraId="5B2F3A17" w14:textId="77777777">
      <w:pPr>
        <w:spacing w:line="240" w:lineRule="auto"/>
        <w:rPr>
          <w:sz w:val="23"/>
          <w:szCs w:val="23"/>
        </w:rPr>
      </w:pPr>
    </w:p>
    <w:p w:rsidRPr="001B3C21" w:rsidR="00460125" w:rsidP="00460125" w:rsidRDefault="00460125" w14:paraId="3DD47533" w14:textId="77777777">
      <w:pPr>
        <w:pStyle w:val="Prrafodelista"/>
        <w:numPr>
          <w:ilvl w:val="0"/>
          <w:numId w:val="4"/>
        </w:numPr>
        <w:spacing w:after="0" w:line="240" w:lineRule="auto"/>
        <w:ind w:left="0" w:firstLine="0"/>
        <w:jc w:val="both"/>
        <w:rPr>
          <w:rFonts w:ascii="Cambria" w:hAnsi="Cambria" w:cs="Times New Roman"/>
          <w:sz w:val="23"/>
          <w:szCs w:val="23"/>
        </w:rPr>
      </w:pPr>
      <w:r w:rsidRPr="001B3C21">
        <w:rPr>
          <w:rFonts w:ascii="Cambria" w:hAnsi="Cambria" w:cs="Times New Roman"/>
          <w:sz w:val="23"/>
          <w:szCs w:val="23"/>
        </w:rPr>
        <w:t xml:space="preserve">La estabilidad financiera que se ha venido observando en los últimos meses, coincidente con la flexibilizaron de las restricciones impuestas por la COVID-19, y en línea con lo que indica el artículo 6 del Acuerdo SUGEF 19-16, requiere la necesidad de modificar el porcentaje mínimo requerido de estimación contracíclica M, con el objetivo de sumar oportunidad y efectividad a la dinámica del modelo de estimaciones contracíclicas en un escenario macroeconómico estable. </w:t>
      </w:r>
    </w:p>
    <w:p w:rsidRPr="001B3C21" w:rsidR="00460125" w:rsidP="00460125" w:rsidRDefault="00460125" w14:paraId="1AA0EE23" w14:textId="77777777">
      <w:pPr>
        <w:pStyle w:val="Prrafodelista"/>
        <w:spacing w:after="0" w:line="240" w:lineRule="auto"/>
        <w:ind w:left="0"/>
        <w:jc w:val="both"/>
        <w:rPr>
          <w:rFonts w:ascii="Cambria" w:hAnsi="Cambria" w:cs="Times New Roman"/>
          <w:sz w:val="23"/>
          <w:szCs w:val="23"/>
        </w:rPr>
      </w:pPr>
    </w:p>
    <w:p w:rsidRPr="001B3C21" w:rsidR="00460125" w:rsidP="00460125" w:rsidRDefault="00460125" w14:paraId="2ADC6891" w14:textId="77777777">
      <w:pPr>
        <w:spacing w:line="240" w:lineRule="auto"/>
        <w:contextualSpacing/>
        <w:rPr>
          <w:sz w:val="23"/>
          <w:szCs w:val="23"/>
        </w:rPr>
      </w:pPr>
    </w:p>
    <w:p w:rsidRPr="001B3C21" w:rsidR="00460125" w:rsidP="00460125" w:rsidRDefault="00460125" w14:paraId="64A450D3" w14:textId="77777777">
      <w:pPr>
        <w:spacing w:line="240" w:lineRule="auto"/>
        <w:contextualSpacing/>
        <w:rPr>
          <w:b/>
          <w:sz w:val="23"/>
          <w:szCs w:val="23"/>
        </w:rPr>
      </w:pPr>
      <w:r w:rsidRPr="001B3C21">
        <w:rPr>
          <w:b/>
          <w:sz w:val="23"/>
          <w:szCs w:val="23"/>
        </w:rPr>
        <w:t>Dispone:</w:t>
      </w:r>
    </w:p>
    <w:p w:rsidRPr="001B3C21" w:rsidR="00460125" w:rsidP="00460125" w:rsidRDefault="00460125" w14:paraId="0EBD99CE" w14:textId="77777777">
      <w:pPr>
        <w:spacing w:line="240" w:lineRule="auto"/>
        <w:contextualSpacing/>
        <w:rPr>
          <w:sz w:val="23"/>
          <w:szCs w:val="23"/>
        </w:rPr>
      </w:pPr>
    </w:p>
    <w:p w:rsidRPr="001B3C21" w:rsidR="00460125" w:rsidP="00460125" w:rsidRDefault="00460125" w14:paraId="1AC21D93" w14:textId="77777777">
      <w:pPr>
        <w:pStyle w:val="Prrafodelista"/>
        <w:numPr>
          <w:ilvl w:val="0"/>
          <w:numId w:val="5"/>
        </w:numPr>
        <w:spacing w:line="240" w:lineRule="auto"/>
        <w:jc w:val="both"/>
        <w:rPr>
          <w:rFonts w:ascii="Cambria" w:hAnsi="Cambria"/>
          <w:sz w:val="23"/>
          <w:szCs w:val="23"/>
        </w:rPr>
      </w:pPr>
      <w:r w:rsidRPr="001B3C21">
        <w:rPr>
          <w:rFonts w:ascii="Cambria" w:hAnsi="Cambria"/>
          <w:sz w:val="23"/>
          <w:szCs w:val="23"/>
        </w:rPr>
        <w:t xml:space="preserve">Establecer en 0,33% el valor del factor M al que se refiere el Artículo 6 del Acuerdo SUGEF 19-16. Este nivel porcentual mínimo requerido de estimación contracíclica (M) se aplicará a partir del </w:t>
      </w:r>
      <w:r w:rsidRPr="001B3C21">
        <w:rPr>
          <w:rFonts w:ascii="Cambria" w:hAnsi="Cambria"/>
          <w:b/>
          <w:bCs/>
          <w:sz w:val="23"/>
          <w:szCs w:val="23"/>
        </w:rPr>
        <w:t>primero de enero de 2024</w:t>
      </w:r>
      <w:r w:rsidRPr="001B3C21">
        <w:rPr>
          <w:rFonts w:ascii="Cambria" w:hAnsi="Cambria"/>
          <w:sz w:val="23"/>
          <w:szCs w:val="23"/>
        </w:rPr>
        <w:t>.</w:t>
      </w:r>
    </w:p>
    <w:p w:rsidRPr="001B3C21" w:rsidR="00460125" w:rsidP="00460125" w:rsidRDefault="00460125" w14:paraId="23F54A8C" w14:textId="77777777">
      <w:pPr>
        <w:pStyle w:val="Prrafodelista"/>
        <w:spacing w:line="240" w:lineRule="auto"/>
        <w:rPr>
          <w:rFonts w:ascii="Cambria" w:hAnsi="Cambria"/>
          <w:sz w:val="23"/>
          <w:szCs w:val="23"/>
        </w:rPr>
      </w:pPr>
    </w:p>
    <w:p w:rsidRPr="001B3C21" w:rsidR="00460125" w:rsidP="00460125" w:rsidRDefault="00460125" w14:paraId="1439B4E7" w14:textId="77777777">
      <w:pPr>
        <w:pStyle w:val="Prrafodelista"/>
        <w:numPr>
          <w:ilvl w:val="0"/>
          <w:numId w:val="5"/>
        </w:numPr>
        <w:jc w:val="both"/>
        <w:rPr>
          <w:rFonts w:ascii="Cambria" w:hAnsi="Cambria"/>
          <w:sz w:val="23"/>
          <w:szCs w:val="23"/>
        </w:rPr>
      </w:pPr>
      <w:r w:rsidRPr="001B3C21">
        <w:rPr>
          <w:rFonts w:ascii="Cambria" w:hAnsi="Cambria"/>
          <w:sz w:val="23"/>
          <w:szCs w:val="23"/>
        </w:rPr>
        <w:t xml:space="preserve">Derogar la Resolución SGF-0971-2020 del 20 de marzo del 2020 a partir del </w:t>
      </w:r>
      <w:r w:rsidRPr="001B3C21">
        <w:rPr>
          <w:rFonts w:ascii="Cambria" w:hAnsi="Cambria"/>
          <w:b/>
          <w:bCs/>
          <w:sz w:val="23"/>
          <w:szCs w:val="23"/>
        </w:rPr>
        <w:t>31 de diciembre de 2023</w:t>
      </w:r>
      <w:r w:rsidRPr="001B3C21">
        <w:rPr>
          <w:rFonts w:ascii="Cambria" w:hAnsi="Cambria"/>
          <w:sz w:val="23"/>
          <w:szCs w:val="23"/>
        </w:rPr>
        <w:t>.</w:t>
      </w:r>
    </w:p>
    <w:p w:rsidRPr="001B3C21" w:rsidR="00460125" w:rsidP="00460125" w:rsidRDefault="00460125" w14:paraId="4AFA390A" w14:textId="77777777">
      <w:pPr>
        <w:spacing w:line="240" w:lineRule="auto"/>
        <w:contextualSpacing/>
        <w:rPr>
          <w:sz w:val="23"/>
          <w:szCs w:val="23"/>
        </w:rPr>
      </w:pPr>
    </w:p>
    <w:p w:rsidRPr="001B3C21" w:rsidR="00460125" w:rsidP="00460125" w:rsidRDefault="00460125" w14:paraId="7C6B203A" w14:textId="77777777">
      <w:pPr>
        <w:spacing w:line="240" w:lineRule="auto"/>
        <w:contextualSpacing/>
        <w:rPr>
          <w:sz w:val="23"/>
          <w:szCs w:val="23"/>
        </w:rPr>
      </w:pPr>
      <w:r w:rsidRPr="001B3C21">
        <w:rPr>
          <w:sz w:val="23"/>
          <w:szCs w:val="23"/>
        </w:rPr>
        <w:t>Rige a partir de su comunicación.</w:t>
      </w:r>
    </w:p>
    <w:p w:rsidRPr="001B3C21" w:rsidR="00460125" w:rsidP="00460125" w:rsidRDefault="00460125" w14:paraId="34C04AFB" w14:textId="77777777">
      <w:pPr>
        <w:spacing w:line="240" w:lineRule="auto"/>
        <w:contextualSpacing/>
        <w:rPr>
          <w:sz w:val="23"/>
          <w:szCs w:val="23"/>
        </w:rPr>
      </w:pPr>
    </w:p>
    <w:p w:rsidRPr="001B3C21" w:rsidR="00460125" w:rsidP="00460125" w:rsidRDefault="00460125" w14:paraId="5009470A" w14:textId="77777777">
      <w:pPr>
        <w:spacing w:line="240" w:lineRule="auto"/>
        <w:contextualSpacing/>
        <w:rPr>
          <w:sz w:val="23"/>
          <w:szCs w:val="23"/>
        </w:rPr>
      </w:pPr>
      <w:r w:rsidRPr="001B3C21">
        <w:rPr>
          <w:sz w:val="23"/>
          <w:szCs w:val="23"/>
        </w:rPr>
        <w:t>Publíquese en el Diario Oficial La Gaceta.</w:t>
      </w:r>
    </w:p>
    <w:p w:rsidRPr="001B3C21" w:rsidR="00460125" w:rsidP="00460125" w:rsidRDefault="00460125" w14:paraId="0EF72BE5" w14:textId="77777777">
      <w:pPr>
        <w:spacing w:line="240" w:lineRule="auto"/>
        <w:contextualSpacing/>
        <w:rPr>
          <w:sz w:val="23"/>
          <w:szCs w:val="23"/>
        </w:rPr>
      </w:pPr>
    </w:p>
    <w:p w:rsidRPr="001B3C21" w:rsidR="00460125" w:rsidP="00460125" w:rsidRDefault="001B3C21" w14:paraId="444F780E" w14:textId="07B35715">
      <w:pPr>
        <w:pStyle w:val="Texto"/>
        <w:spacing w:before="0" w:after="0" w:line="240" w:lineRule="auto"/>
        <w:rPr>
          <w:sz w:val="23"/>
          <w:szCs w:val="23"/>
        </w:rPr>
      </w:pPr>
      <w:r w:rsidRPr="001B3C21">
        <w:rPr>
          <w:noProof/>
          <w:sz w:val="23"/>
          <w:szCs w:val="23"/>
          <w:lang w:val="es-CR" w:eastAsia="es-CR"/>
        </w:rPr>
        <w:drawing>
          <wp:anchor distT="0" distB="0" distL="114300" distR="114300" simplePos="0" relativeHeight="251659264" behindDoc="1" locked="0" layoutInCell="1" allowOverlap="1" wp14:editId="219976E1" wp14:anchorId="0D831467">
            <wp:simplePos x="0" y="0"/>
            <wp:positionH relativeFrom="column">
              <wp:posOffset>-100578</wp:posOffset>
            </wp:positionH>
            <wp:positionV relativeFrom="paragraph">
              <wp:posOffset>130948</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B3C21" w:rsidR="00460125">
        <w:rPr>
          <w:sz w:val="23"/>
          <w:szCs w:val="23"/>
        </w:rPr>
        <w:t>Atentamente,</w:t>
      </w:r>
    </w:p>
    <w:p w:rsidRPr="001B3C21" w:rsidR="00460125" w:rsidP="00460125" w:rsidRDefault="00460125" w14:paraId="37BD7E0A" w14:textId="77777777">
      <w:pPr>
        <w:pStyle w:val="Texto"/>
        <w:spacing w:before="0" w:after="0" w:line="240" w:lineRule="auto"/>
        <w:rPr>
          <w:sz w:val="23"/>
          <w:szCs w:val="23"/>
        </w:rPr>
      </w:pPr>
    </w:p>
    <w:p w:rsidRPr="001B3C21" w:rsidR="00460125" w:rsidP="00460125" w:rsidRDefault="00460125" w14:paraId="7B990E03" w14:textId="77777777">
      <w:pPr>
        <w:spacing w:line="240" w:lineRule="auto"/>
        <w:rPr>
          <w:sz w:val="23"/>
          <w:szCs w:val="23"/>
        </w:rPr>
      </w:pPr>
    </w:p>
    <w:p w:rsidRPr="001B3C21" w:rsidR="00460125" w:rsidP="00460125" w:rsidRDefault="00460125" w14:paraId="39BB74C3" w14:textId="77777777">
      <w:pPr>
        <w:pStyle w:val="Negrita"/>
        <w:spacing w:line="240" w:lineRule="auto"/>
        <w:contextualSpacing/>
        <w:jc w:val="left"/>
        <w:rPr>
          <w:noProof/>
          <w:sz w:val="23"/>
          <w:szCs w:val="23"/>
          <w:lang w:val="es-CR" w:eastAsia="es-CR"/>
        </w:rPr>
      </w:pPr>
      <w:r w:rsidRPr="001B3C21">
        <w:rPr>
          <w:b w:val="0"/>
          <w:sz w:val="23"/>
          <w:szCs w:val="23"/>
        </w:rPr>
        <w:t>Rocío Aguilar Montoya</w:t>
      </w:r>
      <w:r w:rsidRPr="001B3C21">
        <w:rPr>
          <w:sz w:val="23"/>
          <w:szCs w:val="23"/>
        </w:rPr>
        <w:br/>
        <w:t xml:space="preserve">Superintendente </w:t>
      </w:r>
      <w:r w:rsidRPr="001B3C21">
        <w:rPr>
          <w:noProof/>
          <w:sz w:val="23"/>
          <w:szCs w:val="23"/>
          <w:lang w:val="es-CR" w:eastAsia="es-CR"/>
        </w:rPr>
        <w:t xml:space="preserve"> </w:t>
      </w:r>
    </w:p>
    <w:p w:rsidR="001B3C21" w:rsidP="00460125" w:rsidRDefault="001B3C21" w14:paraId="251EAC7A" w14:textId="77777777">
      <w:pPr>
        <w:pStyle w:val="Negrita"/>
        <w:rPr>
          <w:sz w:val="23"/>
          <w:szCs w:val="23"/>
        </w:rPr>
      </w:pPr>
    </w:p>
    <w:p w:rsidRPr="001B3C21" w:rsidR="00E42AAC" w:rsidP="001B3C21" w:rsidRDefault="00460125" w14:paraId="16C0D1FC" w14:textId="35F54497">
      <w:pPr>
        <w:pStyle w:val="Negrita"/>
        <w:rPr>
          <w:sz w:val="24"/>
        </w:rPr>
      </w:pPr>
      <w:r w:rsidRPr="001B3C21">
        <w:rPr>
          <w:sz w:val="23"/>
          <w:szCs w:val="23"/>
        </w:rPr>
        <w:t>JSC/GAA/gvl*</w:t>
      </w:r>
    </w:p>
    <w:sectPr w:rsidRPr="001B3C21" w:rsidR="00E42AAC">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51B0" w14:textId="77777777" w:rsidR="00404F07" w:rsidRDefault="00404F07" w:rsidP="00181ABF">
      <w:pPr>
        <w:spacing w:line="240" w:lineRule="auto"/>
      </w:pPr>
      <w:r>
        <w:separator/>
      </w:r>
    </w:p>
  </w:endnote>
  <w:endnote w:type="continuationSeparator" w:id="0">
    <w:p w14:paraId="6DEB41BD" w14:textId="77777777" w:rsidR="00404F07" w:rsidRDefault="00404F0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59E" w:rsidRDefault="0056759E" w14:paraId="6C14744E"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64C9D3D9" w14:textId="77777777">
      <w:tc>
        <w:tcPr>
          <w:tcW w:w="7356" w:type="dxa"/>
        </w:tcPr>
        <w:p w:rsidR="00825A38" w:rsidP="00825A38" w:rsidRDefault="00825A38" w14:paraId="3D0F4886"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F373DFB" wp14:anchorId="16BCACA0">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4DC492C3"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6BCACA0">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4DC492C3"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0E5E1AF1" w14:textId="77777777">
          <w:pPr>
            <w:pStyle w:val="Piedepgina"/>
            <w:rPr>
              <w:b/>
              <w:color w:val="7F7F7F" w:themeColor="text1" w:themeTint="80"/>
              <w:sz w:val="16"/>
              <w:szCs w:val="16"/>
            </w:rPr>
          </w:pPr>
        </w:p>
      </w:tc>
      <w:tc>
        <w:tcPr>
          <w:tcW w:w="1472" w:type="dxa"/>
        </w:tcPr>
        <w:p w:rsidRPr="009349F3" w:rsidR="00825A38" w:rsidP="00181ABF" w:rsidRDefault="00825A38" w14:paraId="4B3C565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2DD1102A" w14:textId="77777777">
    <w:pPr>
      <w:pStyle w:val="Piedepgina"/>
    </w:pPr>
    <w:r>
      <w:rPr>
        <w:noProof/>
      </w:rPr>
      <w:drawing>
        <wp:anchor distT="0" distB="0" distL="114300" distR="114300" simplePos="0" relativeHeight="251659264" behindDoc="1" locked="0" layoutInCell="1" allowOverlap="1" wp14:editId="08916B0D" wp14:anchorId="6551A770">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59E" w:rsidRDefault="0056759E" w14:paraId="58F2074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0ABC" w14:textId="77777777" w:rsidR="00404F07" w:rsidRDefault="00404F07" w:rsidP="00181ABF">
      <w:pPr>
        <w:spacing w:line="240" w:lineRule="auto"/>
      </w:pPr>
      <w:r>
        <w:separator/>
      </w:r>
    </w:p>
  </w:footnote>
  <w:footnote w:type="continuationSeparator" w:id="0">
    <w:p w14:paraId="027F5DC4" w14:textId="77777777" w:rsidR="00404F07" w:rsidRDefault="00404F07"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59E" w:rsidRDefault="0056759E" w14:paraId="42F190A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5FAEE669" w14:textId="77777777">
    <w:pPr>
      <w:pStyle w:val="Encabezado"/>
    </w:pPr>
  </w:p>
  <w:p w:rsidR="00181ABF" w:rsidP="00825A38" w:rsidRDefault="00181ABF" w14:paraId="53CA2914" w14:textId="77777777">
    <w:pPr>
      <w:pStyle w:val="Encabezado"/>
      <w:jc w:val="left"/>
    </w:pPr>
    <w:r>
      <w:rPr>
        <w:noProof/>
        <w:lang w:val="es-CR" w:eastAsia="es-CR"/>
      </w:rPr>
      <w:drawing>
        <wp:inline distT="0" distB="0" distL="0" distR="0" wp14:anchorId="0B6E097F" wp14:editId="176EF51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59E" w:rsidRDefault="0056759E" w14:paraId="1BA8097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4D1543E"/>
    <w:multiLevelType w:val="hybridMultilevel"/>
    <w:tmpl w:val="365A841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72F188D"/>
    <w:multiLevelType w:val="hybridMultilevel"/>
    <w:tmpl w:val="1BE81514"/>
    <w:lvl w:ilvl="0" w:tplc="195AED48">
      <w:start w:val="1"/>
      <w:numFmt w:val="upperRoman"/>
      <w:lvlText w:val="%1."/>
      <w:lvlJc w:val="left"/>
      <w:pPr>
        <w:ind w:left="914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16cid:durableId="520778860">
    <w:abstractNumId w:val="0"/>
  </w:num>
  <w:num w:numId="2" w16cid:durableId="1033648279">
    <w:abstractNumId w:val="3"/>
  </w:num>
  <w:num w:numId="3" w16cid:durableId="1775784844">
    <w:abstractNumId w:val="4"/>
  </w:num>
  <w:num w:numId="4" w16cid:durableId="1822235314">
    <w:abstractNumId w:val="2"/>
  </w:num>
  <w:num w:numId="5" w16cid:durableId="171226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07"/>
    <w:rsid w:val="000202E3"/>
    <w:rsid w:val="00181ABF"/>
    <w:rsid w:val="001B3C21"/>
    <w:rsid w:val="00226DDC"/>
    <w:rsid w:val="003172BE"/>
    <w:rsid w:val="00404F07"/>
    <w:rsid w:val="00460125"/>
    <w:rsid w:val="0046105A"/>
    <w:rsid w:val="0056759E"/>
    <w:rsid w:val="007B0B65"/>
    <w:rsid w:val="00825A38"/>
    <w:rsid w:val="008C7F0D"/>
    <w:rsid w:val="00937EF0"/>
    <w:rsid w:val="00AA7A56"/>
    <w:rsid w:val="00B86980"/>
    <w:rsid w:val="00D2422E"/>
    <w:rsid w:val="00D67CC3"/>
    <w:rsid w:val="00D90222"/>
    <w:rsid w:val="00DF2ACF"/>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4D81F"/>
  <w15:chartTrackingRefBased/>
  <w15:docId w15:val="{6C8CE074-900D-476F-AE2F-A6D8FE0D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60125"/>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aliases w:val="Informe,Con viñetas,Normal con viñetas,3,Use Case List Paragraph,Bullet 1"/>
    <w:basedOn w:val="Normal"/>
    <w:link w:val="PrrafodelistaCar"/>
    <w:uiPriority w:val="34"/>
    <w:qFormat/>
    <w:rsid w:val="00460125"/>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46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D52E19F1F4629AE9C3792BB18042F"/>
        <w:category>
          <w:name w:val="General"/>
          <w:gallery w:val="placeholder"/>
        </w:category>
        <w:types>
          <w:type w:val="bbPlcHdr"/>
        </w:types>
        <w:behaviors>
          <w:behavior w:val="content"/>
        </w:behaviors>
        <w:guid w:val="{BC0DB914-A797-4718-AA33-FE498C8FA4B2}"/>
      </w:docPartPr>
      <w:docPartBody>
        <w:p w:rsidR="00D43E45" w:rsidRDefault="00F106E2" w:rsidP="00F106E2">
          <w:pPr>
            <w:pStyle w:val="BA8D52E19F1F4629AE9C3792BB18042F"/>
          </w:pPr>
          <w:r w:rsidRPr="001E0779">
            <w:rPr>
              <w:rStyle w:val="Textodelmarcadordeposicin"/>
            </w:rPr>
            <w:t>Haga clic aquí para escribir texto.</w:t>
          </w:r>
        </w:p>
      </w:docPartBody>
    </w:docPart>
    <w:docPart>
      <w:docPartPr>
        <w:name w:val="97E2CA3AEA274997970AD27D601E3B4F"/>
        <w:category>
          <w:name w:val="General"/>
          <w:gallery w:val="placeholder"/>
        </w:category>
        <w:types>
          <w:type w:val="bbPlcHdr"/>
        </w:types>
        <w:behaviors>
          <w:behavior w:val="content"/>
        </w:behaviors>
        <w:guid w:val="{B9D57993-7B90-4508-9856-FD8679DD8E91}"/>
      </w:docPartPr>
      <w:docPartBody>
        <w:p w:rsidR="00D43E45" w:rsidRDefault="00F106E2" w:rsidP="00F106E2">
          <w:pPr>
            <w:pStyle w:val="97E2CA3AEA274997970AD27D601E3B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E2"/>
    <w:rsid w:val="00D43E45"/>
    <w:rsid w:val="00F106E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06E2"/>
  </w:style>
  <w:style w:type="paragraph" w:customStyle="1" w:styleId="BA8D52E19F1F4629AE9C3792BB18042F">
    <w:name w:val="BA8D52E19F1F4629AE9C3792BB18042F"/>
    <w:rsid w:val="00F106E2"/>
  </w:style>
  <w:style w:type="paragraph" w:customStyle="1" w:styleId="97E2CA3AEA274997970AD27D601E3B4F">
    <w:name w:val="97E2CA3AEA274997970AD27D601E3B4F"/>
    <w:rsid w:val="00F1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HrGUX27+nxWo09ptLYlx03ZMdgqMJq7CTKwiqa0I0Lg=</DigestValue>
    </Reference>
    <Reference Type="http://www.w3.org/2000/09/xmldsig#Object" URI="#idOfficeObject">
      <DigestMethod Algorithm="http://www.w3.org/2001/04/xmlenc#sha256"/>
      <DigestValue>GH8i/WTkXg+s1dsGAjJGxnMaFKUQDBfbiSA/pXzgg+w=</DigestValue>
    </Reference>
    <Reference Type="http://uri.etsi.org/01903#SignedProperties" URI="#idSignedProperties">
      <Transforms>
        <Transform Algorithm="http://www.w3.org/TR/2001/REC-xml-c14n-20010315"/>
      </Transforms>
      <DigestMethod Algorithm="http://www.w3.org/2001/04/xmlenc#sha256"/>
      <DigestValue>UuZY/EtiFqk24Xudivm5v24iw5v73D/c41na7YlQt1M=</DigestValue>
    </Reference>
  </SignedInfo>
  <SignatureValue>glGri9BoP6cEdtjnFD0tU0R3JV81cVcjYUczhtjXpnG7OJoBs8UvEMYf19cD7Bhz0Fhsy+Ra/Fqi
lR15/tfu6Wpjdu+WBH7QdlySm4Xhs4B8QVdkdljKSQ8IXakYoUGVDfBCbYRZ5WKwIqUtywI9Zgn5
Tmd7xyCNDJZosZkD0tvTHlZAMfnLNLVeHSkowdYhqQFwodK122c4mqXKFNRstlev8vcI6D0ZuUPN
9Abz7Y352VmPhsx5IUow/O++2D9GgzzO4EC9x/IAVDP/oZue9zub+5u8eeVDGIGzcc9tJl5WTa8n
Q8tXQi12d9OQRgJI/UME0U+a+5rb6RrFzhlhBw==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W6wESlsWD4FQQV448X1JWKZrK+C0TDkY58MfU2vBm0Y=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oMVcXUlZ8IPIyohbdGOQNkMLd3oU503/FOkdBvlt49c=</DigestValue>
      </Reference>
      <Reference URI="/word/endnotes.xml?ContentType=application/vnd.openxmlformats-officedocument.wordprocessingml.endnotes+xml">
        <DigestMethod Algorithm="http://www.w3.org/2001/04/xmlenc#sha256"/>
        <DigestValue>KPBQ/suOJ0PC4YlIM+DmiU4NKB/dbTyuugqpDfP+UME=</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jLK3kgQxS6LEYJ1nzWN69IwfY3ECmcqBczpQ1191GAw=</DigestValue>
      </Reference>
      <Reference URI="/word/footer2.xml?ContentType=application/vnd.openxmlformats-officedocument.wordprocessingml.footer+xml">
        <DigestMethod Algorithm="http://www.w3.org/2001/04/xmlenc#sha256"/>
        <DigestValue>jPbSI2YFX178iaGNPe65sI2g56L2y/Jpb87jfuU8ffk=</DigestValue>
      </Reference>
      <Reference URI="/word/footer3.xml?ContentType=application/vnd.openxmlformats-officedocument.wordprocessingml.footer+xml">
        <DigestMethod Algorithm="http://www.w3.org/2001/04/xmlenc#sha256"/>
        <DigestValue>sGECpIjKBFB7NoSzhtmb0iERHaE+KpObiZSbSOAplz8=</DigestValue>
      </Reference>
      <Reference URI="/word/footnotes.xml?ContentType=application/vnd.openxmlformats-officedocument.wordprocessingml.footnotes+xml">
        <DigestMethod Algorithm="http://www.w3.org/2001/04/xmlenc#sha256"/>
        <DigestValue>cRXu93BpIgCWRynsNQOpEKqFnR2/UsMK8/0pEY85hnU=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pxgPCGsI1QQ8zk30mRpFTrBegy0P0fMloSK7l2Xyotw=</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UjIEwq3RbAleIRoxEhAVkBoknjvE6keA7GohMCeqynA=</DigestValue>
      </Reference>
      <Reference URI="/word/glossary/styles.xml?ContentType=application/vnd.openxmlformats-officedocument.wordprocessingml.styles+xml">
        <DigestMethod Algorithm="http://www.w3.org/2001/04/xmlenc#sha256"/>
        <DigestValue>aaMSAzUg8/dbWS92/gIwtKomEsJru4uPaFKw05qUrDA=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+k7LM8v8uRAQLVEBwFfGrhD2TNnA30euhoCQpssnrtI=</DigestValue>
      </Reference>
      <Reference URI="/word/header2.xml?ContentType=application/vnd.openxmlformats-officedocument.wordprocessingml.header+xml">
        <DigestMethod Algorithm="http://www.w3.org/2001/04/xmlenc#sha256"/>
        <DigestValue>lcXLtpuVohSSS2U+TCzM75hTYUl+wzvYkroxqQN3TF8=</DigestValue>
      </Reference>
      <Reference URI="/word/header3.xml?ContentType=application/vnd.openxmlformats-officedocument.wordprocessingml.header+xml">
        <DigestMethod Algorithm="http://www.w3.org/2001/04/xmlenc#sha256"/>
        <DigestValue>O182GhDZKQbaxL14vUqEEbJXFRIQ1P+oja7GKH+wwLU=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9CbkBYf8ALW4urM5eNeGY40jK1p8S/4iaYU27lk4des=</DigestValue>
      </Reference>
      <Reference URI="/word/settings.xml?ContentType=application/vnd.openxmlformats-officedocument.wordprocessingml.settings+xml">
        <DigestMethod Algorithm="http://www.w3.org/2001/04/xmlenc#sha256"/>
        <DigestValue>bkoaUAS7UD+XOCVMZyPemxqBvY59hxcIzSSAriuqn00=</DigestValue>
      </Reference>
      <Reference URI="/word/styles.xml?ContentType=application/vnd.openxmlformats-officedocument.wordprocessingml.styles+xml">
        <DigestMethod Algorithm="http://www.w3.org/2001/04/xmlenc#sha256"/>
        <DigestValue>giHQZBNxrpcNpauyRqRk0dCsFtlfKZHT2Rn6ZT7m5q8=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2023-08-03T17:16:52Z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2023-08-03T17:16:52Z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OufSzDB01ckvP+ySjCLUtz5kq/s6hHIqH6W0rMtblYCBBWcz5UYDzIwMjMwODAzMTcxNj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V93BOcSf9YvLnr7UTtpa317OBEo=</xd:ByKey>
                  </xd:ResponderID>
                  <xd:ProducedAt>2023-08-03T14:17:36Z</xd:ProducedAt>
                </xd:OCSPIdentifier>
                <xd:DigestAlgAndValue>
                  <DigestMethod Algorithm="http://www.w3.org/2001/04/xmlenc#sha256"/>
                  <DigestValue>H822CwqenyZf3er2hDLu/NQ3eZ4kB66g+wL+np5hfjk=</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</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oEo35PT1qG3a5VZWg70uxZVUlMmdYDRli3flKpnqAsCBBWcz5oYDzIwMjMwODAzMTcxNj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0" ma:contentTypeDescription="Crear nuevo documento." ma:contentTypeScope="" ma:versionID="4bfc77c663f8d1c81fdd0f568c9d913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
        <AccountId xsi:nil="true"/>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Resolución reestablecimiento M a 0.33% del Acuerdo SUGEF 19-16</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2023-07-25T06:00:00+00:00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reestablecimiento M a 0.33% del Acuerdo SUGEF 19-16</Subject1>
  </documentManagement>
</p:properties>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8AF7E738-D491-436F-9ACC-ED41262F475F}"/>
</file>

<file path=customXml/itemProps3.xml><?xml version="1.0" encoding="utf-8"?>
<ds:datastoreItem xmlns:ds="http://schemas.openxmlformats.org/officeDocument/2006/customXml" ds:itemID="{BBDF300D-08D9-44BC-B075-18C74C8E95CD}"/>
</file>

<file path=customXml/itemProps4.xml><?xml version="1.0" encoding="utf-8"?>
<ds:datastoreItem xmlns:ds="http://schemas.openxmlformats.org/officeDocument/2006/customXml" ds:itemID="{7A818429-E9C0-4C1A-9155-61D98BD17962}"/>
</file>

<file path=customXml/itemProps5.xml><?xml version="1.0" encoding="utf-8"?>
<ds:datastoreItem xmlns:ds="http://schemas.openxmlformats.org/officeDocument/2006/customXml" ds:itemID="{3CC1F00D-7DA2-4342-96DA-63787A7CAD4F}"/>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Template>
  <TotalTime>12</TotalTime>
  <Pages>2</Pages>
  <Words>636</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7</cp:revision>
  <dcterms:created xsi:type="dcterms:W3CDTF">2023-07-25T16:40:00Z</dcterms:created>
  <dcterms:modified xsi:type="dcterms:W3CDTF">2023-08-03T15:31:00Z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2023-07-25T16:51:30Z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d70dc7a2-2a50-4a4d-857a-61f5214ff8ad</vt:lpwstr>
  </property>
  <property fmtid="{D5CDD505-2E9C-101B-9397-08002B2CF9AE}" pid="17" name="MSIP_Label_b8b4be34-365a-4a68-b9fb-75c1b6874315_ContentBits">
    <vt:lpwstr>2</vt:lpwstr>
  </property>
  <property fmtid="{D5CDD505-2E9C-101B-9397-08002B2CF9AE}" pid="18" name="Order">
    <vt:r8>126100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f1fd9d7f-da86-405a-9476-87cbb240632e,5;769919c7-9da3-41ff-b395-8ac0bca7c92c,7;</vt:lpwstr>
  </property>
</Properties>
</file>