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B4920" w14:textId="20C4B979" w:rsidR="00730BFF" w:rsidRPr="00D95141" w:rsidRDefault="009C5B15" w:rsidP="00EE0DFE">
      <w:pPr>
        <w:pStyle w:val="Texto0"/>
        <w:spacing w:before="0" w:after="0"/>
        <w:jc w:val="center"/>
        <w:rPr>
          <w:b/>
          <w:sz w:val="24"/>
        </w:rPr>
      </w:pPr>
      <w:r w:rsidRPr="00D95141">
        <w:rPr>
          <w:b/>
          <w:sz w:val="24"/>
        </w:rPr>
        <w:t>Circular</w:t>
      </w:r>
      <w:r w:rsidR="00C4071A" w:rsidRPr="00D95141">
        <w:rPr>
          <w:b/>
          <w:sz w:val="24"/>
        </w:rPr>
        <w:t xml:space="preserve"> Externa</w:t>
      </w:r>
    </w:p>
    <w:sdt>
      <w:sdtPr>
        <w:rPr>
          <w:b/>
          <w:sz w:val="24"/>
        </w:rPr>
        <w:alias w:val="Consecutivo"/>
        <w:tag w:val="Consecutivo"/>
        <w:id w:val="2052717023"/>
        <w:placeholder>
          <w:docPart w:val="46532B97D37C48BD9B65D4AE4D266E93"/>
        </w:placeholder>
        <w:text/>
      </w:sdtPr>
      <w:sdtEndPr/>
      <w:sdtContent>
        <w:p w14:paraId="74210419" w14:textId="77777777" w:rsidR="00E0013C" w:rsidRPr="00C32553" w:rsidRDefault="00DB7D64" w:rsidP="00EE0DFE">
          <w:pPr>
            <w:tabs>
              <w:tab w:val="left" w:pos="2843"/>
            </w:tabs>
            <w:spacing w:line="360" w:lineRule="auto"/>
            <w:jc w:val="center"/>
            <w:rPr>
              <w:b/>
              <w:sz w:val="24"/>
            </w:rPr>
          </w:pPr>
          <w:r w:rsidRPr="00C32553">
            <w:rPr>
              <w:b/>
            </w:rPr>
            <w:t>SGF-1889-2018</w:t>
          </w:r>
        </w:p>
      </w:sdtContent>
    </w:sdt>
    <w:p w14:paraId="31A72B1E" w14:textId="77777777" w:rsidR="002A14D5" w:rsidRPr="00D95141" w:rsidRDefault="00C32553" w:rsidP="00EE0DFE">
      <w:pPr>
        <w:tabs>
          <w:tab w:val="left" w:pos="2843"/>
        </w:tabs>
        <w:spacing w:line="360" w:lineRule="auto"/>
        <w:jc w:val="center"/>
        <w:rPr>
          <w:b/>
          <w:sz w:val="24"/>
        </w:rPr>
      </w:pPr>
      <w:sdt>
        <w:sdtPr>
          <w:rPr>
            <w:b/>
            <w:sz w:val="24"/>
          </w:rPr>
          <w:alias w:val="Confidencialidad"/>
          <w:tag w:val="Confidencialidad"/>
          <w:id w:val="1447896894"/>
          <w:placeholder>
            <w:docPart w:val="0B6DB70AC9C54A5DA5078632A55A718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30BFF" w:rsidRPr="00D95141">
            <w:rPr>
              <w:b/>
              <w:sz w:val="24"/>
            </w:rPr>
            <w:t>SGF-CONFIDENCIAL</w:t>
          </w:r>
        </w:sdtContent>
      </w:sdt>
    </w:p>
    <w:p w14:paraId="752DF76F" w14:textId="26860987" w:rsidR="00730BFF" w:rsidRPr="00D95141" w:rsidRDefault="008D3812" w:rsidP="00EE0DFE">
      <w:pPr>
        <w:pStyle w:val="Texto0"/>
        <w:spacing w:before="0" w:after="0"/>
        <w:jc w:val="center"/>
        <w:rPr>
          <w:sz w:val="24"/>
        </w:rPr>
      </w:pPr>
      <w:r w:rsidRPr="00D95141">
        <w:rPr>
          <w:sz w:val="24"/>
        </w:rPr>
        <w:t>20</w:t>
      </w:r>
      <w:r w:rsidR="00730BFF" w:rsidRPr="00D95141">
        <w:rPr>
          <w:sz w:val="24"/>
        </w:rPr>
        <w:t xml:space="preserve"> de junio del 2018</w:t>
      </w:r>
    </w:p>
    <w:p w14:paraId="7F7A5FD9" w14:textId="77777777" w:rsidR="00730BFF" w:rsidRPr="00D95141" w:rsidRDefault="00730BFF" w:rsidP="00EE0DFE">
      <w:pPr>
        <w:tabs>
          <w:tab w:val="left" w:pos="2843"/>
        </w:tabs>
        <w:spacing w:line="360" w:lineRule="auto"/>
        <w:rPr>
          <w:sz w:val="24"/>
        </w:rPr>
      </w:pPr>
    </w:p>
    <w:p w14:paraId="14BBF1DC" w14:textId="77777777" w:rsidR="00EE0DFE" w:rsidRDefault="00EE0DFE" w:rsidP="00D26EDE">
      <w:pPr>
        <w:tabs>
          <w:tab w:val="left" w:pos="2843"/>
        </w:tabs>
        <w:spacing w:line="240" w:lineRule="auto"/>
        <w:rPr>
          <w:sz w:val="24"/>
        </w:rPr>
      </w:pPr>
    </w:p>
    <w:p w14:paraId="093A394D" w14:textId="77777777" w:rsidR="00730BFF" w:rsidRDefault="00730BFF" w:rsidP="00730BFF">
      <w:pPr>
        <w:widowControl w:val="0"/>
        <w:spacing w:line="240" w:lineRule="auto"/>
        <w:ind w:left="34" w:right="86"/>
        <w:rPr>
          <w:rFonts w:asciiTheme="majorHAnsi" w:hAnsiTheme="majorHAnsi"/>
          <w:b/>
          <w:sz w:val="24"/>
          <w:lang w:val="es-CR"/>
        </w:rPr>
      </w:pPr>
      <w:r w:rsidRPr="002018D1">
        <w:rPr>
          <w:rFonts w:asciiTheme="majorHAnsi" w:hAnsiTheme="majorHAnsi"/>
          <w:b/>
          <w:sz w:val="24"/>
          <w:lang w:val="es-CR"/>
        </w:rPr>
        <w:t>DIRIGIDA A:</w:t>
      </w:r>
    </w:p>
    <w:p w14:paraId="05C9D784" w14:textId="77777777" w:rsidR="00D95141" w:rsidRPr="002018D1" w:rsidRDefault="00D95141" w:rsidP="00730BFF">
      <w:pPr>
        <w:widowControl w:val="0"/>
        <w:spacing w:line="240" w:lineRule="auto"/>
        <w:ind w:left="34" w:right="86"/>
        <w:rPr>
          <w:rFonts w:asciiTheme="majorHAnsi" w:hAnsiTheme="majorHAnsi"/>
          <w:b/>
          <w:sz w:val="24"/>
          <w:lang w:val="es-CR"/>
        </w:rPr>
      </w:pPr>
      <w:bookmarkStart w:id="0" w:name="_GoBack"/>
      <w:bookmarkEnd w:id="0"/>
    </w:p>
    <w:p w14:paraId="6B4CB3BA" w14:textId="4056C766" w:rsidR="008C756F" w:rsidRPr="00EB0071" w:rsidRDefault="00EE0DFE" w:rsidP="00EB0071">
      <w:pPr>
        <w:pStyle w:val="Prrafodelista"/>
        <w:widowControl w:val="0"/>
        <w:numPr>
          <w:ilvl w:val="0"/>
          <w:numId w:val="18"/>
        </w:numPr>
        <w:spacing w:after="200" w:line="240" w:lineRule="auto"/>
        <w:ind w:right="86"/>
        <w:rPr>
          <w:b/>
          <w:sz w:val="24"/>
          <w:lang w:val="es-CR" w:eastAsia="es-ES"/>
        </w:rPr>
      </w:pPr>
      <w:r w:rsidRPr="00EB0071">
        <w:rPr>
          <w:b/>
          <w:sz w:val="24"/>
          <w:lang w:val="es-CR" w:eastAsia="es-ES"/>
        </w:rPr>
        <w:t xml:space="preserve">BANCOS </w:t>
      </w:r>
      <w:r w:rsidR="008C756F" w:rsidRPr="00EB0071">
        <w:rPr>
          <w:b/>
          <w:sz w:val="24"/>
          <w:lang w:val="es-CR" w:eastAsia="es-ES"/>
        </w:rPr>
        <w:t>COMERCIALES DEL ESTADO, BANCOS CREADOS POR LEYES ESPECIALES, BANCOS PRIVADOS, EMPRESAS FINANCIERAS NO BANCARIAS, ORGANIZACIONES COOPERATIVAS DE AHORRO Y CRÉDITO, ENTIDADES AUTORIZADAS DEL SISTEMA FINANCIERO NACIONAL PARA LA VIVIENDA, CAJA DE AHORRO Y PRÉSTAMO DE LA ANDE Y CASAS DE CAMBIO</w:t>
      </w:r>
    </w:p>
    <w:p w14:paraId="49CC3663" w14:textId="1E35B970" w:rsidR="00EE0DFE" w:rsidRPr="00EB0071" w:rsidRDefault="00EE0DFE" w:rsidP="00EB0071">
      <w:pPr>
        <w:pStyle w:val="Prrafodelista"/>
        <w:widowControl w:val="0"/>
        <w:numPr>
          <w:ilvl w:val="0"/>
          <w:numId w:val="18"/>
        </w:numPr>
        <w:spacing w:after="200" w:line="240" w:lineRule="auto"/>
        <w:ind w:right="86"/>
        <w:rPr>
          <w:b/>
          <w:sz w:val="24"/>
          <w:lang w:val="es-CR" w:eastAsia="es-ES"/>
        </w:rPr>
      </w:pPr>
      <w:r w:rsidRPr="00EB0071">
        <w:rPr>
          <w:b/>
          <w:sz w:val="24"/>
          <w:lang w:val="es-CR" w:eastAsia="es-ES"/>
        </w:rPr>
        <w:t>GRU</w:t>
      </w:r>
      <w:r w:rsidR="005E587B" w:rsidRPr="00EB0071">
        <w:rPr>
          <w:b/>
          <w:sz w:val="24"/>
          <w:lang w:val="es-CR" w:eastAsia="es-ES"/>
        </w:rPr>
        <w:t>POS Y CONGLOMERADOS FINANCIEROS INSCRITOS EN LA SUGEF</w:t>
      </w:r>
    </w:p>
    <w:p w14:paraId="7D7DD98B" w14:textId="77777777" w:rsidR="009C5B15" w:rsidRPr="00EB0071" w:rsidRDefault="009C5B15" w:rsidP="00EB0071">
      <w:pPr>
        <w:pStyle w:val="Prrafodelista"/>
        <w:widowControl w:val="0"/>
        <w:numPr>
          <w:ilvl w:val="0"/>
          <w:numId w:val="18"/>
        </w:numPr>
        <w:spacing w:after="200" w:line="240" w:lineRule="auto"/>
        <w:ind w:right="86"/>
        <w:rPr>
          <w:b/>
          <w:sz w:val="24"/>
          <w:lang w:val="es-CR" w:eastAsia="es-ES"/>
        </w:rPr>
      </w:pPr>
      <w:r w:rsidRPr="00EB0071">
        <w:rPr>
          <w:b/>
          <w:sz w:val="24"/>
          <w:lang w:val="es-CR" w:eastAsia="es-ES"/>
        </w:rPr>
        <w:t>PERSONAS INSCRITAS AL TENOR DEL ARTÍCULO 15 DE LA LEY 8204 “LEY SOBRE ESTUPEFACIENTES, SUSTANCIAS PSICOTRÓPICAS, DROGAS DE USO NO AUTORIZADO, ACTIVIDADES CONEXAS, LEGITIMACIÓN DE CAPITALES Y FINANCIAMIENTO AL TERRORISMO”</w:t>
      </w:r>
    </w:p>
    <w:p w14:paraId="600FB383" w14:textId="77777777" w:rsidR="009C5B15" w:rsidRPr="00EB0071" w:rsidRDefault="009C5B15" w:rsidP="00EB0071">
      <w:pPr>
        <w:pStyle w:val="Prrafodelista"/>
        <w:widowControl w:val="0"/>
        <w:numPr>
          <w:ilvl w:val="0"/>
          <w:numId w:val="18"/>
        </w:numPr>
        <w:spacing w:after="200" w:line="240" w:lineRule="auto"/>
        <w:ind w:right="86"/>
        <w:rPr>
          <w:b/>
          <w:sz w:val="24"/>
          <w:lang w:val="es-CR"/>
        </w:rPr>
      </w:pPr>
      <w:r w:rsidRPr="00EB0071">
        <w:rPr>
          <w:b/>
          <w:sz w:val="24"/>
          <w:lang w:val="es-CR" w:eastAsia="es-ES"/>
        </w:rPr>
        <w:t>OPERADORES DEL SISTEMA DE BANCA PARA EL DESARROLLO (SBD)</w:t>
      </w:r>
    </w:p>
    <w:p w14:paraId="64D8DB8D" w14:textId="77777777" w:rsidR="00730BFF" w:rsidRPr="002018D1" w:rsidRDefault="00730BFF" w:rsidP="00730BFF">
      <w:pPr>
        <w:spacing w:before="120" w:after="120" w:line="240" w:lineRule="auto"/>
        <w:ind w:left="33"/>
        <w:rPr>
          <w:rFonts w:asciiTheme="majorHAnsi" w:hAnsiTheme="majorHAnsi"/>
          <w:b/>
          <w:sz w:val="24"/>
        </w:rPr>
      </w:pPr>
      <w:r w:rsidRPr="002018D1">
        <w:rPr>
          <w:rFonts w:asciiTheme="majorHAnsi" w:hAnsiTheme="majorHAnsi"/>
          <w:b/>
          <w:sz w:val="24"/>
        </w:rPr>
        <w:t xml:space="preserve">Asunto: </w:t>
      </w:r>
      <w:r w:rsidR="00EE0DFE" w:rsidRPr="00EE0DFE">
        <w:rPr>
          <w:rFonts w:asciiTheme="majorHAnsi" w:hAnsiTheme="majorHAnsi"/>
          <w:sz w:val="24"/>
        </w:rPr>
        <w:t xml:space="preserve">Actualización </w:t>
      </w:r>
      <w:r w:rsidR="00306003">
        <w:rPr>
          <w:rFonts w:asciiTheme="majorHAnsi" w:hAnsiTheme="majorHAnsi"/>
          <w:sz w:val="24"/>
        </w:rPr>
        <w:t xml:space="preserve">y recordatorio </w:t>
      </w:r>
      <w:r w:rsidR="00EE0DFE" w:rsidRPr="00EE0DFE">
        <w:rPr>
          <w:rFonts w:asciiTheme="majorHAnsi" w:hAnsiTheme="majorHAnsi"/>
          <w:sz w:val="24"/>
        </w:rPr>
        <w:t xml:space="preserve">del </w:t>
      </w:r>
      <w:r w:rsidR="00306003" w:rsidRPr="00DF4F84">
        <w:rPr>
          <w:rFonts w:asciiTheme="majorHAnsi" w:hAnsiTheme="majorHAnsi"/>
          <w:i/>
          <w:sz w:val="24"/>
        </w:rPr>
        <w:t>Sistema  de Registro y Actualización de Roles</w:t>
      </w:r>
      <w:r w:rsidR="00306003" w:rsidRPr="00DF4F84">
        <w:rPr>
          <w:rFonts w:asciiTheme="majorHAnsi" w:hAnsiTheme="majorHAnsi"/>
          <w:sz w:val="24"/>
        </w:rPr>
        <w:t xml:space="preserve">” </w:t>
      </w:r>
      <w:r w:rsidRPr="002018D1">
        <w:rPr>
          <w:rFonts w:asciiTheme="majorHAnsi" w:hAnsiTheme="majorHAnsi"/>
          <w:b/>
          <w:sz w:val="24"/>
        </w:rPr>
        <w:t xml:space="preserve"> </w:t>
      </w:r>
    </w:p>
    <w:p w14:paraId="405DC0CE" w14:textId="77777777" w:rsidR="00634D61" w:rsidRDefault="00634D61" w:rsidP="00730BFF">
      <w:pPr>
        <w:spacing w:before="120" w:after="120" w:line="240" w:lineRule="auto"/>
        <w:ind w:left="33"/>
        <w:rPr>
          <w:rFonts w:asciiTheme="majorHAnsi" w:hAnsiTheme="majorHAnsi"/>
          <w:b/>
          <w:sz w:val="24"/>
        </w:rPr>
      </w:pPr>
    </w:p>
    <w:p w14:paraId="6E6BADBA" w14:textId="77777777" w:rsidR="00730BFF" w:rsidRDefault="00730BFF" w:rsidP="00730BFF">
      <w:pPr>
        <w:spacing w:before="120" w:after="120" w:line="240" w:lineRule="auto"/>
        <w:ind w:left="33"/>
        <w:rPr>
          <w:rFonts w:asciiTheme="majorHAnsi" w:hAnsiTheme="majorHAnsi"/>
          <w:b/>
          <w:sz w:val="24"/>
        </w:rPr>
      </w:pPr>
      <w:r w:rsidRPr="002018D1">
        <w:rPr>
          <w:rFonts w:asciiTheme="majorHAnsi" w:hAnsiTheme="majorHAnsi"/>
          <w:b/>
          <w:sz w:val="24"/>
        </w:rPr>
        <w:t>El Superintendente General de Entidades Financieras,</w:t>
      </w:r>
    </w:p>
    <w:p w14:paraId="33F49BED" w14:textId="77777777" w:rsidR="00730BFF" w:rsidRDefault="00730BFF" w:rsidP="00730BFF">
      <w:pPr>
        <w:spacing w:before="120" w:after="120" w:line="240" w:lineRule="auto"/>
        <w:ind w:left="33"/>
        <w:rPr>
          <w:rFonts w:asciiTheme="majorHAnsi" w:hAnsiTheme="majorHAnsi"/>
          <w:b/>
          <w:sz w:val="24"/>
        </w:rPr>
      </w:pPr>
    </w:p>
    <w:p w14:paraId="4A0EA78B" w14:textId="77777777" w:rsidR="00730BFF" w:rsidRPr="00D95141" w:rsidRDefault="00730BFF" w:rsidP="00730BFF">
      <w:pPr>
        <w:spacing w:line="240" w:lineRule="auto"/>
        <w:jc w:val="left"/>
        <w:rPr>
          <w:rFonts w:asciiTheme="majorHAnsi" w:eastAsia="Cambria" w:hAnsiTheme="majorHAnsi" w:cs="Cambria"/>
          <w:b/>
          <w:sz w:val="24"/>
          <w:lang w:val="es-CR"/>
        </w:rPr>
      </w:pPr>
      <w:r w:rsidRPr="00D95141">
        <w:rPr>
          <w:rFonts w:asciiTheme="majorHAnsi" w:eastAsia="Cambria" w:hAnsiTheme="majorHAnsi" w:cs="Cambria"/>
          <w:b/>
          <w:sz w:val="24"/>
          <w:lang w:val="es-CR"/>
        </w:rPr>
        <w:t>Considerando que:</w:t>
      </w:r>
    </w:p>
    <w:p w14:paraId="2F3E4E2C" w14:textId="77777777" w:rsidR="00730BFF" w:rsidRPr="00D95141" w:rsidRDefault="00730BFF" w:rsidP="00730BFF">
      <w:pPr>
        <w:spacing w:line="240" w:lineRule="auto"/>
        <w:jc w:val="left"/>
        <w:rPr>
          <w:rFonts w:asciiTheme="majorHAnsi" w:hAnsiTheme="majorHAnsi"/>
          <w:sz w:val="24"/>
          <w:lang w:val="es-CR"/>
        </w:rPr>
      </w:pPr>
    </w:p>
    <w:p w14:paraId="0449BD30" w14:textId="77777777" w:rsidR="00730BFF" w:rsidRPr="00D95141" w:rsidRDefault="00730BFF" w:rsidP="00730BFF">
      <w:pPr>
        <w:spacing w:line="240" w:lineRule="auto"/>
        <w:jc w:val="left"/>
        <w:rPr>
          <w:rFonts w:asciiTheme="majorHAnsi" w:hAnsiTheme="majorHAnsi"/>
          <w:b/>
          <w:sz w:val="24"/>
          <w:lang w:val="es-CR"/>
        </w:rPr>
      </w:pPr>
      <w:r w:rsidRPr="00D95141">
        <w:rPr>
          <w:rFonts w:asciiTheme="majorHAnsi" w:hAnsiTheme="majorHAnsi"/>
          <w:b/>
          <w:sz w:val="24"/>
          <w:lang w:val="es-CR"/>
        </w:rPr>
        <w:t>En relación con el reporte de puestos externos</w:t>
      </w:r>
    </w:p>
    <w:p w14:paraId="1BEB8DB1" w14:textId="77777777" w:rsidR="00730BFF" w:rsidRPr="00DF4F84" w:rsidRDefault="00730BFF" w:rsidP="00730BFF">
      <w:pPr>
        <w:spacing w:line="240" w:lineRule="auto"/>
        <w:jc w:val="left"/>
        <w:rPr>
          <w:rFonts w:asciiTheme="majorHAnsi" w:hAnsiTheme="majorHAnsi"/>
          <w:sz w:val="24"/>
          <w:lang w:val="es-CR"/>
        </w:rPr>
      </w:pPr>
    </w:p>
    <w:p w14:paraId="36A77C12" w14:textId="77777777" w:rsidR="00730BFF" w:rsidRPr="00C976E8" w:rsidRDefault="00730BFF" w:rsidP="00730BFF">
      <w:pPr>
        <w:pStyle w:val="NormalWeb"/>
        <w:numPr>
          <w:ilvl w:val="0"/>
          <w:numId w:val="14"/>
        </w:numPr>
        <w:spacing w:before="0" w:beforeAutospacing="0" w:after="0" w:afterAutospacing="0"/>
        <w:ind w:left="567" w:hanging="567"/>
        <w:jc w:val="both"/>
        <w:rPr>
          <w:rFonts w:asciiTheme="majorHAnsi" w:hAnsiTheme="majorHAnsi"/>
          <w:sz w:val="24"/>
          <w:szCs w:val="24"/>
        </w:rPr>
      </w:pPr>
      <w:r w:rsidRPr="00C976E8">
        <w:rPr>
          <w:rFonts w:asciiTheme="majorHAnsi" w:hAnsiTheme="majorHAnsi"/>
          <w:sz w:val="24"/>
          <w:szCs w:val="24"/>
        </w:rPr>
        <w:lastRenderedPageBreak/>
        <w:t>La simplificación de los trámites administrativos y la mejora regulatoria tienen por objeto racionalizar los trámites que realizan los particulares ante la Administración Pública; mejorar su eficacia, pertinencia y utilidad, a fin de lograr mayor celeridad y funcionalidad en la gestión, reduciendo los gastos operativos.</w:t>
      </w:r>
    </w:p>
    <w:p w14:paraId="524F7DED" w14:textId="77777777" w:rsidR="00730BFF" w:rsidRPr="00DF4F84" w:rsidRDefault="00730BFF" w:rsidP="00730BFF">
      <w:pPr>
        <w:pStyle w:val="NormalWeb"/>
        <w:spacing w:before="0" w:beforeAutospacing="0" w:after="0" w:afterAutospacing="0"/>
        <w:ind w:left="567"/>
        <w:jc w:val="both"/>
        <w:rPr>
          <w:rFonts w:asciiTheme="majorHAnsi" w:hAnsiTheme="majorHAnsi"/>
        </w:rPr>
      </w:pPr>
    </w:p>
    <w:p w14:paraId="4E9EE090" w14:textId="77777777" w:rsidR="00730BFF" w:rsidRPr="00C976E8" w:rsidRDefault="00730BFF" w:rsidP="00730BFF">
      <w:pPr>
        <w:pStyle w:val="NormalWeb"/>
        <w:numPr>
          <w:ilvl w:val="0"/>
          <w:numId w:val="14"/>
        </w:numPr>
        <w:spacing w:before="0" w:beforeAutospacing="0" w:after="0" w:afterAutospacing="0"/>
        <w:ind w:left="567" w:hanging="567"/>
        <w:jc w:val="both"/>
        <w:rPr>
          <w:rFonts w:asciiTheme="majorHAnsi" w:hAnsiTheme="majorHAnsi"/>
          <w:sz w:val="24"/>
          <w:szCs w:val="24"/>
        </w:rPr>
      </w:pPr>
      <w:r w:rsidRPr="00C976E8">
        <w:rPr>
          <w:rFonts w:asciiTheme="majorHAnsi" w:hAnsiTheme="majorHAnsi"/>
          <w:sz w:val="24"/>
          <w:szCs w:val="24"/>
        </w:rPr>
        <w:t>El Acuerdo SUGEF 32-10 “</w:t>
      </w:r>
      <w:r w:rsidRPr="00C976E8">
        <w:rPr>
          <w:rFonts w:asciiTheme="majorHAnsi" w:hAnsiTheme="majorHAnsi"/>
          <w:i/>
          <w:sz w:val="24"/>
          <w:szCs w:val="24"/>
        </w:rPr>
        <w:t>Reglamento General de Auditores Externos</w:t>
      </w:r>
      <w:r w:rsidRPr="00C976E8">
        <w:rPr>
          <w:rFonts w:asciiTheme="majorHAnsi" w:hAnsiTheme="majorHAnsi"/>
          <w:sz w:val="24"/>
          <w:szCs w:val="24"/>
        </w:rPr>
        <w:t>” establece:</w:t>
      </w:r>
    </w:p>
    <w:p w14:paraId="4019CAA1" w14:textId="77777777" w:rsidR="00730BFF" w:rsidRPr="00C976E8" w:rsidRDefault="00730BFF" w:rsidP="00730BFF">
      <w:pPr>
        <w:pStyle w:val="NormalWeb"/>
        <w:spacing w:before="0" w:beforeAutospacing="0" w:after="0" w:afterAutospacing="0"/>
        <w:ind w:left="567"/>
        <w:rPr>
          <w:rFonts w:asciiTheme="majorHAnsi" w:hAnsiTheme="majorHAnsi"/>
          <w:sz w:val="24"/>
          <w:szCs w:val="24"/>
        </w:rPr>
      </w:pPr>
    </w:p>
    <w:p w14:paraId="387F65EB" w14:textId="77777777" w:rsidR="00730BFF" w:rsidRPr="00C976E8" w:rsidRDefault="00730BFF" w:rsidP="00730BFF">
      <w:pPr>
        <w:pStyle w:val="NormalWeb"/>
        <w:spacing w:before="0" w:beforeAutospacing="0" w:after="0" w:afterAutospacing="0"/>
        <w:ind w:left="567"/>
        <w:jc w:val="both"/>
        <w:rPr>
          <w:rFonts w:asciiTheme="majorHAnsi" w:hAnsiTheme="majorHAnsi"/>
          <w:b/>
          <w:i/>
          <w:sz w:val="24"/>
          <w:szCs w:val="24"/>
        </w:rPr>
      </w:pPr>
      <w:r w:rsidRPr="00C976E8">
        <w:rPr>
          <w:rFonts w:asciiTheme="majorHAnsi" w:hAnsiTheme="majorHAnsi"/>
          <w:b/>
          <w:i/>
          <w:sz w:val="24"/>
          <w:szCs w:val="24"/>
        </w:rPr>
        <w:t>Artículo 14. Comunicación de nombramiento y demostración del cumplimiento de los requisitos y condiciones.</w:t>
      </w:r>
    </w:p>
    <w:p w14:paraId="0A75C3A3" w14:textId="77777777" w:rsidR="00730BFF" w:rsidRPr="00C976E8" w:rsidRDefault="00730BFF" w:rsidP="00730BFF">
      <w:pPr>
        <w:pStyle w:val="NormalWeb"/>
        <w:spacing w:before="0" w:beforeAutospacing="0" w:after="0" w:afterAutospacing="0"/>
        <w:ind w:left="567"/>
        <w:jc w:val="both"/>
        <w:rPr>
          <w:rFonts w:asciiTheme="majorHAnsi" w:hAnsiTheme="majorHAnsi"/>
          <w:i/>
          <w:sz w:val="24"/>
          <w:szCs w:val="24"/>
        </w:rPr>
      </w:pPr>
      <w:r w:rsidRPr="00C976E8">
        <w:rPr>
          <w:rFonts w:asciiTheme="majorHAnsi" w:hAnsiTheme="majorHAnsi"/>
          <w:i/>
          <w:sz w:val="24"/>
          <w:szCs w:val="24"/>
        </w:rPr>
        <w:t>Los grupos o conglomerados financieros y las entidades supervisadas deben comunicar anualmente el nombre de la firma de auditoría externa o auditor externo independiente contratado para realizar la auditoría mediante un oficio a la Superintendencia respectiva.</w:t>
      </w:r>
    </w:p>
    <w:p w14:paraId="62DF00D4" w14:textId="77777777" w:rsidR="00730BFF" w:rsidRPr="00C976E8" w:rsidRDefault="00730BFF" w:rsidP="00730BFF">
      <w:pPr>
        <w:pStyle w:val="NormalWeb"/>
        <w:spacing w:before="0" w:beforeAutospacing="0" w:after="0" w:afterAutospacing="0"/>
        <w:ind w:left="567"/>
        <w:jc w:val="both"/>
        <w:rPr>
          <w:rFonts w:asciiTheme="majorHAnsi" w:hAnsiTheme="majorHAnsi"/>
          <w:i/>
          <w:sz w:val="24"/>
          <w:szCs w:val="24"/>
        </w:rPr>
      </w:pPr>
      <w:r w:rsidRPr="00C976E8">
        <w:rPr>
          <w:rFonts w:asciiTheme="majorHAnsi" w:hAnsiTheme="majorHAnsi"/>
          <w:i/>
          <w:sz w:val="24"/>
          <w:szCs w:val="24"/>
        </w:rPr>
        <w:t>La comunicación deberá realizarse, a más tardar, en el caso de la auditoría financiero-contable el 30 de junio de cada año, tratándose de empresas que realizan sus cierres en diciembre de cada año, y el 30 de abril para las que lo realizan en otra fecha de corte. En el caso de la auditoría en TI, debe realizarse en el plazo de veinte días hábiles posteriores a la contratación respectiva (…)</w:t>
      </w:r>
    </w:p>
    <w:p w14:paraId="202FC332" w14:textId="77777777" w:rsidR="00730BFF" w:rsidRPr="00DF4F84" w:rsidRDefault="00730BFF" w:rsidP="00730BFF">
      <w:pPr>
        <w:pStyle w:val="NormalWeb"/>
        <w:spacing w:before="0" w:beforeAutospacing="0" w:after="0" w:afterAutospacing="0"/>
        <w:ind w:left="567"/>
        <w:jc w:val="both"/>
        <w:rPr>
          <w:rFonts w:asciiTheme="majorHAnsi" w:hAnsiTheme="majorHAnsi"/>
        </w:rPr>
      </w:pPr>
    </w:p>
    <w:p w14:paraId="63602A81" w14:textId="77777777" w:rsidR="00730BFF" w:rsidRPr="00C976E8" w:rsidRDefault="00730BFF" w:rsidP="00730BFF">
      <w:pPr>
        <w:pStyle w:val="NormalWeb"/>
        <w:spacing w:before="0" w:beforeAutospacing="0" w:after="0" w:afterAutospacing="0"/>
        <w:ind w:left="567" w:hanging="567"/>
        <w:jc w:val="both"/>
        <w:rPr>
          <w:rFonts w:asciiTheme="majorHAnsi" w:hAnsiTheme="majorHAnsi"/>
          <w:sz w:val="24"/>
          <w:szCs w:val="24"/>
        </w:rPr>
      </w:pPr>
      <w:r w:rsidRPr="00DF4F84">
        <w:rPr>
          <w:rFonts w:asciiTheme="majorHAnsi" w:hAnsiTheme="majorHAnsi"/>
        </w:rPr>
        <w:t>III.</w:t>
      </w:r>
      <w:r w:rsidRPr="00DF4F84">
        <w:rPr>
          <w:rFonts w:asciiTheme="majorHAnsi" w:hAnsiTheme="majorHAnsi"/>
        </w:rPr>
        <w:tab/>
      </w:r>
      <w:r w:rsidRPr="00C976E8">
        <w:rPr>
          <w:rFonts w:asciiTheme="majorHAnsi" w:hAnsiTheme="majorHAnsi"/>
          <w:sz w:val="24"/>
          <w:szCs w:val="24"/>
        </w:rPr>
        <w:t>El Acuerdo SUGEF 12-10 “</w:t>
      </w:r>
      <w:r w:rsidRPr="00C976E8">
        <w:rPr>
          <w:rFonts w:asciiTheme="majorHAnsi" w:hAnsiTheme="majorHAnsi"/>
          <w:i/>
          <w:sz w:val="24"/>
          <w:szCs w:val="24"/>
        </w:rPr>
        <w:t>Normativa para el cumplimiento de la Ley No. 8204</w:t>
      </w:r>
      <w:r w:rsidRPr="00C976E8">
        <w:rPr>
          <w:rFonts w:asciiTheme="majorHAnsi" w:hAnsiTheme="majorHAnsi"/>
          <w:sz w:val="24"/>
          <w:szCs w:val="24"/>
        </w:rPr>
        <w:t>” determina:</w:t>
      </w:r>
    </w:p>
    <w:p w14:paraId="7B4B92CB" w14:textId="77777777" w:rsidR="00730BFF" w:rsidRPr="00C976E8" w:rsidRDefault="00730BFF" w:rsidP="00730BFF">
      <w:pPr>
        <w:pStyle w:val="NormalWeb"/>
        <w:spacing w:before="0" w:beforeAutospacing="0" w:after="0" w:afterAutospacing="0"/>
        <w:ind w:left="567" w:hanging="567"/>
        <w:jc w:val="both"/>
        <w:rPr>
          <w:rFonts w:asciiTheme="majorHAnsi" w:hAnsiTheme="majorHAnsi"/>
          <w:sz w:val="24"/>
          <w:szCs w:val="24"/>
        </w:rPr>
      </w:pPr>
    </w:p>
    <w:p w14:paraId="1D4B6039" w14:textId="77777777" w:rsidR="00730BFF" w:rsidRPr="00C976E8" w:rsidRDefault="00730BFF" w:rsidP="00730BFF">
      <w:pPr>
        <w:pStyle w:val="NormalWeb"/>
        <w:spacing w:before="0" w:beforeAutospacing="0" w:after="0" w:afterAutospacing="0"/>
        <w:ind w:left="567"/>
        <w:jc w:val="both"/>
        <w:rPr>
          <w:rFonts w:asciiTheme="majorHAnsi" w:hAnsiTheme="majorHAnsi"/>
          <w:b/>
          <w:i/>
          <w:sz w:val="24"/>
          <w:szCs w:val="24"/>
        </w:rPr>
      </w:pPr>
      <w:r w:rsidRPr="00C976E8">
        <w:rPr>
          <w:rFonts w:asciiTheme="majorHAnsi" w:hAnsiTheme="majorHAnsi"/>
          <w:b/>
          <w:i/>
          <w:sz w:val="24"/>
          <w:szCs w:val="24"/>
        </w:rPr>
        <w:t>Artículo 37. Informe anual del Auditor Externo sobre prevención y control de legitimación de capitales y financiamiento al terrorismo</w:t>
      </w:r>
    </w:p>
    <w:p w14:paraId="6FB72287" w14:textId="77777777" w:rsidR="00730BFF" w:rsidRPr="00C976E8" w:rsidRDefault="00730BFF" w:rsidP="00730BFF">
      <w:pPr>
        <w:pStyle w:val="NormalWeb"/>
        <w:spacing w:before="0" w:beforeAutospacing="0" w:after="0" w:afterAutospacing="0"/>
        <w:ind w:left="567"/>
        <w:jc w:val="both"/>
        <w:rPr>
          <w:rFonts w:asciiTheme="majorHAnsi" w:hAnsiTheme="majorHAnsi"/>
          <w:i/>
          <w:sz w:val="24"/>
          <w:szCs w:val="24"/>
        </w:rPr>
      </w:pPr>
      <w:r w:rsidRPr="00C976E8">
        <w:rPr>
          <w:rFonts w:asciiTheme="majorHAnsi" w:hAnsiTheme="majorHAnsi"/>
          <w:i/>
          <w:sz w:val="24"/>
          <w:szCs w:val="24"/>
        </w:rPr>
        <w:t xml:space="preserve">La auditoría externa a la que se somete cada sujeto fiscalizado, debe incluir pruebas específicas sobre el cumplimiento de las medidas para revenir y detectar la legitimación de capitales y el financiamiento al terrorismo. Se puede contratar los servicios de un auditor externo diferente al que realiza la auditoría financiera para que lleve a cabo dicha labor. </w:t>
      </w:r>
      <w:r w:rsidRPr="00C976E8">
        <w:rPr>
          <w:rFonts w:asciiTheme="majorHAnsi" w:hAnsiTheme="majorHAnsi"/>
          <w:i/>
          <w:sz w:val="24"/>
          <w:szCs w:val="24"/>
          <w:u w:val="single"/>
        </w:rPr>
        <w:t>Este auditor debe cumplir con los mismos requerimientos que los exigidos a los auditores externos financieros</w:t>
      </w:r>
      <w:r w:rsidRPr="00C976E8">
        <w:rPr>
          <w:rFonts w:asciiTheme="majorHAnsi" w:hAnsiTheme="majorHAnsi"/>
          <w:i/>
          <w:sz w:val="24"/>
          <w:szCs w:val="24"/>
        </w:rPr>
        <w:t xml:space="preserve"> (…) (el subrayado no pertenece al original)</w:t>
      </w:r>
    </w:p>
    <w:p w14:paraId="5FB47B3E" w14:textId="77777777" w:rsidR="00730BFF" w:rsidRPr="00DF4F84" w:rsidRDefault="00730BFF" w:rsidP="00730BFF">
      <w:pPr>
        <w:pStyle w:val="NormalWeb"/>
        <w:spacing w:before="0" w:beforeAutospacing="0" w:after="0" w:afterAutospacing="0"/>
        <w:ind w:left="567" w:hanging="567"/>
        <w:jc w:val="both"/>
        <w:rPr>
          <w:rFonts w:asciiTheme="majorHAnsi" w:hAnsiTheme="majorHAnsi"/>
        </w:rPr>
      </w:pPr>
    </w:p>
    <w:p w14:paraId="29E8F070" w14:textId="6F8185F4"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r w:rsidRPr="00BF6E09">
        <w:rPr>
          <w:rFonts w:asciiTheme="majorHAnsi" w:hAnsiTheme="majorHAnsi"/>
          <w:sz w:val="24"/>
          <w:szCs w:val="24"/>
        </w:rPr>
        <w:lastRenderedPageBreak/>
        <w:t>IV.</w:t>
      </w:r>
      <w:r w:rsidRPr="00BF6E09">
        <w:rPr>
          <w:rFonts w:asciiTheme="majorHAnsi" w:hAnsiTheme="majorHAnsi"/>
          <w:sz w:val="24"/>
          <w:szCs w:val="24"/>
        </w:rPr>
        <w:tab/>
        <w:t>Por medio de la Resolución R-3</w:t>
      </w:r>
      <w:r w:rsidR="00302018">
        <w:rPr>
          <w:rFonts w:asciiTheme="majorHAnsi" w:hAnsiTheme="majorHAnsi"/>
          <w:sz w:val="24"/>
          <w:szCs w:val="24"/>
        </w:rPr>
        <w:t>0</w:t>
      </w:r>
      <w:r w:rsidRPr="00BF6E09">
        <w:rPr>
          <w:rFonts w:asciiTheme="majorHAnsi" w:hAnsiTheme="majorHAnsi"/>
          <w:sz w:val="24"/>
          <w:szCs w:val="24"/>
        </w:rPr>
        <w:t>15-2016 del 20 de setiembre del 2016, la “</w:t>
      </w:r>
      <w:r w:rsidRPr="00BF6E09">
        <w:rPr>
          <w:rFonts w:asciiTheme="majorHAnsi" w:hAnsiTheme="majorHAnsi"/>
          <w:i/>
          <w:sz w:val="24"/>
          <w:szCs w:val="24"/>
        </w:rPr>
        <w:t>Superintendencia General de Entidades Financieras</w:t>
      </w:r>
      <w:r w:rsidRPr="00BF6E09">
        <w:rPr>
          <w:rFonts w:asciiTheme="majorHAnsi" w:hAnsiTheme="majorHAnsi"/>
          <w:sz w:val="24"/>
          <w:szCs w:val="24"/>
        </w:rPr>
        <w:t>” (</w:t>
      </w:r>
      <w:r w:rsidRPr="00BF6E09">
        <w:rPr>
          <w:rFonts w:asciiTheme="majorHAnsi" w:hAnsiTheme="majorHAnsi"/>
          <w:i/>
          <w:sz w:val="24"/>
          <w:szCs w:val="24"/>
        </w:rPr>
        <w:t>SUGEF</w:t>
      </w:r>
      <w:r w:rsidRPr="00BF6E09">
        <w:rPr>
          <w:rFonts w:asciiTheme="majorHAnsi" w:hAnsiTheme="majorHAnsi"/>
          <w:sz w:val="24"/>
          <w:szCs w:val="24"/>
        </w:rPr>
        <w:t>) estableció el “</w:t>
      </w:r>
      <w:r w:rsidRPr="00BF6E09">
        <w:rPr>
          <w:rFonts w:asciiTheme="majorHAnsi" w:hAnsiTheme="majorHAnsi"/>
          <w:i/>
          <w:sz w:val="24"/>
          <w:szCs w:val="24"/>
        </w:rPr>
        <w:t>Sistema  de Registro y Actualización de Roles</w:t>
      </w:r>
      <w:r w:rsidRPr="00BF6E09">
        <w:rPr>
          <w:rFonts w:asciiTheme="majorHAnsi" w:hAnsiTheme="majorHAnsi"/>
          <w:sz w:val="24"/>
          <w:szCs w:val="24"/>
        </w:rPr>
        <w:t>” como canal oficial para que sus entidades supervisadas remitan la información correspondiente a la Administración Superior y otros nombramientos relevantes en la entidad.</w:t>
      </w:r>
    </w:p>
    <w:p w14:paraId="685CB647" w14:textId="77777777"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p>
    <w:p w14:paraId="47C9A778" w14:textId="77777777" w:rsidR="00730BFF" w:rsidRPr="00BF6E09" w:rsidRDefault="00730BFF" w:rsidP="00730BFF">
      <w:pPr>
        <w:pStyle w:val="NormalWeb"/>
        <w:spacing w:before="0" w:beforeAutospacing="0" w:after="0" w:afterAutospacing="0"/>
        <w:ind w:left="567" w:hanging="567"/>
        <w:jc w:val="both"/>
        <w:rPr>
          <w:rFonts w:asciiTheme="majorHAnsi" w:hAnsiTheme="majorHAnsi"/>
          <w:b/>
          <w:sz w:val="24"/>
          <w:szCs w:val="24"/>
        </w:rPr>
      </w:pPr>
      <w:r w:rsidRPr="00BF6E09">
        <w:rPr>
          <w:rFonts w:asciiTheme="majorHAnsi" w:hAnsiTheme="majorHAnsi"/>
          <w:sz w:val="24"/>
          <w:szCs w:val="24"/>
        </w:rPr>
        <w:t xml:space="preserve">V. </w:t>
      </w:r>
      <w:r w:rsidRPr="00BF6E09">
        <w:rPr>
          <w:rFonts w:asciiTheme="majorHAnsi" w:hAnsiTheme="majorHAnsi"/>
          <w:sz w:val="24"/>
          <w:szCs w:val="24"/>
        </w:rPr>
        <w:tab/>
        <w:t xml:space="preserve">La mencionada Resolución R-3015-2016 del 20 de setiembre del 2016, en su Observación III determina que: </w:t>
      </w:r>
      <w:r w:rsidRPr="00BF6E09">
        <w:rPr>
          <w:rFonts w:asciiTheme="majorHAnsi" w:hAnsiTheme="majorHAnsi"/>
          <w:i/>
          <w:sz w:val="24"/>
          <w:szCs w:val="24"/>
        </w:rPr>
        <w:t>Los roles correspondientes a las funciones de Estructura de capital y Puestos externos, deben ser revelados mediante el Sistema de Registro y Actualización de Roles en el momento que la SUGEF así lo disponga (…)</w:t>
      </w:r>
    </w:p>
    <w:p w14:paraId="1E2A9318" w14:textId="77777777"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p>
    <w:p w14:paraId="6259B3CB" w14:textId="77777777"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r w:rsidRPr="00BF6E09">
        <w:rPr>
          <w:rFonts w:asciiTheme="majorHAnsi" w:hAnsiTheme="majorHAnsi"/>
          <w:sz w:val="24"/>
          <w:szCs w:val="24"/>
        </w:rPr>
        <w:t xml:space="preserve">VI. </w:t>
      </w:r>
      <w:r w:rsidRPr="00BF6E09">
        <w:rPr>
          <w:rFonts w:asciiTheme="majorHAnsi" w:hAnsiTheme="majorHAnsi"/>
          <w:sz w:val="24"/>
          <w:szCs w:val="24"/>
        </w:rPr>
        <w:tab/>
        <w:t>Gracias a algunos desarrollos recientes, el “</w:t>
      </w:r>
      <w:r w:rsidRPr="00BF6E09">
        <w:rPr>
          <w:rFonts w:asciiTheme="majorHAnsi" w:hAnsiTheme="majorHAnsi"/>
          <w:i/>
          <w:sz w:val="24"/>
          <w:szCs w:val="24"/>
        </w:rPr>
        <w:t>Sistema  de Registro y Actualización de Roles</w:t>
      </w:r>
      <w:r w:rsidRPr="00BF6E09">
        <w:rPr>
          <w:rFonts w:asciiTheme="majorHAnsi" w:hAnsiTheme="majorHAnsi"/>
          <w:sz w:val="24"/>
          <w:szCs w:val="24"/>
        </w:rPr>
        <w:t>”, ya incorpora los roles de “</w:t>
      </w:r>
      <w:r w:rsidRPr="00BF6E09">
        <w:rPr>
          <w:rFonts w:asciiTheme="majorHAnsi" w:hAnsiTheme="majorHAnsi"/>
          <w:i/>
          <w:sz w:val="24"/>
          <w:szCs w:val="24"/>
        </w:rPr>
        <w:t>Auditor externo</w:t>
      </w:r>
      <w:r w:rsidRPr="00BF6E09">
        <w:rPr>
          <w:rFonts w:asciiTheme="majorHAnsi" w:hAnsiTheme="majorHAnsi"/>
          <w:sz w:val="24"/>
          <w:szCs w:val="24"/>
        </w:rPr>
        <w:t>”, “</w:t>
      </w:r>
      <w:r w:rsidRPr="00BF6E09">
        <w:rPr>
          <w:rFonts w:asciiTheme="majorHAnsi" w:hAnsiTheme="majorHAnsi"/>
          <w:i/>
          <w:sz w:val="24"/>
          <w:szCs w:val="24"/>
        </w:rPr>
        <w:t>Auditor Externo de TI</w:t>
      </w:r>
      <w:r w:rsidRPr="00BF6E09">
        <w:rPr>
          <w:rFonts w:asciiTheme="majorHAnsi" w:hAnsiTheme="majorHAnsi"/>
          <w:sz w:val="24"/>
          <w:szCs w:val="24"/>
        </w:rPr>
        <w:t>” y “</w:t>
      </w:r>
      <w:r w:rsidRPr="00BF6E09">
        <w:rPr>
          <w:rFonts w:asciiTheme="majorHAnsi" w:hAnsiTheme="majorHAnsi"/>
          <w:i/>
          <w:sz w:val="24"/>
          <w:szCs w:val="24"/>
        </w:rPr>
        <w:t>Agente residente</w:t>
      </w:r>
      <w:r w:rsidRPr="00BF6E09">
        <w:rPr>
          <w:rFonts w:asciiTheme="majorHAnsi" w:hAnsiTheme="majorHAnsi"/>
          <w:sz w:val="24"/>
          <w:szCs w:val="24"/>
        </w:rPr>
        <w:t>” dentro de los roles de "</w:t>
      </w:r>
      <w:r w:rsidRPr="00BF6E09">
        <w:rPr>
          <w:rFonts w:asciiTheme="majorHAnsi" w:hAnsiTheme="majorHAnsi"/>
          <w:i/>
          <w:sz w:val="24"/>
          <w:szCs w:val="24"/>
        </w:rPr>
        <w:t>Puestos Externos</w:t>
      </w:r>
      <w:r w:rsidRPr="00BF6E09">
        <w:rPr>
          <w:rFonts w:asciiTheme="majorHAnsi" w:hAnsiTheme="majorHAnsi"/>
          <w:sz w:val="24"/>
          <w:szCs w:val="24"/>
        </w:rPr>
        <w:t>" en dicho sistema.</w:t>
      </w:r>
    </w:p>
    <w:p w14:paraId="265355CE" w14:textId="77777777" w:rsidR="00730BFF" w:rsidRDefault="00730BFF" w:rsidP="00730BFF">
      <w:pPr>
        <w:spacing w:line="240" w:lineRule="auto"/>
        <w:jc w:val="left"/>
        <w:rPr>
          <w:rFonts w:asciiTheme="majorHAnsi" w:hAnsiTheme="majorHAnsi"/>
          <w:b/>
          <w:i/>
          <w:sz w:val="24"/>
          <w:lang w:val="es-CR"/>
        </w:rPr>
      </w:pPr>
    </w:p>
    <w:p w14:paraId="7F283CF5" w14:textId="77777777" w:rsidR="008D3812" w:rsidRPr="00BF6E09" w:rsidRDefault="008D3812" w:rsidP="00730BFF">
      <w:pPr>
        <w:spacing w:line="240" w:lineRule="auto"/>
        <w:jc w:val="left"/>
        <w:rPr>
          <w:rFonts w:asciiTheme="majorHAnsi" w:hAnsiTheme="majorHAnsi"/>
          <w:b/>
          <w:i/>
          <w:sz w:val="24"/>
          <w:lang w:val="es-CR"/>
        </w:rPr>
      </w:pPr>
    </w:p>
    <w:p w14:paraId="660F7841" w14:textId="77777777" w:rsidR="00730BFF" w:rsidRPr="00BF6E09" w:rsidRDefault="00730BFF" w:rsidP="00730BFF">
      <w:pPr>
        <w:spacing w:line="240" w:lineRule="auto"/>
        <w:jc w:val="left"/>
        <w:rPr>
          <w:rFonts w:asciiTheme="majorHAnsi" w:hAnsiTheme="majorHAnsi"/>
          <w:b/>
          <w:i/>
          <w:sz w:val="24"/>
          <w:lang w:val="es-CR"/>
        </w:rPr>
      </w:pPr>
      <w:r w:rsidRPr="00BF6E09">
        <w:rPr>
          <w:rFonts w:asciiTheme="majorHAnsi" w:hAnsiTheme="majorHAnsi"/>
          <w:b/>
          <w:i/>
          <w:sz w:val="24"/>
          <w:lang w:val="es-CR"/>
        </w:rPr>
        <w:t>En relación con la vigencia de las certificaciones</w:t>
      </w:r>
    </w:p>
    <w:p w14:paraId="7A854D32" w14:textId="77777777"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p>
    <w:p w14:paraId="66EF7378" w14:textId="4BECC852" w:rsidR="00730BFF" w:rsidRPr="00BF6E09" w:rsidRDefault="00730BFF" w:rsidP="00730BFF">
      <w:pPr>
        <w:pStyle w:val="NormalWeb"/>
        <w:spacing w:before="0" w:beforeAutospacing="0" w:after="0" w:afterAutospacing="0"/>
        <w:ind w:left="567" w:hanging="567"/>
        <w:jc w:val="both"/>
        <w:rPr>
          <w:rFonts w:asciiTheme="majorHAnsi" w:hAnsiTheme="majorHAnsi"/>
          <w:i/>
          <w:sz w:val="24"/>
          <w:szCs w:val="24"/>
        </w:rPr>
      </w:pPr>
      <w:r w:rsidRPr="00BF6E09">
        <w:rPr>
          <w:rFonts w:asciiTheme="majorHAnsi" w:hAnsiTheme="majorHAnsi"/>
          <w:sz w:val="24"/>
          <w:szCs w:val="24"/>
        </w:rPr>
        <w:t>VII.</w:t>
      </w:r>
      <w:r w:rsidRPr="00BF6E09">
        <w:rPr>
          <w:rFonts w:asciiTheme="majorHAnsi" w:hAnsiTheme="majorHAnsi"/>
          <w:sz w:val="24"/>
          <w:szCs w:val="24"/>
        </w:rPr>
        <w:tab/>
        <w:t xml:space="preserve">La referida Resolución R-3015-2016 del 20 de setiembre del 2016 en su </w:t>
      </w:r>
      <w:r w:rsidR="006B7DD9" w:rsidRPr="00BF6E09">
        <w:rPr>
          <w:rFonts w:asciiTheme="majorHAnsi" w:hAnsiTheme="majorHAnsi"/>
          <w:sz w:val="24"/>
          <w:szCs w:val="24"/>
        </w:rPr>
        <w:t>Apartado III</w:t>
      </w:r>
      <w:r w:rsidR="006B7DD9">
        <w:rPr>
          <w:rFonts w:asciiTheme="majorHAnsi" w:hAnsiTheme="majorHAnsi"/>
          <w:sz w:val="24"/>
          <w:szCs w:val="24"/>
        </w:rPr>
        <w:t>,</w:t>
      </w:r>
      <w:r w:rsidR="006B7DD9" w:rsidRPr="00BF6E09">
        <w:rPr>
          <w:rFonts w:asciiTheme="majorHAnsi" w:hAnsiTheme="majorHAnsi"/>
          <w:sz w:val="24"/>
          <w:szCs w:val="24"/>
        </w:rPr>
        <w:t xml:space="preserve"> </w:t>
      </w:r>
      <w:r w:rsidRPr="00BF6E09">
        <w:rPr>
          <w:rFonts w:asciiTheme="majorHAnsi" w:hAnsiTheme="majorHAnsi"/>
          <w:sz w:val="24"/>
          <w:szCs w:val="24"/>
        </w:rPr>
        <w:t>inciso a.</w:t>
      </w:r>
      <w:r w:rsidR="006B7DD9">
        <w:rPr>
          <w:rFonts w:asciiTheme="majorHAnsi" w:hAnsiTheme="majorHAnsi"/>
          <w:sz w:val="24"/>
          <w:szCs w:val="24"/>
        </w:rPr>
        <w:t>,</w:t>
      </w:r>
      <w:r w:rsidRPr="00BF6E09">
        <w:rPr>
          <w:rFonts w:asciiTheme="majorHAnsi" w:hAnsiTheme="majorHAnsi"/>
          <w:sz w:val="24"/>
          <w:szCs w:val="24"/>
        </w:rPr>
        <w:t xml:space="preserve"> establece que: </w:t>
      </w:r>
      <w:r w:rsidRPr="00BF6E09">
        <w:rPr>
          <w:rFonts w:asciiTheme="majorHAnsi" w:hAnsiTheme="majorHAnsi"/>
          <w:i/>
          <w:sz w:val="24"/>
          <w:szCs w:val="24"/>
        </w:rPr>
        <w:t xml:space="preserve">Las entidades financieras supervisadas, Grupos Financieros y personas inscritas según el artículo 15 la ley 8204, </w:t>
      </w:r>
      <w:r w:rsidRPr="00BF6E09">
        <w:rPr>
          <w:rFonts w:asciiTheme="majorHAnsi" w:hAnsiTheme="majorHAnsi"/>
          <w:i/>
          <w:sz w:val="24"/>
          <w:szCs w:val="24"/>
          <w:u w:val="single"/>
        </w:rPr>
        <w:t>deben aportar a la SUGEF [mediante el Sistema de Roles] la personería jurídica que acredite la representación o el poder otorgado a la persona,</w:t>
      </w:r>
      <w:r w:rsidRPr="00BF6E09">
        <w:rPr>
          <w:rFonts w:asciiTheme="majorHAnsi" w:hAnsiTheme="majorHAnsi"/>
          <w:i/>
          <w:sz w:val="24"/>
          <w:szCs w:val="24"/>
        </w:rPr>
        <w:t xml:space="preserve"> para que ésta apruebe dicho rol en el Sistema de Registro y Actualización de Roles (el subrayado no pertenece al original)</w:t>
      </w:r>
    </w:p>
    <w:p w14:paraId="0B2DA9A0" w14:textId="77777777" w:rsidR="00730BFF" w:rsidRPr="00BF6E09" w:rsidRDefault="00730BFF" w:rsidP="00730BFF">
      <w:pPr>
        <w:pStyle w:val="NormalWeb"/>
        <w:spacing w:before="0" w:beforeAutospacing="0" w:after="0" w:afterAutospacing="0"/>
        <w:ind w:left="567" w:hanging="567"/>
        <w:jc w:val="both"/>
        <w:rPr>
          <w:rFonts w:asciiTheme="majorHAnsi" w:hAnsiTheme="majorHAnsi"/>
          <w:b/>
          <w:sz w:val="24"/>
          <w:szCs w:val="24"/>
        </w:rPr>
      </w:pPr>
    </w:p>
    <w:p w14:paraId="71D1093B" w14:textId="77777777" w:rsidR="00730BFF" w:rsidRPr="00BF6E09" w:rsidRDefault="00730BFF" w:rsidP="00730BFF">
      <w:pPr>
        <w:pStyle w:val="texto"/>
        <w:tabs>
          <w:tab w:val="left" w:pos="567"/>
        </w:tabs>
        <w:spacing w:before="0" w:beforeAutospacing="0" w:after="0" w:afterAutospacing="0" w:line="240" w:lineRule="auto"/>
        <w:ind w:left="567" w:hanging="567"/>
        <w:rPr>
          <w:rFonts w:asciiTheme="majorHAnsi" w:hAnsiTheme="majorHAnsi"/>
          <w:sz w:val="24"/>
          <w:szCs w:val="24"/>
        </w:rPr>
      </w:pPr>
      <w:r w:rsidRPr="00BF6E09">
        <w:rPr>
          <w:rFonts w:asciiTheme="majorHAnsi" w:hAnsiTheme="majorHAnsi"/>
          <w:sz w:val="24"/>
          <w:szCs w:val="24"/>
        </w:rPr>
        <w:t>VIII.</w:t>
      </w:r>
      <w:r w:rsidRPr="00BF6E09">
        <w:rPr>
          <w:rFonts w:asciiTheme="majorHAnsi" w:hAnsiTheme="majorHAnsi"/>
          <w:sz w:val="24"/>
          <w:szCs w:val="24"/>
        </w:rPr>
        <w:tab/>
      </w:r>
      <w:r w:rsidRPr="00BF6E09">
        <w:rPr>
          <w:rFonts w:asciiTheme="majorHAnsi" w:hAnsiTheme="majorHAnsi"/>
          <w:sz w:val="24"/>
          <w:szCs w:val="24"/>
          <w:lang w:val="es-CR" w:eastAsia="es-CR"/>
        </w:rPr>
        <w:t>Los “</w:t>
      </w:r>
      <w:r w:rsidRPr="00BF6E09">
        <w:rPr>
          <w:rFonts w:asciiTheme="majorHAnsi" w:hAnsiTheme="majorHAnsi"/>
          <w:i/>
          <w:sz w:val="24"/>
          <w:szCs w:val="24"/>
        </w:rPr>
        <w:t>Lineamientos para el Ejercicio y Control del Servicio Notarial”</w:t>
      </w:r>
      <w:r w:rsidRPr="00BF6E09">
        <w:rPr>
          <w:rFonts w:asciiTheme="majorHAnsi" w:hAnsiTheme="majorHAnsi"/>
          <w:sz w:val="24"/>
          <w:szCs w:val="24"/>
        </w:rPr>
        <w:t>, emitido por la Dirección Nacional de Notariado y publicados en el Alcance No.93 de La Gaceta No.97 del 22 de mayo de 2013, en cuanto al plazo de vigencia de las certificaciones notariales establecen:</w:t>
      </w:r>
    </w:p>
    <w:p w14:paraId="7B5C1FC8" w14:textId="77777777"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p>
    <w:p w14:paraId="183C2588" w14:textId="77777777" w:rsidR="00730BFF" w:rsidRPr="00BF6E09" w:rsidRDefault="00730BFF" w:rsidP="00730BFF">
      <w:pPr>
        <w:pStyle w:val="texto"/>
        <w:spacing w:before="0" w:beforeAutospacing="0" w:after="0" w:afterAutospacing="0" w:line="240" w:lineRule="auto"/>
        <w:ind w:left="567"/>
        <w:rPr>
          <w:rFonts w:asciiTheme="majorHAnsi" w:hAnsiTheme="majorHAnsi"/>
          <w:b/>
          <w:i/>
          <w:sz w:val="24"/>
          <w:szCs w:val="24"/>
          <w:lang w:val="es-CR" w:eastAsia="es-CR"/>
        </w:rPr>
      </w:pPr>
      <w:r w:rsidRPr="00BF6E09">
        <w:rPr>
          <w:rFonts w:asciiTheme="majorHAnsi" w:hAnsiTheme="majorHAnsi"/>
          <w:b/>
          <w:i/>
          <w:sz w:val="24"/>
          <w:szCs w:val="24"/>
          <w:lang w:val="es-CR" w:eastAsia="es-CR"/>
        </w:rPr>
        <w:t>Artículo 20. Plazo de vigencia.</w:t>
      </w:r>
    </w:p>
    <w:p w14:paraId="56789F35" w14:textId="77777777" w:rsidR="00730BFF" w:rsidRPr="00BF6E09" w:rsidRDefault="00730BFF" w:rsidP="00730BFF">
      <w:pPr>
        <w:autoSpaceDE w:val="0"/>
        <w:autoSpaceDN w:val="0"/>
        <w:adjustRightInd w:val="0"/>
        <w:spacing w:line="240" w:lineRule="auto"/>
        <w:ind w:left="567"/>
        <w:rPr>
          <w:rFonts w:asciiTheme="majorHAnsi" w:hAnsiTheme="majorHAnsi"/>
          <w:i/>
          <w:sz w:val="24"/>
          <w:lang w:val="es-CR" w:eastAsia="es-CR"/>
        </w:rPr>
      </w:pPr>
      <w:r w:rsidRPr="00BF6E09">
        <w:rPr>
          <w:rFonts w:asciiTheme="majorHAnsi" w:hAnsiTheme="majorHAnsi"/>
          <w:i/>
          <w:sz w:val="24"/>
          <w:u w:val="single"/>
          <w:lang w:val="es-CR" w:eastAsia="es-CR"/>
        </w:rPr>
        <w:lastRenderedPageBreak/>
        <w:t>La certificación notarial mantendrá su vigencia por el plazo de un mes contado a partir de su expedición</w:t>
      </w:r>
      <w:r w:rsidRPr="00BF6E09">
        <w:rPr>
          <w:rFonts w:asciiTheme="majorHAnsi" w:hAnsiTheme="majorHAnsi"/>
          <w:i/>
          <w:sz w:val="24"/>
          <w:lang w:val="es-CR" w:eastAsia="es-CR"/>
        </w:rPr>
        <w:t>, o antes si los datos que la sustentan han variado. Para variar el plazo de un mes antes fijado, la entidad pública ante quien ha de hacerse valer o utilizarse la certificación, debe haberlo previamente publicado, conforme la Ley número 8220 (el subrayado no pertenece al original)</w:t>
      </w:r>
    </w:p>
    <w:p w14:paraId="6C80950F" w14:textId="77777777"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p>
    <w:p w14:paraId="1BE3545E" w14:textId="77777777" w:rsidR="00730BFF" w:rsidRPr="00BF6E09" w:rsidRDefault="00730BFF" w:rsidP="00730BFF">
      <w:pPr>
        <w:pStyle w:val="texto"/>
        <w:spacing w:before="0" w:beforeAutospacing="0" w:after="0" w:afterAutospacing="0" w:line="240" w:lineRule="auto"/>
        <w:ind w:left="567" w:hanging="567"/>
        <w:rPr>
          <w:rFonts w:asciiTheme="majorHAnsi" w:hAnsiTheme="majorHAnsi"/>
          <w:sz w:val="24"/>
          <w:szCs w:val="24"/>
          <w:lang w:val="es-CR" w:eastAsia="es-CR"/>
        </w:rPr>
      </w:pPr>
      <w:r w:rsidRPr="00BF6E09">
        <w:rPr>
          <w:rFonts w:asciiTheme="majorHAnsi" w:hAnsiTheme="majorHAnsi"/>
          <w:sz w:val="24"/>
          <w:szCs w:val="24"/>
        </w:rPr>
        <w:t>IX.</w:t>
      </w:r>
      <w:r w:rsidRPr="00BF6E09">
        <w:rPr>
          <w:rFonts w:asciiTheme="majorHAnsi" w:hAnsiTheme="majorHAnsi"/>
          <w:sz w:val="24"/>
          <w:szCs w:val="24"/>
        </w:rPr>
        <w:tab/>
      </w:r>
      <w:r w:rsidRPr="00BF6E09">
        <w:rPr>
          <w:rFonts w:asciiTheme="majorHAnsi" w:hAnsiTheme="majorHAnsi"/>
          <w:sz w:val="24"/>
          <w:szCs w:val="24"/>
          <w:lang w:val="es-CR" w:eastAsia="es-CR"/>
        </w:rPr>
        <w:t xml:space="preserve">El Sistema de </w:t>
      </w:r>
      <w:r w:rsidRPr="00BF6E09">
        <w:rPr>
          <w:rFonts w:asciiTheme="majorHAnsi" w:hAnsiTheme="majorHAnsi"/>
          <w:b/>
          <w:sz w:val="24"/>
          <w:szCs w:val="24"/>
          <w:u w:val="single"/>
          <w:lang w:val="es-CR" w:eastAsia="es-CR"/>
        </w:rPr>
        <w:t>Certificaciones e Informes Digitales</w:t>
      </w:r>
      <w:r w:rsidRPr="00BF6E09">
        <w:rPr>
          <w:rFonts w:asciiTheme="majorHAnsi" w:hAnsiTheme="majorHAnsi"/>
          <w:sz w:val="24"/>
          <w:szCs w:val="24"/>
          <w:lang w:val="es-CR" w:eastAsia="es-CR"/>
        </w:rPr>
        <w:t xml:space="preserve"> del Registro Nacional, en relación con el periodo de validez de las certificaciones digitales, establece que: “</w:t>
      </w:r>
      <w:r w:rsidRPr="00BF6E09">
        <w:rPr>
          <w:rFonts w:asciiTheme="majorHAnsi" w:hAnsiTheme="majorHAnsi"/>
          <w:i/>
          <w:sz w:val="24"/>
          <w:szCs w:val="24"/>
          <w:lang w:val="es-CR" w:eastAsia="es-CR"/>
        </w:rPr>
        <w:t>15 días naturales desde el momento de la emisión, se pueden verificar cuantas veces se desee durante ese plazo. Se tomó en cuenta para esta determinación que conforme a los Reglamentos del Registro, este cuenta con ese plazo para inscribir los documentos que se le presenten”.</w:t>
      </w:r>
    </w:p>
    <w:p w14:paraId="7B284D9F" w14:textId="77777777" w:rsidR="00730BFF" w:rsidRPr="00BF6E09" w:rsidRDefault="00730BFF" w:rsidP="00730BFF">
      <w:pPr>
        <w:pStyle w:val="NormalWeb"/>
        <w:spacing w:before="0" w:beforeAutospacing="0" w:after="0" w:afterAutospacing="0"/>
        <w:ind w:left="567" w:hanging="567"/>
        <w:jc w:val="both"/>
        <w:rPr>
          <w:rFonts w:asciiTheme="majorHAnsi" w:hAnsiTheme="majorHAnsi"/>
          <w:sz w:val="24"/>
          <w:szCs w:val="24"/>
        </w:rPr>
      </w:pPr>
    </w:p>
    <w:p w14:paraId="5436C4CC" w14:textId="77777777" w:rsidR="00730BFF" w:rsidRDefault="00730BFF" w:rsidP="00730BFF">
      <w:pPr>
        <w:pStyle w:val="NormalWeb"/>
        <w:spacing w:before="0" w:beforeAutospacing="0" w:after="0" w:afterAutospacing="0"/>
        <w:ind w:left="567" w:hanging="567"/>
        <w:jc w:val="both"/>
        <w:rPr>
          <w:rFonts w:asciiTheme="majorHAnsi" w:hAnsiTheme="majorHAnsi"/>
          <w:sz w:val="24"/>
          <w:szCs w:val="24"/>
        </w:rPr>
      </w:pPr>
      <w:r w:rsidRPr="00BF6E09">
        <w:rPr>
          <w:rFonts w:asciiTheme="majorHAnsi" w:hAnsiTheme="majorHAnsi"/>
          <w:sz w:val="24"/>
          <w:szCs w:val="24"/>
          <w:lang w:eastAsia="en-US"/>
        </w:rPr>
        <w:t xml:space="preserve">X. </w:t>
      </w:r>
      <w:r w:rsidRPr="00BF6E09">
        <w:rPr>
          <w:rFonts w:asciiTheme="majorHAnsi" w:hAnsiTheme="majorHAnsi"/>
          <w:sz w:val="24"/>
          <w:szCs w:val="24"/>
          <w:lang w:eastAsia="en-US"/>
        </w:rPr>
        <w:tab/>
        <w:t xml:space="preserve">Por otro lado, las certificaciones </w:t>
      </w:r>
      <w:r w:rsidRPr="00BF6E09">
        <w:rPr>
          <w:rFonts w:asciiTheme="majorHAnsi" w:hAnsiTheme="majorHAnsi"/>
          <w:b/>
          <w:sz w:val="24"/>
          <w:szCs w:val="24"/>
          <w:u w:val="single"/>
          <w:lang w:eastAsia="en-US"/>
        </w:rPr>
        <w:t>físicas</w:t>
      </w:r>
      <w:r w:rsidRPr="00BF6E09">
        <w:rPr>
          <w:rFonts w:asciiTheme="majorHAnsi" w:hAnsiTheme="majorHAnsi"/>
          <w:sz w:val="24"/>
          <w:szCs w:val="24"/>
          <w:lang w:eastAsia="en-US"/>
        </w:rPr>
        <w:t xml:space="preserve"> emitidas por el Registro Nacional no tienen una fecha de vigencia establecida. Por lo anterior, </w:t>
      </w:r>
      <w:r w:rsidRPr="00BF6E09">
        <w:rPr>
          <w:rFonts w:asciiTheme="majorHAnsi" w:hAnsiTheme="majorHAnsi"/>
          <w:sz w:val="24"/>
          <w:szCs w:val="24"/>
        </w:rPr>
        <w:t>por analogía con las disposiciones de los “</w:t>
      </w:r>
      <w:r w:rsidRPr="00BF6E09">
        <w:rPr>
          <w:rFonts w:asciiTheme="majorHAnsi" w:hAnsiTheme="majorHAnsi"/>
          <w:i/>
          <w:sz w:val="24"/>
          <w:szCs w:val="24"/>
        </w:rPr>
        <w:t>Lineamientos para el Ejercicio y Control del Servicio Notarial</w:t>
      </w:r>
      <w:r w:rsidRPr="00BF6E09">
        <w:rPr>
          <w:rFonts w:asciiTheme="majorHAnsi" w:hAnsiTheme="majorHAnsi"/>
          <w:sz w:val="24"/>
          <w:szCs w:val="24"/>
        </w:rPr>
        <w:t>” citados en el punto VIII, anterior</w:t>
      </w:r>
      <w:r w:rsidRPr="00BF6E09">
        <w:rPr>
          <w:rFonts w:asciiTheme="majorHAnsi" w:hAnsiTheme="majorHAnsi"/>
          <w:sz w:val="24"/>
          <w:szCs w:val="24"/>
          <w:lang w:eastAsia="en-US"/>
        </w:rPr>
        <w:t xml:space="preserve"> para efectos del </w:t>
      </w:r>
      <w:r w:rsidRPr="00BF6E09">
        <w:rPr>
          <w:rFonts w:asciiTheme="majorHAnsi" w:hAnsiTheme="majorHAnsi"/>
          <w:sz w:val="24"/>
          <w:szCs w:val="24"/>
        </w:rPr>
        <w:t>“</w:t>
      </w:r>
      <w:r w:rsidRPr="00BF6E09">
        <w:rPr>
          <w:rFonts w:asciiTheme="majorHAnsi" w:hAnsiTheme="majorHAnsi"/>
          <w:i/>
          <w:sz w:val="24"/>
          <w:szCs w:val="24"/>
        </w:rPr>
        <w:t>Sistema  de Registro y Actualización de Roles</w:t>
      </w:r>
      <w:r w:rsidRPr="00BF6E09">
        <w:rPr>
          <w:rFonts w:asciiTheme="majorHAnsi" w:hAnsiTheme="majorHAnsi"/>
          <w:sz w:val="24"/>
          <w:szCs w:val="24"/>
        </w:rPr>
        <w:t>” esta Superintendencia acepta como plazo de vigencia para estas certificaciones un mes contado a partir de su expedición.</w:t>
      </w:r>
    </w:p>
    <w:p w14:paraId="5A56BE43" w14:textId="4E5C146F" w:rsidR="004737A2" w:rsidRDefault="004737A2" w:rsidP="00730BFF">
      <w:pPr>
        <w:pStyle w:val="NormalWeb"/>
        <w:spacing w:before="0" w:beforeAutospacing="0" w:after="0" w:afterAutospacing="0"/>
        <w:ind w:left="567" w:hanging="567"/>
        <w:jc w:val="both"/>
        <w:rPr>
          <w:rFonts w:asciiTheme="majorHAnsi" w:hAnsiTheme="majorHAnsi"/>
          <w:b/>
          <w:sz w:val="24"/>
          <w:szCs w:val="24"/>
        </w:rPr>
      </w:pPr>
    </w:p>
    <w:p w14:paraId="5CE167E8" w14:textId="5394E68F" w:rsidR="004737A2" w:rsidRPr="004737A2" w:rsidRDefault="004737A2" w:rsidP="00730BFF">
      <w:pPr>
        <w:pStyle w:val="NormalWeb"/>
        <w:spacing w:before="0" w:beforeAutospacing="0" w:after="0" w:afterAutospacing="0"/>
        <w:ind w:left="567" w:hanging="567"/>
        <w:jc w:val="both"/>
        <w:rPr>
          <w:rFonts w:asciiTheme="majorHAnsi" w:hAnsiTheme="majorHAnsi"/>
          <w:sz w:val="24"/>
          <w:szCs w:val="24"/>
          <w:lang w:eastAsia="en-US"/>
        </w:rPr>
      </w:pPr>
      <w:r w:rsidRPr="004737A2">
        <w:rPr>
          <w:rFonts w:asciiTheme="majorHAnsi" w:hAnsiTheme="majorHAnsi"/>
          <w:sz w:val="24"/>
          <w:szCs w:val="24"/>
          <w:lang w:eastAsia="en-US"/>
        </w:rPr>
        <w:t xml:space="preserve">XI. </w:t>
      </w:r>
      <w:r w:rsidR="00FC1D6C">
        <w:rPr>
          <w:rFonts w:asciiTheme="majorHAnsi" w:hAnsiTheme="majorHAnsi"/>
          <w:sz w:val="24"/>
          <w:szCs w:val="24"/>
          <w:lang w:eastAsia="en-US"/>
        </w:rPr>
        <w:tab/>
        <w:t xml:space="preserve">El registro oficial de las </w:t>
      </w:r>
      <w:r w:rsidR="00361101">
        <w:rPr>
          <w:rFonts w:asciiTheme="majorHAnsi" w:hAnsiTheme="majorHAnsi"/>
          <w:sz w:val="24"/>
          <w:szCs w:val="24"/>
          <w:lang w:eastAsia="en-US"/>
        </w:rPr>
        <w:t>“</w:t>
      </w:r>
      <w:r w:rsidR="00FC1D6C" w:rsidRPr="00361101">
        <w:rPr>
          <w:rFonts w:asciiTheme="majorHAnsi" w:hAnsiTheme="majorHAnsi"/>
          <w:i/>
          <w:sz w:val="24"/>
          <w:szCs w:val="24"/>
          <w:lang w:eastAsia="en-US"/>
        </w:rPr>
        <w:t>Organizaciones Cooperativas de Ahorro y Crédito</w:t>
      </w:r>
      <w:r w:rsidR="00361101">
        <w:rPr>
          <w:rFonts w:asciiTheme="majorHAnsi" w:hAnsiTheme="majorHAnsi"/>
          <w:sz w:val="24"/>
          <w:szCs w:val="24"/>
          <w:lang w:eastAsia="en-US"/>
        </w:rPr>
        <w:t>”</w:t>
      </w:r>
      <w:r w:rsidR="00FC1D6C">
        <w:rPr>
          <w:rFonts w:asciiTheme="majorHAnsi" w:hAnsiTheme="majorHAnsi"/>
          <w:sz w:val="24"/>
          <w:szCs w:val="24"/>
          <w:lang w:eastAsia="en-US"/>
        </w:rPr>
        <w:t xml:space="preserve"> lo constituye el </w:t>
      </w:r>
      <w:r w:rsidR="00361101">
        <w:rPr>
          <w:rFonts w:asciiTheme="majorHAnsi" w:hAnsiTheme="majorHAnsi"/>
          <w:sz w:val="24"/>
          <w:szCs w:val="24"/>
          <w:lang w:eastAsia="en-US"/>
        </w:rPr>
        <w:t>“</w:t>
      </w:r>
      <w:r w:rsidR="00FC1D6C" w:rsidRPr="00361101">
        <w:rPr>
          <w:rFonts w:asciiTheme="majorHAnsi" w:hAnsiTheme="majorHAnsi"/>
          <w:i/>
          <w:sz w:val="24"/>
          <w:szCs w:val="24"/>
          <w:lang w:eastAsia="en-US"/>
        </w:rPr>
        <w:t>Departamento de Organizaciones Sociales</w:t>
      </w:r>
      <w:r w:rsidR="00361101">
        <w:rPr>
          <w:rFonts w:asciiTheme="majorHAnsi" w:hAnsiTheme="majorHAnsi"/>
          <w:sz w:val="24"/>
          <w:szCs w:val="24"/>
          <w:lang w:eastAsia="en-US"/>
        </w:rPr>
        <w:t>”</w:t>
      </w:r>
      <w:r w:rsidR="00FC1D6C">
        <w:rPr>
          <w:rFonts w:asciiTheme="majorHAnsi" w:hAnsiTheme="majorHAnsi"/>
          <w:sz w:val="24"/>
          <w:szCs w:val="24"/>
          <w:lang w:eastAsia="en-US"/>
        </w:rPr>
        <w:t xml:space="preserve"> del </w:t>
      </w:r>
      <w:r w:rsidR="00361101">
        <w:rPr>
          <w:rFonts w:asciiTheme="majorHAnsi" w:hAnsiTheme="majorHAnsi"/>
          <w:sz w:val="24"/>
          <w:szCs w:val="24"/>
          <w:lang w:eastAsia="en-US"/>
        </w:rPr>
        <w:t>“</w:t>
      </w:r>
      <w:r w:rsidR="00FC1D6C" w:rsidRPr="00361101">
        <w:rPr>
          <w:rFonts w:asciiTheme="majorHAnsi" w:hAnsiTheme="majorHAnsi"/>
          <w:i/>
          <w:sz w:val="24"/>
          <w:szCs w:val="24"/>
          <w:lang w:eastAsia="en-US"/>
        </w:rPr>
        <w:t xml:space="preserve">Ministerio de Trabajo y </w:t>
      </w:r>
      <w:r w:rsidR="00361101" w:rsidRPr="00361101">
        <w:rPr>
          <w:rFonts w:asciiTheme="majorHAnsi" w:hAnsiTheme="majorHAnsi"/>
          <w:i/>
          <w:sz w:val="24"/>
          <w:szCs w:val="24"/>
          <w:lang w:eastAsia="en-US"/>
        </w:rPr>
        <w:t>Seguridad Social</w:t>
      </w:r>
      <w:r w:rsidR="00361101">
        <w:rPr>
          <w:rFonts w:asciiTheme="majorHAnsi" w:hAnsiTheme="majorHAnsi"/>
          <w:sz w:val="24"/>
          <w:szCs w:val="24"/>
          <w:lang w:eastAsia="en-US"/>
        </w:rPr>
        <w:t>”, por lo que las certificaciones</w:t>
      </w:r>
      <w:r w:rsidR="00AD61FD">
        <w:rPr>
          <w:rFonts w:asciiTheme="majorHAnsi" w:hAnsiTheme="majorHAnsi"/>
          <w:sz w:val="24"/>
          <w:szCs w:val="24"/>
          <w:lang w:eastAsia="en-US"/>
        </w:rPr>
        <w:t xml:space="preserve"> de personería jurídica para tales organizaciones deben ser emitidas por dicho Ministerio. En este caso, al igual que al mencionado en el punto anterior, </w:t>
      </w:r>
      <w:r w:rsidR="00AD61FD" w:rsidRPr="00BF6E09">
        <w:rPr>
          <w:rFonts w:asciiTheme="majorHAnsi" w:hAnsiTheme="majorHAnsi"/>
          <w:sz w:val="24"/>
          <w:szCs w:val="24"/>
        </w:rPr>
        <w:t>esta Superintendencia acepta como plazo de vigencia para estas certificaciones un mes contado a partir de su expedición.</w:t>
      </w:r>
    </w:p>
    <w:p w14:paraId="54289FA6" w14:textId="77777777" w:rsidR="00730BFF" w:rsidRPr="00BF6E09" w:rsidRDefault="00730BFF" w:rsidP="00730BFF">
      <w:pPr>
        <w:pStyle w:val="NormalWeb"/>
        <w:spacing w:before="0" w:beforeAutospacing="0" w:after="0" w:afterAutospacing="0"/>
        <w:ind w:left="567" w:hanging="567"/>
        <w:jc w:val="both"/>
        <w:rPr>
          <w:rFonts w:asciiTheme="majorHAnsi" w:hAnsiTheme="majorHAnsi"/>
          <w:b/>
          <w:sz w:val="24"/>
          <w:szCs w:val="24"/>
        </w:rPr>
      </w:pPr>
    </w:p>
    <w:p w14:paraId="35817F78" w14:textId="77777777" w:rsidR="00730BFF" w:rsidRPr="00BF6E09" w:rsidRDefault="00730BFF" w:rsidP="00730BFF">
      <w:pPr>
        <w:spacing w:line="240" w:lineRule="auto"/>
        <w:jc w:val="left"/>
        <w:rPr>
          <w:rFonts w:asciiTheme="majorHAnsi" w:hAnsiTheme="majorHAnsi"/>
          <w:b/>
          <w:i/>
          <w:sz w:val="24"/>
          <w:lang w:val="es-CR"/>
        </w:rPr>
      </w:pPr>
      <w:r w:rsidRPr="00BF6E09">
        <w:rPr>
          <w:rFonts w:asciiTheme="majorHAnsi" w:hAnsiTheme="majorHAnsi"/>
          <w:b/>
          <w:i/>
          <w:sz w:val="24"/>
          <w:lang w:val="es-CR"/>
        </w:rPr>
        <w:t>En relación con actualización de Roles por función</w:t>
      </w:r>
    </w:p>
    <w:p w14:paraId="4403E21B" w14:textId="77777777" w:rsidR="00730BFF" w:rsidRPr="00BF6E09" w:rsidRDefault="00730BFF" w:rsidP="00730BFF">
      <w:pPr>
        <w:spacing w:line="240" w:lineRule="auto"/>
        <w:jc w:val="left"/>
        <w:rPr>
          <w:rFonts w:asciiTheme="majorHAnsi" w:hAnsiTheme="majorHAnsi"/>
          <w:b/>
          <w:i/>
          <w:sz w:val="24"/>
          <w:lang w:val="es-CR"/>
        </w:rPr>
      </w:pPr>
    </w:p>
    <w:p w14:paraId="6405F289" w14:textId="7757B0FE" w:rsidR="00730BFF" w:rsidRPr="00C976E8" w:rsidRDefault="001A1060" w:rsidP="00730BFF">
      <w:pPr>
        <w:pStyle w:val="NormalWeb"/>
        <w:spacing w:before="0" w:beforeAutospacing="0" w:after="0" w:afterAutospacing="0"/>
        <w:ind w:left="567" w:hanging="567"/>
        <w:jc w:val="both"/>
        <w:rPr>
          <w:rFonts w:asciiTheme="majorHAnsi" w:hAnsiTheme="majorHAnsi"/>
          <w:i/>
          <w:sz w:val="24"/>
          <w:szCs w:val="24"/>
        </w:rPr>
      </w:pPr>
      <w:r w:rsidRPr="00BF6E09">
        <w:rPr>
          <w:rFonts w:asciiTheme="majorHAnsi" w:hAnsiTheme="majorHAnsi"/>
          <w:sz w:val="24"/>
          <w:szCs w:val="24"/>
        </w:rPr>
        <w:t>X</w:t>
      </w:r>
      <w:r w:rsidR="00730BFF" w:rsidRPr="00BF6E09">
        <w:rPr>
          <w:rFonts w:asciiTheme="majorHAnsi" w:hAnsiTheme="majorHAnsi"/>
          <w:sz w:val="24"/>
          <w:szCs w:val="24"/>
        </w:rPr>
        <w:t>I</w:t>
      </w:r>
      <w:r w:rsidR="004737A2">
        <w:rPr>
          <w:rFonts w:asciiTheme="majorHAnsi" w:hAnsiTheme="majorHAnsi"/>
          <w:sz w:val="24"/>
          <w:szCs w:val="24"/>
        </w:rPr>
        <w:t>I</w:t>
      </w:r>
      <w:r w:rsidR="00730BFF" w:rsidRPr="00BF6E09">
        <w:rPr>
          <w:rFonts w:asciiTheme="majorHAnsi" w:hAnsiTheme="majorHAnsi"/>
          <w:sz w:val="24"/>
          <w:szCs w:val="24"/>
        </w:rPr>
        <w:t xml:space="preserve">. </w:t>
      </w:r>
      <w:r w:rsidR="00730BFF" w:rsidRPr="00BF6E09">
        <w:rPr>
          <w:rFonts w:asciiTheme="majorHAnsi" w:hAnsiTheme="majorHAnsi"/>
          <w:sz w:val="24"/>
          <w:szCs w:val="24"/>
        </w:rPr>
        <w:tab/>
        <w:t>La citada Resolución R-3015-2016 del 20 de setiembre del 2016, en el apartado II instituyó que “</w:t>
      </w:r>
      <w:r w:rsidR="00730BFF" w:rsidRPr="00BF6E09">
        <w:rPr>
          <w:rFonts w:asciiTheme="majorHAnsi" w:hAnsiTheme="majorHAnsi"/>
          <w:i/>
          <w:sz w:val="24"/>
          <w:szCs w:val="24"/>
        </w:rPr>
        <w:t xml:space="preserve">Las entidades supervisadas, Grupos y Conglomerados Financieros, sujetos inscritos según lo dispuesto en el artículo 15 de la Ley 8204, deben informar de forma veraz y exacta a </w:t>
      </w:r>
      <w:r w:rsidR="00730BFF" w:rsidRPr="00BF6E09">
        <w:rPr>
          <w:rFonts w:asciiTheme="majorHAnsi" w:hAnsiTheme="majorHAnsi"/>
          <w:i/>
          <w:sz w:val="24"/>
          <w:szCs w:val="24"/>
        </w:rPr>
        <w:lastRenderedPageBreak/>
        <w:t>la Superintendencia la designación de</w:t>
      </w:r>
      <w:r w:rsidR="00730BFF" w:rsidRPr="00C976E8">
        <w:rPr>
          <w:rFonts w:asciiTheme="majorHAnsi" w:hAnsiTheme="majorHAnsi"/>
          <w:i/>
          <w:sz w:val="24"/>
          <w:szCs w:val="24"/>
        </w:rPr>
        <w:t xml:space="preserve"> los roles […], ya sea si los nombramientos son permanentes o temporales”.</w:t>
      </w:r>
    </w:p>
    <w:p w14:paraId="510D39D7" w14:textId="77777777" w:rsidR="001A1060" w:rsidRDefault="001A1060" w:rsidP="001A1060">
      <w:pPr>
        <w:rPr>
          <w:sz w:val="23"/>
          <w:szCs w:val="23"/>
        </w:rPr>
      </w:pPr>
    </w:p>
    <w:p w14:paraId="70AF34F9" w14:textId="072B9644" w:rsidR="001A1060" w:rsidRPr="00DF4F84" w:rsidRDefault="001A1060" w:rsidP="001A1060">
      <w:pPr>
        <w:spacing w:line="240" w:lineRule="auto"/>
        <w:jc w:val="left"/>
        <w:rPr>
          <w:rFonts w:asciiTheme="majorHAnsi" w:hAnsiTheme="majorHAnsi"/>
          <w:b/>
          <w:i/>
          <w:sz w:val="24"/>
          <w:lang w:val="es-CR"/>
        </w:rPr>
      </w:pPr>
      <w:r w:rsidRPr="00DF4F84">
        <w:rPr>
          <w:rFonts w:asciiTheme="majorHAnsi" w:hAnsiTheme="majorHAnsi"/>
          <w:b/>
          <w:i/>
          <w:sz w:val="24"/>
          <w:lang w:val="es-CR"/>
        </w:rPr>
        <w:t xml:space="preserve">En relación con </w:t>
      </w:r>
      <w:r>
        <w:rPr>
          <w:rFonts w:asciiTheme="majorHAnsi" w:hAnsiTheme="majorHAnsi"/>
          <w:b/>
          <w:i/>
          <w:sz w:val="24"/>
          <w:lang w:val="es-CR"/>
        </w:rPr>
        <w:t>las entidades del Sistema de Banca para el Desarrollo</w:t>
      </w:r>
    </w:p>
    <w:p w14:paraId="20284673" w14:textId="094BF9B2" w:rsidR="00F15A3D" w:rsidRDefault="001A1060" w:rsidP="004737A2">
      <w:pPr>
        <w:pStyle w:val="NormalWeb"/>
        <w:tabs>
          <w:tab w:val="left" w:pos="567"/>
        </w:tabs>
        <w:ind w:left="567" w:hanging="567"/>
        <w:jc w:val="both"/>
        <w:rPr>
          <w:rFonts w:asciiTheme="majorHAnsi" w:hAnsiTheme="majorHAnsi"/>
          <w:sz w:val="24"/>
          <w:szCs w:val="24"/>
        </w:rPr>
      </w:pPr>
      <w:r w:rsidRPr="001A1060">
        <w:rPr>
          <w:rFonts w:asciiTheme="majorHAnsi" w:hAnsiTheme="majorHAnsi"/>
          <w:sz w:val="24"/>
          <w:szCs w:val="24"/>
        </w:rPr>
        <w:t>X</w:t>
      </w:r>
      <w:r w:rsidR="004737A2">
        <w:rPr>
          <w:rFonts w:asciiTheme="majorHAnsi" w:hAnsiTheme="majorHAnsi"/>
          <w:sz w:val="24"/>
          <w:szCs w:val="24"/>
        </w:rPr>
        <w:t>II</w:t>
      </w:r>
      <w:r>
        <w:rPr>
          <w:rFonts w:asciiTheme="majorHAnsi" w:hAnsiTheme="majorHAnsi"/>
          <w:sz w:val="24"/>
          <w:szCs w:val="24"/>
        </w:rPr>
        <w:t>I</w:t>
      </w:r>
      <w:r w:rsidRPr="001A1060">
        <w:rPr>
          <w:rFonts w:asciiTheme="majorHAnsi" w:hAnsiTheme="majorHAnsi"/>
          <w:sz w:val="24"/>
          <w:szCs w:val="24"/>
        </w:rPr>
        <w:t xml:space="preserve">. </w:t>
      </w:r>
      <w:r w:rsidR="006B7DD9">
        <w:rPr>
          <w:rFonts w:asciiTheme="majorHAnsi" w:hAnsiTheme="majorHAnsi"/>
          <w:sz w:val="24"/>
          <w:szCs w:val="24"/>
        </w:rPr>
        <w:tab/>
      </w:r>
      <w:r w:rsidR="00F15A3D">
        <w:rPr>
          <w:rFonts w:asciiTheme="majorHAnsi" w:hAnsiTheme="majorHAnsi"/>
          <w:sz w:val="24"/>
          <w:szCs w:val="24"/>
        </w:rPr>
        <w:t xml:space="preserve">El </w:t>
      </w:r>
      <w:r w:rsidR="006B7DD9">
        <w:rPr>
          <w:rFonts w:asciiTheme="majorHAnsi" w:hAnsiTheme="majorHAnsi"/>
          <w:sz w:val="24"/>
          <w:szCs w:val="24"/>
        </w:rPr>
        <w:t xml:space="preserve">Reglamento a la Ley </w:t>
      </w:r>
      <w:r w:rsidR="00F15A3D" w:rsidRPr="00F15A3D">
        <w:rPr>
          <w:rFonts w:asciiTheme="majorHAnsi" w:hAnsiTheme="majorHAnsi"/>
          <w:sz w:val="24"/>
          <w:szCs w:val="24"/>
        </w:rPr>
        <w:t>9274, “</w:t>
      </w:r>
      <w:r w:rsidR="00F15A3D" w:rsidRPr="006B7DD9">
        <w:rPr>
          <w:rFonts w:asciiTheme="majorHAnsi" w:hAnsiTheme="majorHAnsi"/>
          <w:i/>
          <w:sz w:val="24"/>
          <w:szCs w:val="24"/>
        </w:rPr>
        <w:t>Reforma Integral de la Ley Nº 8634, Ley del Sistema de Banca para el Desarrollo y Reforma de Otras Leyes</w:t>
      </w:r>
      <w:r w:rsidR="00F15A3D" w:rsidRPr="00F15A3D">
        <w:rPr>
          <w:rFonts w:asciiTheme="majorHAnsi" w:hAnsiTheme="majorHAnsi"/>
          <w:sz w:val="24"/>
          <w:szCs w:val="24"/>
        </w:rPr>
        <w:t>”</w:t>
      </w:r>
      <w:r w:rsidR="00C976E8">
        <w:rPr>
          <w:rFonts w:asciiTheme="majorHAnsi" w:hAnsiTheme="majorHAnsi"/>
          <w:sz w:val="24"/>
          <w:szCs w:val="24"/>
        </w:rPr>
        <w:t>, establece:</w:t>
      </w:r>
    </w:p>
    <w:p w14:paraId="531EE331" w14:textId="77777777" w:rsidR="00872023" w:rsidRDefault="00872023" w:rsidP="00C976E8">
      <w:pPr>
        <w:pStyle w:val="NormalWeb"/>
        <w:spacing w:before="0" w:beforeAutospacing="0" w:after="0" w:afterAutospacing="0"/>
        <w:ind w:left="567"/>
        <w:jc w:val="both"/>
        <w:rPr>
          <w:rFonts w:asciiTheme="majorHAnsi" w:hAnsiTheme="majorHAnsi"/>
          <w:i/>
          <w:sz w:val="24"/>
          <w:szCs w:val="24"/>
        </w:rPr>
      </w:pPr>
      <w:r w:rsidRPr="00872023">
        <w:rPr>
          <w:rFonts w:asciiTheme="majorHAnsi" w:hAnsiTheme="majorHAnsi"/>
          <w:b/>
          <w:i/>
          <w:sz w:val="24"/>
          <w:szCs w:val="24"/>
        </w:rPr>
        <w:t>Artículo 34. Regulación especial</w:t>
      </w:r>
      <w:r w:rsidRPr="00872023">
        <w:rPr>
          <w:rFonts w:asciiTheme="majorHAnsi" w:hAnsiTheme="majorHAnsi"/>
          <w:i/>
          <w:sz w:val="24"/>
          <w:szCs w:val="24"/>
        </w:rPr>
        <w:t xml:space="preserve"> </w:t>
      </w:r>
    </w:p>
    <w:p w14:paraId="53364B9C" w14:textId="62FEBD78" w:rsidR="00730BFF" w:rsidRPr="00E60027" w:rsidRDefault="00C976E8" w:rsidP="00C976E8">
      <w:pPr>
        <w:pStyle w:val="NormalWeb"/>
        <w:spacing w:before="0" w:beforeAutospacing="0" w:after="0" w:afterAutospacing="0"/>
        <w:ind w:left="567"/>
        <w:jc w:val="both"/>
        <w:rPr>
          <w:rFonts w:asciiTheme="majorHAnsi" w:hAnsiTheme="majorHAnsi"/>
          <w:i/>
          <w:sz w:val="24"/>
          <w:szCs w:val="24"/>
        </w:rPr>
      </w:pPr>
      <w:r w:rsidRPr="00E60027">
        <w:rPr>
          <w:rFonts w:asciiTheme="majorHAnsi" w:hAnsiTheme="majorHAnsi"/>
          <w:i/>
          <w:sz w:val="24"/>
          <w:szCs w:val="24"/>
        </w:rPr>
        <w:t>La Sugef llevará un registro de los usuarios y beneficiarios del  SBD, donde se incluirá el récord crediticio y la demás información financiera relevante, el cual será accesible a los integrantes de este sistema para fines de la gestión de crédito, conforme a los principios y objetivos de esta ley.</w:t>
      </w:r>
    </w:p>
    <w:p w14:paraId="4E09FE29" w14:textId="5C165601" w:rsidR="00F15A3D" w:rsidRPr="00E60027" w:rsidRDefault="00E60027" w:rsidP="003228E9">
      <w:pPr>
        <w:pStyle w:val="NormalWeb"/>
        <w:ind w:left="567" w:hanging="567"/>
        <w:jc w:val="both"/>
        <w:rPr>
          <w:rFonts w:asciiTheme="majorHAnsi" w:hAnsiTheme="majorHAnsi"/>
          <w:sz w:val="24"/>
          <w:szCs w:val="24"/>
        </w:rPr>
      </w:pPr>
      <w:r w:rsidRPr="00E60027">
        <w:rPr>
          <w:rFonts w:asciiTheme="majorHAnsi" w:hAnsiTheme="majorHAnsi"/>
          <w:sz w:val="24"/>
          <w:szCs w:val="24"/>
        </w:rPr>
        <w:t>XI</w:t>
      </w:r>
      <w:r w:rsidR="004737A2">
        <w:rPr>
          <w:rFonts w:asciiTheme="majorHAnsi" w:hAnsiTheme="majorHAnsi"/>
          <w:sz w:val="24"/>
          <w:szCs w:val="24"/>
        </w:rPr>
        <w:t>V</w:t>
      </w:r>
      <w:r w:rsidRPr="00E60027">
        <w:rPr>
          <w:rFonts w:asciiTheme="majorHAnsi" w:hAnsiTheme="majorHAnsi"/>
          <w:sz w:val="24"/>
          <w:szCs w:val="24"/>
        </w:rPr>
        <w:t xml:space="preserve">. </w:t>
      </w:r>
      <w:r w:rsidR="003228E9">
        <w:rPr>
          <w:rFonts w:asciiTheme="majorHAnsi" w:hAnsiTheme="majorHAnsi"/>
          <w:sz w:val="24"/>
          <w:szCs w:val="24"/>
        </w:rPr>
        <w:tab/>
      </w:r>
      <w:r w:rsidR="00F15A3D" w:rsidRPr="00E60027">
        <w:rPr>
          <w:rFonts w:asciiTheme="majorHAnsi" w:hAnsiTheme="majorHAnsi"/>
          <w:sz w:val="24"/>
          <w:szCs w:val="24"/>
        </w:rPr>
        <w:t xml:space="preserve">En razón de </w:t>
      </w:r>
      <w:r w:rsidR="006B7DD9">
        <w:rPr>
          <w:rFonts w:asciiTheme="majorHAnsi" w:hAnsiTheme="majorHAnsi"/>
          <w:sz w:val="24"/>
          <w:szCs w:val="24"/>
        </w:rPr>
        <w:t xml:space="preserve">lo anterior, </w:t>
      </w:r>
      <w:r w:rsidR="00F15A3D" w:rsidRPr="00E60027">
        <w:rPr>
          <w:rFonts w:asciiTheme="majorHAnsi" w:hAnsiTheme="majorHAnsi"/>
          <w:sz w:val="24"/>
          <w:szCs w:val="24"/>
        </w:rPr>
        <w:t xml:space="preserve"> </w:t>
      </w:r>
      <w:r w:rsidRPr="00E60027">
        <w:rPr>
          <w:rFonts w:asciiTheme="majorHAnsi" w:hAnsiTheme="majorHAnsi"/>
          <w:sz w:val="24"/>
          <w:szCs w:val="24"/>
        </w:rPr>
        <w:t xml:space="preserve">las entidades del </w:t>
      </w:r>
      <w:r w:rsidR="006B7DD9">
        <w:rPr>
          <w:rFonts w:asciiTheme="majorHAnsi" w:hAnsiTheme="majorHAnsi"/>
          <w:sz w:val="24"/>
          <w:szCs w:val="24"/>
        </w:rPr>
        <w:t>“</w:t>
      </w:r>
      <w:r w:rsidR="006B7DD9" w:rsidRPr="006B7DD9">
        <w:rPr>
          <w:rFonts w:asciiTheme="majorHAnsi" w:hAnsiTheme="majorHAnsi"/>
          <w:i/>
          <w:sz w:val="24"/>
          <w:szCs w:val="24"/>
        </w:rPr>
        <w:t>Sistema de Banca para el Desarrollo</w:t>
      </w:r>
      <w:r w:rsidR="006B7DD9">
        <w:rPr>
          <w:rFonts w:asciiTheme="majorHAnsi" w:hAnsiTheme="majorHAnsi"/>
          <w:sz w:val="24"/>
          <w:szCs w:val="24"/>
        </w:rPr>
        <w:t>” (</w:t>
      </w:r>
      <w:r w:rsidRPr="00E60027">
        <w:rPr>
          <w:rFonts w:asciiTheme="majorHAnsi" w:hAnsiTheme="majorHAnsi"/>
          <w:sz w:val="24"/>
          <w:szCs w:val="24"/>
        </w:rPr>
        <w:t>SBD</w:t>
      </w:r>
      <w:r w:rsidR="006B7DD9">
        <w:rPr>
          <w:rFonts w:asciiTheme="majorHAnsi" w:hAnsiTheme="majorHAnsi"/>
          <w:sz w:val="24"/>
          <w:szCs w:val="24"/>
        </w:rPr>
        <w:t>)</w:t>
      </w:r>
      <w:r w:rsidR="00F15A3D" w:rsidRPr="00E60027">
        <w:rPr>
          <w:rFonts w:asciiTheme="majorHAnsi" w:hAnsiTheme="majorHAnsi"/>
          <w:sz w:val="24"/>
          <w:szCs w:val="24"/>
        </w:rPr>
        <w:t xml:space="preserve"> </w:t>
      </w:r>
      <w:r w:rsidR="006B7DD9">
        <w:rPr>
          <w:rFonts w:asciiTheme="majorHAnsi" w:hAnsiTheme="majorHAnsi"/>
          <w:sz w:val="24"/>
          <w:szCs w:val="24"/>
        </w:rPr>
        <w:t>fueron</w:t>
      </w:r>
      <w:r w:rsidR="006B7DD9" w:rsidRPr="00E60027">
        <w:rPr>
          <w:rFonts w:asciiTheme="majorHAnsi" w:hAnsiTheme="majorHAnsi"/>
          <w:sz w:val="24"/>
          <w:szCs w:val="24"/>
        </w:rPr>
        <w:t xml:space="preserve"> incorpora</w:t>
      </w:r>
      <w:r w:rsidR="006B7DD9">
        <w:rPr>
          <w:rFonts w:asciiTheme="majorHAnsi" w:hAnsiTheme="majorHAnsi"/>
          <w:sz w:val="24"/>
          <w:szCs w:val="24"/>
        </w:rPr>
        <w:t>das</w:t>
      </w:r>
      <w:r w:rsidR="006B7DD9" w:rsidRPr="00E60027">
        <w:rPr>
          <w:rFonts w:asciiTheme="majorHAnsi" w:hAnsiTheme="majorHAnsi"/>
          <w:sz w:val="24"/>
          <w:szCs w:val="24"/>
        </w:rPr>
        <w:t xml:space="preserve"> </w:t>
      </w:r>
      <w:r w:rsidRPr="00E60027">
        <w:rPr>
          <w:rFonts w:asciiTheme="majorHAnsi" w:hAnsiTheme="majorHAnsi"/>
          <w:sz w:val="24"/>
          <w:szCs w:val="24"/>
        </w:rPr>
        <w:t xml:space="preserve">en el </w:t>
      </w:r>
      <w:r w:rsidR="00F15A3D" w:rsidRPr="00E60027">
        <w:rPr>
          <w:rFonts w:asciiTheme="majorHAnsi" w:hAnsiTheme="majorHAnsi"/>
          <w:sz w:val="24"/>
          <w:szCs w:val="24"/>
        </w:rPr>
        <w:t xml:space="preserve"> </w:t>
      </w:r>
      <w:r w:rsidRPr="00E60027">
        <w:rPr>
          <w:rFonts w:asciiTheme="majorHAnsi" w:hAnsiTheme="majorHAnsi"/>
          <w:sz w:val="24"/>
          <w:szCs w:val="24"/>
        </w:rPr>
        <w:t>“</w:t>
      </w:r>
      <w:r w:rsidRPr="006B7DD9">
        <w:rPr>
          <w:rFonts w:asciiTheme="majorHAnsi" w:hAnsiTheme="majorHAnsi"/>
          <w:i/>
          <w:sz w:val="24"/>
          <w:szCs w:val="24"/>
        </w:rPr>
        <w:t>Sistema  de</w:t>
      </w:r>
      <w:r w:rsidR="00872023" w:rsidRPr="006B7DD9">
        <w:rPr>
          <w:rFonts w:asciiTheme="majorHAnsi" w:hAnsiTheme="majorHAnsi"/>
          <w:i/>
          <w:sz w:val="24"/>
          <w:szCs w:val="24"/>
        </w:rPr>
        <w:t xml:space="preserve"> </w:t>
      </w:r>
      <w:r w:rsidRPr="006B7DD9">
        <w:rPr>
          <w:rFonts w:asciiTheme="majorHAnsi" w:hAnsiTheme="majorHAnsi"/>
          <w:i/>
          <w:sz w:val="24"/>
          <w:szCs w:val="24"/>
        </w:rPr>
        <w:t>Registro y Actualización de Roles</w:t>
      </w:r>
      <w:r w:rsidRPr="00E60027">
        <w:rPr>
          <w:rFonts w:asciiTheme="majorHAnsi" w:hAnsiTheme="majorHAnsi"/>
          <w:sz w:val="24"/>
          <w:szCs w:val="24"/>
        </w:rPr>
        <w:t xml:space="preserve">” </w:t>
      </w:r>
      <w:r w:rsidR="00F15A3D" w:rsidRPr="00E60027">
        <w:rPr>
          <w:rFonts w:asciiTheme="majorHAnsi" w:hAnsiTheme="majorHAnsi"/>
          <w:sz w:val="24"/>
          <w:szCs w:val="24"/>
        </w:rPr>
        <w:t xml:space="preserve"> y </w:t>
      </w:r>
      <w:r w:rsidRPr="00E60027">
        <w:rPr>
          <w:rFonts w:asciiTheme="majorHAnsi" w:hAnsiTheme="majorHAnsi"/>
          <w:sz w:val="24"/>
          <w:szCs w:val="24"/>
        </w:rPr>
        <w:t>en el “</w:t>
      </w:r>
      <w:r w:rsidRPr="006B7DD9">
        <w:rPr>
          <w:rFonts w:asciiTheme="majorHAnsi" w:hAnsiTheme="majorHAnsi"/>
          <w:i/>
          <w:sz w:val="24"/>
          <w:szCs w:val="24"/>
        </w:rPr>
        <w:t>Sistema de Captura, Verificación y Carga de Datos</w:t>
      </w:r>
      <w:r w:rsidRPr="00E60027">
        <w:rPr>
          <w:rFonts w:asciiTheme="majorHAnsi" w:hAnsiTheme="majorHAnsi"/>
          <w:sz w:val="24"/>
          <w:szCs w:val="24"/>
        </w:rPr>
        <w:t>” (SICVECA),</w:t>
      </w:r>
      <w:r w:rsidR="00F15A3D" w:rsidRPr="00E60027">
        <w:rPr>
          <w:rFonts w:asciiTheme="majorHAnsi" w:hAnsiTheme="majorHAnsi"/>
          <w:sz w:val="24"/>
          <w:szCs w:val="24"/>
        </w:rPr>
        <w:t xml:space="preserve"> como entidades “</w:t>
      </w:r>
      <w:r w:rsidR="00F15A3D" w:rsidRPr="006B7DD9">
        <w:rPr>
          <w:rFonts w:asciiTheme="majorHAnsi" w:hAnsiTheme="majorHAnsi"/>
          <w:i/>
          <w:sz w:val="24"/>
          <w:szCs w:val="24"/>
        </w:rPr>
        <w:t>no supervisadas</w:t>
      </w:r>
      <w:r w:rsidR="00F15A3D" w:rsidRPr="00E60027">
        <w:rPr>
          <w:rFonts w:asciiTheme="majorHAnsi" w:hAnsiTheme="majorHAnsi"/>
          <w:sz w:val="24"/>
          <w:szCs w:val="24"/>
        </w:rPr>
        <w:t xml:space="preserve">”, </w:t>
      </w:r>
      <w:r w:rsidRPr="00E60027">
        <w:rPr>
          <w:rFonts w:asciiTheme="majorHAnsi" w:hAnsiTheme="majorHAnsi"/>
          <w:sz w:val="24"/>
          <w:szCs w:val="24"/>
        </w:rPr>
        <w:t>p</w:t>
      </w:r>
      <w:r w:rsidR="00F15A3D" w:rsidRPr="00E60027">
        <w:rPr>
          <w:rFonts w:asciiTheme="majorHAnsi" w:hAnsiTheme="majorHAnsi"/>
          <w:sz w:val="24"/>
          <w:szCs w:val="24"/>
        </w:rPr>
        <w:t>ara alimentar el CIC-SBD</w:t>
      </w:r>
      <w:r w:rsidRPr="00E60027">
        <w:rPr>
          <w:rFonts w:asciiTheme="majorHAnsi" w:hAnsiTheme="majorHAnsi"/>
          <w:sz w:val="24"/>
          <w:szCs w:val="24"/>
        </w:rPr>
        <w:t>.</w:t>
      </w:r>
    </w:p>
    <w:p w14:paraId="64FF7157" w14:textId="77777777" w:rsidR="00730BFF" w:rsidRPr="00DF4F84" w:rsidRDefault="00730BFF" w:rsidP="00730BFF">
      <w:pPr>
        <w:spacing w:line="240" w:lineRule="auto"/>
        <w:rPr>
          <w:rFonts w:asciiTheme="majorHAnsi" w:eastAsia="Cambria" w:hAnsiTheme="majorHAnsi" w:cs="Cambria"/>
          <w:b/>
          <w:sz w:val="24"/>
          <w:lang w:val="es-CR"/>
        </w:rPr>
      </w:pPr>
    </w:p>
    <w:p w14:paraId="36AC165C" w14:textId="77777777" w:rsidR="00730BFF" w:rsidRPr="00DF4F84" w:rsidRDefault="00730BFF" w:rsidP="00730BFF">
      <w:pPr>
        <w:spacing w:line="240" w:lineRule="auto"/>
        <w:rPr>
          <w:rFonts w:asciiTheme="majorHAnsi" w:eastAsia="Cambria" w:hAnsiTheme="majorHAnsi" w:cs="Cambria"/>
          <w:b/>
          <w:i/>
          <w:sz w:val="24"/>
          <w:lang w:val="es-CR"/>
        </w:rPr>
      </w:pPr>
      <w:r w:rsidRPr="00DF4F84">
        <w:rPr>
          <w:rFonts w:asciiTheme="majorHAnsi" w:eastAsia="Cambria" w:hAnsiTheme="majorHAnsi" w:cs="Cambria"/>
          <w:b/>
          <w:i/>
          <w:sz w:val="24"/>
          <w:lang w:val="es-CR"/>
        </w:rPr>
        <w:t>Dispone:</w:t>
      </w:r>
    </w:p>
    <w:p w14:paraId="02E295A7" w14:textId="77777777" w:rsidR="00730BFF" w:rsidRPr="00DF4F84" w:rsidRDefault="00730BFF" w:rsidP="00730BFF">
      <w:pPr>
        <w:spacing w:line="240" w:lineRule="auto"/>
        <w:jc w:val="left"/>
        <w:rPr>
          <w:rFonts w:asciiTheme="majorHAnsi" w:hAnsiTheme="majorHAnsi"/>
          <w:sz w:val="24"/>
          <w:lang w:val="es-CR"/>
        </w:rPr>
      </w:pPr>
    </w:p>
    <w:p w14:paraId="4993CD0F" w14:textId="77777777" w:rsidR="00730BFF" w:rsidRPr="00DF4F84" w:rsidRDefault="00730BFF" w:rsidP="00730BFF">
      <w:pPr>
        <w:pStyle w:val="Prrafodelista"/>
        <w:numPr>
          <w:ilvl w:val="0"/>
          <w:numId w:val="15"/>
        </w:numPr>
        <w:spacing w:line="240" w:lineRule="auto"/>
        <w:rPr>
          <w:rFonts w:asciiTheme="majorHAnsi" w:hAnsiTheme="majorHAnsi"/>
          <w:sz w:val="24"/>
          <w:lang w:val="es-CR"/>
        </w:rPr>
      </w:pPr>
      <w:r w:rsidRPr="00DF4F84">
        <w:rPr>
          <w:rFonts w:asciiTheme="majorHAnsi" w:hAnsiTheme="majorHAnsi"/>
          <w:sz w:val="24"/>
          <w:lang w:val="es-CR"/>
        </w:rPr>
        <w:t>Que a partir de la información correspondiente al corte de junio del 2018, se deberá</w:t>
      </w:r>
      <w:r>
        <w:rPr>
          <w:rFonts w:asciiTheme="majorHAnsi" w:hAnsiTheme="majorHAnsi"/>
          <w:sz w:val="24"/>
          <w:lang w:val="es-CR"/>
        </w:rPr>
        <w:t>n</w:t>
      </w:r>
      <w:r w:rsidRPr="00DF4F84">
        <w:rPr>
          <w:rFonts w:asciiTheme="majorHAnsi" w:hAnsiTheme="majorHAnsi"/>
          <w:sz w:val="24"/>
          <w:lang w:val="es-CR"/>
        </w:rPr>
        <w:t xml:space="preserve"> empezar a reportar mediante el </w:t>
      </w:r>
      <w:r w:rsidRPr="00DF4F84">
        <w:rPr>
          <w:rFonts w:asciiTheme="majorHAnsi" w:hAnsiTheme="majorHAnsi"/>
          <w:sz w:val="24"/>
        </w:rPr>
        <w:t>“</w:t>
      </w:r>
      <w:r w:rsidRPr="00DF4F84">
        <w:rPr>
          <w:rFonts w:asciiTheme="majorHAnsi" w:hAnsiTheme="majorHAnsi"/>
          <w:i/>
          <w:sz w:val="24"/>
        </w:rPr>
        <w:t>Sistema  de Registro y Actualización de Roles</w:t>
      </w:r>
      <w:r w:rsidRPr="00DF4F84">
        <w:rPr>
          <w:rFonts w:asciiTheme="majorHAnsi" w:hAnsiTheme="majorHAnsi"/>
          <w:sz w:val="24"/>
        </w:rPr>
        <w:t>” también los roles de "</w:t>
      </w:r>
      <w:r w:rsidRPr="00DF4F84">
        <w:rPr>
          <w:rFonts w:asciiTheme="majorHAnsi" w:hAnsiTheme="majorHAnsi"/>
          <w:i/>
          <w:sz w:val="24"/>
        </w:rPr>
        <w:t>Puestos Externos</w:t>
      </w:r>
      <w:r w:rsidRPr="00DF4F84">
        <w:rPr>
          <w:rFonts w:asciiTheme="majorHAnsi" w:hAnsiTheme="majorHAnsi"/>
          <w:sz w:val="24"/>
        </w:rPr>
        <w:t xml:space="preserve">". Esta comunicación vía sistema atenderá el requerimiento definido en el Artículo 14 del </w:t>
      </w:r>
      <w:r w:rsidRPr="00DF4F84">
        <w:rPr>
          <w:rFonts w:asciiTheme="majorHAnsi" w:hAnsiTheme="majorHAnsi"/>
          <w:sz w:val="24"/>
          <w:lang w:val="es-CR"/>
        </w:rPr>
        <w:t>Acuerdo SUGEF 32-10 “</w:t>
      </w:r>
      <w:r w:rsidRPr="00DF4F84">
        <w:rPr>
          <w:rFonts w:asciiTheme="majorHAnsi" w:hAnsiTheme="majorHAnsi"/>
          <w:i/>
          <w:sz w:val="24"/>
          <w:lang w:val="es-CR"/>
        </w:rPr>
        <w:t>Reglamento General de Auditores Externos</w:t>
      </w:r>
      <w:r w:rsidRPr="00DF4F84">
        <w:rPr>
          <w:rFonts w:asciiTheme="majorHAnsi" w:hAnsiTheme="majorHAnsi"/>
          <w:sz w:val="24"/>
          <w:lang w:val="es-CR"/>
        </w:rPr>
        <w:t xml:space="preserve">”  y el Artículo 37 del Acuerdo SUGEF 12-10 </w:t>
      </w:r>
      <w:r w:rsidRPr="00DF4F84">
        <w:rPr>
          <w:rFonts w:asciiTheme="majorHAnsi" w:hAnsiTheme="majorHAnsi"/>
          <w:i/>
          <w:sz w:val="24"/>
          <w:lang w:val="es-CR"/>
        </w:rPr>
        <w:t xml:space="preserve">“Normativa para el Cumplimiento de la Ley N° 8204” </w:t>
      </w:r>
      <w:r w:rsidRPr="00DF4F84">
        <w:rPr>
          <w:rFonts w:asciiTheme="majorHAnsi" w:hAnsiTheme="majorHAnsi"/>
          <w:sz w:val="24"/>
          <w:lang w:val="es-CR"/>
        </w:rPr>
        <w:t>por lo que no será necesario el envío de ningún oficio adicional tendiente a satisfacer el mismo.</w:t>
      </w:r>
    </w:p>
    <w:p w14:paraId="462E846E" w14:textId="77777777" w:rsidR="00730BFF" w:rsidRPr="00DF4F84" w:rsidRDefault="00730BFF" w:rsidP="00730BFF">
      <w:pPr>
        <w:pStyle w:val="texto"/>
        <w:spacing w:before="0" w:beforeAutospacing="0" w:after="0" w:afterAutospacing="0" w:line="240" w:lineRule="auto"/>
        <w:rPr>
          <w:rFonts w:asciiTheme="majorHAnsi" w:hAnsiTheme="majorHAnsi"/>
          <w:sz w:val="24"/>
          <w:szCs w:val="24"/>
          <w:lang w:val="es-CR"/>
        </w:rPr>
      </w:pPr>
    </w:p>
    <w:p w14:paraId="019B417D" w14:textId="77777777" w:rsidR="00730BFF" w:rsidRPr="00DF4F84" w:rsidRDefault="00730BFF" w:rsidP="00730BFF">
      <w:pPr>
        <w:pStyle w:val="texto"/>
        <w:numPr>
          <w:ilvl w:val="0"/>
          <w:numId w:val="15"/>
        </w:numPr>
        <w:spacing w:before="0" w:beforeAutospacing="0" w:after="0" w:afterAutospacing="0" w:line="240" w:lineRule="auto"/>
        <w:rPr>
          <w:rFonts w:asciiTheme="majorHAnsi" w:hAnsiTheme="majorHAnsi"/>
          <w:sz w:val="24"/>
          <w:szCs w:val="24"/>
          <w:lang w:val="es-CR"/>
        </w:rPr>
      </w:pPr>
      <w:r w:rsidRPr="00DF4F84">
        <w:rPr>
          <w:rFonts w:asciiTheme="majorHAnsi" w:hAnsiTheme="majorHAnsi"/>
          <w:sz w:val="24"/>
          <w:szCs w:val="24"/>
          <w:lang w:val="es-CR"/>
        </w:rPr>
        <w:t>Recordar que la vigencia de los siguientes tipos de certificación, contado a partir de su expedición, sería como sigue:</w:t>
      </w:r>
    </w:p>
    <w:p w14:paraId="3C2BFD80" w14:textId="77777777" w:rsidR="00730BFF" w:rsidRPr="00DF4F84" w:rsidRDefault="00730BFF" w:rsidP="00730BFF">
      <w:pPr>
        <w:pStyle w:val="texto"/>
        <w:numPr>
          <w:ilvl w:val="0"/>
          <w:numId w:val="16"/>
        </w:numPr>
        <w:spacing w:before="0" w:beforeAutospacing="0" w:after="0" w:afterAutospacing="0" w:line="240" w:lineRule="auto"/>
        <w:rPr>
          <w:rFonts w:asciiTheme="majorHAnsi" w:hAnsiTheme="majorHAnsi"/>
          <w:sz w:val="24"/>
          <w:szCs w:val="24"/>
          <w:lang w:val="es-CR"/>
        </w:rPr>
      </w:pPr>
      <w:r w:rsidRPr="00DF4F84">
        <w:rPr>
          <w:rFonts w:asciiTheme="majorHAnsi" w:hAnsiTheme="majorHAnsi"/>
          <w:i/>
          <w:sz w:val="24"/>
          <w:szCs w:val="24"/>
          <w:lang w:val="es-CR"/>
        </w:rPr>
        <w:lastRenderedPageBreak/>
        <w:t>Certificación notarial</w:t>
      </w:r>
      <w:r w:rsidRPr="00DF4F84">
        <w:rPr>
          <w:rFonts w:asciiTheme="majorHAnsi" w:hAnsiTheme="majorHAnsi"/>
          <w:sz w:val="24"/>
          <w:szCs w:val="24"/>
          <w:lang w:val="es-CR"/>
        </w:rPr>
        <w:t>:</w:t>
      </w:r>
      <w:r w:rsidRPr="00DF4F84">
        <w:rPr>
          <w:rFonts w:asciiTheme="majorHAnsi" w:hAnsiTheme="majorHAnsi"/>
          <w:sz w:val="24"/>
          <w:szCs w:val="24"/>
          <w:lang w:val="es-CR" w:eastAsia="es-CR"/>
        </w:rPr>
        <w:t xml:space="preserve"> un mes.</w:t>
      </w:r>
    </w:p>
    <w:p w14:paraId="7EA8EDF7" w14:textId="77777777" w:rsidR="00730BFF" w:rsidRPr="00DF4F84" w:rsidRDefault="00730BFF" w:rsidP="00730BFF">
      <w:pPr>
        <w:pStyle w:val="texto"/>
        <w:numPr>
          <w:ilvl w:val="0"/>
          <w:numId w:val="16"/>
        </w:numPr>
        <w:spacing w:before="0" w:beforeAutospacing="0" w:after="0" w:afterAutospacing="0" w:line="240" w:lineRule="auto"/>
        <w:rPr>
          <w:rFonts w:asciiTheme="majorHAnsi" w:hAnsiTheme="majorHAnsi"/>
          <w:sz w:val="24"/>
          <w:szCs w:val="24"/>
          <w:lang w:val="es-CR"/>
        </w:rPr>
      </w:pPr>
      <w:r w:rsidRPr="00DF4F84">
        <w:rPr>
          <w:rFonts w:asciiTheme="majorHAnsi" w:hAnsiTheme="majorHAnsi"/>
          <w:i/>
          <w:sz w:val="24"/>
          <w:szCs w:val="24"/>
          <w:lang w:val="es-CR"/>
        </w:rPr>
        <w:t>Certificación digital emitida por el Registro Nacional</w:t>
      </w:r>
      <w:r w:rsidRPr="00DF4F84">
        <w:rPr>
          <w:rFonts w:asciiTheme="majorHAnsi" w:hAnsiTheme="majorHAnsi"/>
          <w:sz w:val="24"/>
          <w:szCs w:val="24"/>
          <w:lang w:val="es-CR"/>
        </w:rPr>
        <w:t>: 15 días naturales</w:t>
      </w:r>
    </w:p>
    <w:p w14:paraId="31BE1990" w14:textId="77777777" w:rsidR="00730BFF" w:rsidRPr="008F5261" w:rsidRDefault="00730BFF" w:rsidP="00730BFF">
      <w:pPr>
        <w:pStyle w:val="texto"/>
        <w:numPr>
          <w:ilvl w:val="0"/>
          <w:numId w:val="16"/>
        </w:numPr>
        <w:spacing w:before="0" w:beforeAutospacing="0" w:after="0" w:afterAutospacing="0" w:line="240" w:lineRule="auto"/>
        <w:rPr>
          <w:rFonts w:asciiTheme="majorHAnsi" w:hAnsiTheme="majorHAnsi"/>
          <w:b/>
          <w:sz w:val="24"/>
          <w:szCs w:val="24"/>
          <w:lang w:val="es-CR"/>
        </w:rPr>
      </w:pPr>
      <w:r w:rsidRPr="00DF4F84">
        <w:rPr>
          <w:rFonts w:asciiTheme="majorHAnsi" w:hAnsiTheme="majorHAnsi"/>
          <w:i/>
          <w:sz w:val="24"/>
          <w:szCs w:val="24"/>
          <w:lang w:val="es-CR"/>
        </w:rPr>
        <w:t>Certificación física emitida por el Registro Nacional</w:t>
      </w:r>
      <w:r w:rsidRPr="00DF4F84">
        <w:rPr>
          <w:rFonts w:asciiTheme="majorHAnsi" w:hAnsiTheme="majorHAnsi"/>
          <w:sz w:val="24"/>
          <w:szCs w:val="24"/>
          <w:lang w:val="es-CR"/>
        </w:rPr>
        <w:t xml:space="preserve">: </w:t>
      </w:r>
      <w:r w:rsidRPr="00DF4F84">
        <w:rPr>
          <w:rFonts w:asciiTheme="majorHAnsi" w:hAnsiTheme="majorHAnsi"/>
          <w:sz w:val="24"/>
          <w:szCs w:val="24"/>
          <w:lang w:val="es-CR" w:eastAsia="es-CR"/>
        </w:rPr>
        <w:t>un mes</w:t>
      </w:r>
    </w:p>
    <w:p w14:paraId="0AD5DD31" w14:textId="3881C138" w:rsidR="008F5261" w:rsidRPr="008F5261" w:rsidRDefault="008F5261" w:rsidP="00730BFF">
      <w:pPr>
        <w:pStyle w:val="texto"/>
        <w:numPr>
          <w:ilvl w:val="0"/>
          <w:numId w:val="16"/>
        </w:numPr>
        <w:spacing w:before="0" w:beforeAutospacing="0" w:after="0" w:afterAutospacing="0" w:line="240" w:lineRule="auto"/>
        <w:rPr>
          <w:rFonts w:asciiTheme="majorHAnsi" w:hAnsiTheme="majorHAnsi"/>
          <w:i/>
          <w:sz w:val="24"/>
          <w:szCs w:val="24"/>
          <w:lang w:val="es-CR"/>
        </w:rPr>
      </w:pPr>
      <w:r w:rsidRPr="008F5261">
        <w:rPr>
          <w:rFonts w:asciiTheme="majorHAnsi" w:hAnsiTheme="majorHAnsi"/>
          <w:i/>
          <w:sz w:val="24"/>
          <w:szCs w:val="24"/>
          <w:lang w:val="es-CR"/>
        </w:rPr>
        <w:t>Cer</w:t>
      </w:r>
      <w:r>
        <w:rPr>
          <w:rFonts w:asciiTheme="majorHAnsi" w:hAnsiTheme="majorHAnsi"/>
          <w:i/>
          <w:sz w:val="24"/>
          <w:szCs w:val="24"/>
          <w:lang w:val="es-CR"/>
        </w:rPr>
        <w:t>tificación emitida por el Departamento de organizaciones sociales del Ministerio de Trabajo y Seguridad Social</w:t>
      </w:r>
      <w:r>
        <w:rPr>
          <w:rFonts w:asciiTheme="majorHAnsi" w:hAnsiTheme="majorHAnsi"/>
          <w:sz w:val="24"/>
          <w:szCs w:val="24"/>
          <w:lang w:val="es-CR"/>
        </w:rPr>
        <w:t>: un mes</w:t>
      </w:r>
    </w:p>
    <w:p w14:paraId="64E77477" w14:textId="77777777" w:rsidR="00730BFF" w:rsidRPr="00DF4F84" w:rsidRDefault="00730BFF" w:rsidP="00730BFF">
      <w:pPr>
        <w:pStyle w:val="texto"/>
        <w:spacing w:before="0" w:beforeAutospacing="0" w:after="0" w:afterAutospacing="0" w:line="240" w:lineRule="auto"/>
        <w:ind w:left="720"/>
        <w:rPr>
          <w:rFonts w:asciiTheme="majorHAnsi" w:hAnsiTheme="majorHAnsi"/>
          <w:sz w:val="24"/>
          <w:szCs w:val="24"/>
          <w:lang w:val="es-CR"/>
        </w:rPr>
      </w:pPr>
    </w:p>
    <w:p w14:paraId="1E6BDA31" w14:textId="77777777" w:rsidR="00730BFF" w:rsidRPr="00DF4F84" w:rsidRDefault="00730BFF" w:rsidP="00730BFF">
      <w:pPr>
        <w:pStyle w:val="texto"/>
        <w:numPr>
          <w:ilvl w:val="0"/>
          <w:numId w:val="15"/>
        </w:numPr>
        <w:spacing w:before="0" w:beforeAutospacing="0" w:after="0" w:afterAutospacing="0" w:line="240" w:lineRule="auto"/>
        <w:rPr>
          <w:rFonts w:asciiTheme="majorHAnsi" w:hAnsiTheme="majorHAnsi"/>
          <w:sz w:val="24"/>
          <w:szCs w:val="24"/>
          <w:lang w:val="es-CR"/>
        </w:rPr>
      </w:pPr>
      <w:r w:rsidRPr="00DF4F84">
        <w:rPr>
          <w:rFonts w:asciiTheme="majorHAnsi" w:hAnsiTheme="majorHAnsi"/>
          <w:sz w:val="24"/>
          <w:szCs w:val="24"/>
          <w:lang w:val="es-CR"/>
        </w:rPr>
        <w:t>Recordar que en el caso de  nuevas designaciones de los roles o variaciones en la información de los existentes, las mismas debe ser actualizadas en un plazo de tres días hábiles contados a partir del nombramiento.</w:t>
      </w:r>
    </w:p>
    <w:p w14:paraId="2A9E3EED" w14:textId="77777777" w:rsidR="00730BFF" w:rsidRPr="00730BFF" w:rsidRDefault="00730BFF" w:rsidP="00730BFF">
      <w:pPr>
        <w:spacing w:before="120" w:after="120" w:line="240" w:lineRule="auto"/>
        <w:ind w:left="33"/>
        <w:rPr>
          <w:rFonts w:asciiTheme="majorHAnsi" w:hAnsiTheme="majorHAnsi"/>
          <w:b/>
          <w:sz w:val="24"/>
          <w:lang w:val="es-CR"/>
        </w:rPr>
      </w:pPr>
    </w:p>
    <w:p w14:paraId="13E0DB9F" w14:textId="21DBD8AD" w:rsidR="0071134B" w:rsidRPr="002E2B0A" w:rsidRDefault="0071134B" w:rsidP="00D26EDE">
      <w:pPr>
        <w:pStyle w:val="Texto0"/>
        <w:spacing w:before="0" w:after="0" w:line="240" w:lineRule="auto"/>
        <w:rPr>
          <w:sz w:val="24"/>
        </w:rPr>
      </w:pPr>
      <w:r w:rsidRPr="002E2B0A">
        <w:rPr>
          <w:sz w:val="24"/>
        </w:rPr>
        <w:t>Atentamente,</w:t>
      </w:r>
    </w:p>
    <w:p w14:paraId="00DF0155" w14:textId="653B6DB3" w:rsidR="0068065E" w:rsidRDefault="0068065E" w:rsidP="00D26EDE">
      <w:pPr>
        <w:spacing w:line="240" w:lineRule="auto"/>
        <w:rPr>
          <w:sz w:val="24"/>
        </w:rPr>
      </w:pPr>
      <w:r>
        <w:rPr>
          <w:noProof/>
          <w:lang w:val="es-CR" w:eastAsia="es-CR"/>
        </w:rPr>
        <w:drawing>
          <wp:anchor distT="0" distB="0" distL="114300" distR="114300" simplePos="0" relativeHeight="251658240" behindDoc="1" locked="0" layoutInCell="1" allowOverlap="1" wp14:anchorId="1BC6C5FE" wp14:editId="267E5AD1">
            <wp:simplePos x="0" y="0"/>
            <wp:positionH relativeFrom="margin">
              <wp:align>left</wp:align>
            </wp:positionH>
            <wp:positionV relativeFrom="paragraph">
              <wp:posOffset>93980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34562E37" w14:textId="290CA5A5" w:rsidR="000F34AE" w:rsidRDefault="000F34AE" w:rsidP="00D26EDE">
      <w:pPr>
        <w:spacing w:line="240" w:lineRule="auto"/>
        <w:rPr>
          <w:sz w:val="24"/>
        </w:rPr>
      </w:pPr>
    </w:p>
    <w:p w14:paraId="6937CA72" w14:textId="73D30D19" w:rsidR="00730BFF" w:rsidRPr="002E2B0A" w:rsidRDefault="00730BFF" w:rsidP="00D26EDE">
      <w:pPr>
        <w:spacing w:line="240" w:lineRule="auto"/>
        <w:rPr>
          <w:sz w:val="24"/>
        </w:rPr>
      </w:pPr>
    </w:p>
    <w:p w14:paraId="11F684D8" w14:textId="77777777" w:rsidR="00302018" w:rsidRDefault="00694E5D" w:rsidP="00694E5D">
      <w:pPr>
        <w:jc w:val="left"/>
        <w:rPr>
          <w:sz w:val="24"/>
        </w:rPr>
      </w:pPr>
      <w:r>
        <w:rPr>
          <w:sz w:val="24"/>
        </w:rPr>
        <w:t>Bernardo Alfaro A.</w:t>
      </w:r>
    </w:p>
    <w:p w14:paraId="1C5E68C8" w14:textId="39530C8A" w:rsidR="00694E5D" w:rsidRDefault="00694E5D" w:rsidP="00694E5D">
      <w:pPr>
        <w:jc w:val="left"/>
        <w:rPr>
          <w:sz w:val="24"/>
        </w:rPr>
      </w:pPr>
      <w:r w:rsidRPr="00072CDB">
        <w:rPr>
          <w:b/>
          <w:sz w:val="24"/>
        </w:rPr>
        <w:t>Superintendente</w:t>
      </w:r>
    </w:p>
    <w:p w14:paraId="6CE693AD" w14:textId="77777777" w:rsidR="00041BDD" w:rsidRPr="002E2B0A" w:rsidRDefault="00041BDD" w:rsidP="00D26EDE">
      <w:pPr>
        <w:spacing w:line="240" w:lineRule="auto"/>
        <w:rPr>
          <w:sz w:val="24"/>
        </w:rPr>
      </w:pPr>
    </w:p>
    <w:p w14:paraId="64BC3793" w14:textId="72524280" w:rsidR="00EB4E27" w:rsidRPr="0068065E" w:rsidRDefault="00302018" w:rsidP="00EB4E27">
      <w:pPr>
        <w:rPr>
          <w:b/>
          <w:sz w:val="16"/>
          <w:szCs w:val="16"/>
        </w:rPr>
      </w:pPr>
      <w:r>
        <w:rPr>
          <w:b/>
          <w:sz w:val="16"/>
          <w:szCs w:val="16"/>
        </w:rPr>
        <w:t>GSC/</w:t>
      </w:r>
      <w:r w:rsidR="00730BFF" w:rsidRPr="0068065E">
        <w:rPr>
          <w:b/>
          <w:sz w:val="16"/>
          <w:szCs w:val="16"/>
        </w:rPr>
        <w:t>EAMS/CVC/ELS/gvl*</w:t>
      </w:r>
    </w:p>
    <w:sectPr w:rsidR="00EB4E27" w:rsidRPr="0068065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8E219" w14:textId="77777777" w:rsidR="00730BFF" w:rsidRDefault="00730BFF" w:rsidP="00D43D57">
      <w:r>
        <w:separator/>
      </w:r>
    </w:p>
  </w:endnote>
  <w:endnote w:type="continuationSeparator" w:id="0">
    <w:p w14:paraId="36347E14" w14:textId="77777777" w:rsidR="00730BFF" w:rsidRDefault="00730BF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222B"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7D867AF1" w14:textId="77777777" w:rsidTr="008F1461">
      <w:trPr>
        <w:trHeight w:val="546"/>
      </w:trPr>
      <w:tc>
        <w:tcPr>
          <w:tcW w:w="3189" w:type="dxa"/>
          <w:shd w:val="clear" w:color="auto" w:fill="FFFFFF"/>
          <w:vAlign w:val="center"/>
        </w:tcPr>
        <w:p w14:paraId="140BAF47" w14:textId="77777777" w:rsidR="008F1461" w:rsidRDefault="008F1461" w:rsidP="000C62BB">
          <w:pPr>
            <w:pStyle w:val="Piepagina"/>
          </w:pPr>
          <w:r>
            <w:rPr>
              <w:b/>
              <w:bCs/>
            </w:rPr>
            <w:t>Teléfono</w:t>
          </w:r>
          <w:r>
            <w:t xml:space="preserve">   (506) 2243-4848</w:t>
          </w:r>
        </w:p>
        <w:p w14:paraId="1F50009A"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B33C433" w14:textId="77777777" w:rsidR="008F1461" w:rsidRDefault="008F1461" w:rsidP="000C62BB">
          <w:pPr>
            <w:pStyle w:val="Piepagina"/>
          </w:pPr>
          <w:r>
            <w:rPr>
              <w:b/>
              <w:bCs/>
            </w:rPr>
            <w:t>Apartado</w:t>
          </w:r>
          <w:r>
            <w:t xml:space="preserve"> 2762-1000</w:t>
          </w:r>
        </w:p>
        <w:p w14:paraId="6BFAB177" w14:textId="77777777" w:rsidR="008F1461" w:rsidRDefault="008F1461" w:rsidP="000C62BB">
          <w:pPr>
            <w:pStyle w:val="Piepagina"/>
          </w:pPr>
          <w:r>
            <w:t>San José, Costa Rica</w:t>
          </w:r>
        </w:p>
      </w:tc>
      <w:tc>
        <w:tcPr>
          <w:tcW w:w="2410" w:type="dxa"/>
          <w:shd w:val="clear" w:color="auto" w:fill="FFFFFF"/>
          <w:vAlign w:val="center"/>
        </w:tcPr>
        <w:p w14:paraId="0B771360" w14:textId="77777777" w:rsidR="008F1461" w:rsidRDefault="008F1461" w:rsidP="000C62BB">
          <w:pPr>
            <w:pStyle w:val="Piepagina"/>
          </w:pPr>
          <w:r>
            <w:t>www.sugef.fi.cr</w:t>
          </w:r>
        </w:p>
        <w:p w14:paraId="722F0823" w14:textId="77777777" w:rsidR="008F1461" w:rsidRDefault="008F1461" w:rsidP="000C62BB">
          <w:pPr>
            <w:pStyle w:val="Piepagina"/>
          </w:pPr>
          <w:r>
            <w:t>sugefcr@sugef.fi.cr</w:t>
          </w:r>
        </w:p>
      </w:tc>
      <w:tc>
        <w:tcPr>
          <w:tcW w:w="260" w:type="dxa"/>
          <w:shd w:val="clear" w:color="auto" w:fill="FFFFFF"/>
        </w:tcPr>
        <w:p w14:paraId="115824BF" w14:textId="77777777" w:rsidR="008F1461" w:rsidRDefault="008F1461" w:rsidP="000C62BB">
          <w:pPr>
            <w:pStyle w:val="Piepagina"/>
          </w:pPr>
          <w:r>
            <w:fldChar w:fldCharType="begin"/>
          </w:r>
          <w:r>
            <w:instrText>PAGE   \* MERGEFORMAT</w:instrText>
          </w:r>
          <w:r>
            <w:fldChar w:fldCharType="separate"/>
          </w:r>
          <w:r w:rsidR="00C32553">
            <w:rPr>
              <w:noProof/>
            </w:rPr>
            <w:t>2</w:t>
          </w:r>
          <w:r>
            <w:fldChar w:fldCharType="end"/>
          </w:r>
        </w:p>
      </w:tc>
    </w:tr>
  </w:tbl>
  <w:p w14:paraId="2B275B4D" w14:textId="77777777" w:rsidR="00590F07" w:rsidRPr="000C62BB" w:rsidRDefault="00590F07">
    <w:pPr>
      <w:pStyle w:val="Piedepgina"/>
      <w:jc w:val="right"/>
      <w:rPr>
        <w:color w:val="969696"/>
        <w:sz w:val="20"/>
        <w:szCs w:val="20"/>
      </w:rPr>
    </w:pPr>
  </w:p>
  <w:p w14:paraId="1FE6543E"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5DBE"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77226189" wp14:editId="7D04CC63">
          <wp:simplePos x="0" y="0"/>
          <wp:positionH relativeFrom="column">
            <wp:posOffset>4355465</wp:posOffset>
          </wp:positionH>
          <wp:positionV relativeFrom="paragraph">
            <wp:posOffset>59954</wp:posOffset>
          </wp:positionV>
          <wp:extent cx="8890" cy="4311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3C21E97A" wp14:editId="7C06BC5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203E" w14:textId="77777777" w:rsidR="001C075B" w:rsidRPr="00FA54DF" w:rsidRDefault="001C075B">
                          <w:pPr>
                            <w:rPr>
                              <w:color w:val="003A68"/>
                              <w:sz w:val="14"/>
                              <w:szCs w:val="14"/>
                            </w:rPr>
                          </w:pPr>
                          <w:r w:rsidRPr="00FA54DF">
                            <w:rPr>
                              <w:color w:val="003A68"/>
                              <w:sz w:val="14"/>
                              <w:szCs w:val="14"/>
                            </w:rPr>
                            <w:t xml:space="preserve">T. (506) 2243-3631   </w:t>
                          </w:r>
                        </w:p>
                        <w:p w14:paraId="30B3CD0E" w14:textId="77777777" w:rsidR="001C075B" w:rsidRPr="00FA54DF" w:rsidRDefault="001C075B">
                          <w:pPr>
                            <w:rPr>
                              <w:color w:val="003A68"/>
                              <w:sz w:val="14"/>
                              <w:szCs w:val="14"/>
                            </w:rPr>
                          </w:pPr>
                          <w:r w:rsidRPr="00FA54DF">
                            <w:rPr>
                              <w:color w:val="003A68"/>
                              <w:sz w:val="14"/>
                              <w:szCs w:val="14"/>
                            </w:rPr>
                            <w:t xml:space="preserve">F. (506) 2243-4579   </w:t>
                          </w:r>
                        </w:p>
                        <w:p w14:paraId="7CCE6674" w14:textId="77777777" w:rsidR="001C075B" w:rsidRDefault="001C075B">
                          <w:pPr>
                            <w:rPr>
                              <w:color w:val="003A68"/>
                              <w:sz w:val="14"/>
                              <w:szCs w:val="14"/>
                            </w:rPr>
                          </w:pPr>
                          <w:r w:rsidRPr="00FA54DF">
                            <w:rPr>
                              <w:color w:val="003A68"/>
                              <w:sz w:val="14"/>
                              <w:szCs w:val="14"/>
                            </w:rPr>
                            <w:t>Apdo. 10058-1000</w:t>
                          </w:r>
                        </w:p>
                        <w:p w14:paraId="153D5E37" w14:textId="77777777" w:rsidR="001C075B" w:rsidRDefault="001C075B">
                          <w:pPr>
                            <w:rPr>
                              <w:color w:val="003A68"/>
                              <w:sz w:val="14"/>
                              <w:szCs w:val="14"/>
                            </w:rPr>
                          </w:pPr>
                          <w:r w:rsidRPr="00FA54DF">
                            <w:rPr>
                              <w:color w:val="003A68"/>
                              <w:sz w:val="14"/>
                              <w:szCs w:val="14"/>
                            </w:rPr>
                            <w:t>Av. 1 y Central, Calles 2 y 4</w:t>
                          </w:r>
                        </w:p>
                        <w:p w14:paraId="6E541103"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C21E9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2FA203E" w14:textId="77777777">
                    <w:pPr>
                      <w:rPr>
                        <w:color w:val="003A68"/>
                        <w:sz w:val="14"/>
                        <w:szCs w:val="14"/>
                      </w:rPr>
                    </w:pPr>
                    <w:r w:rsidRPr="00FA54DF">
                      <w:rPr>
                        <w:color w:val="003A68"/>
                        <w:sz w:val="14"/>
                        <w:szCs w:val="14"/>
                      </w:rPr>
                      <w:t xml:space="preserve">T. (506) 2243-3631   </w:t>
                    </w:r>
                  </w:p>
                  <w:p w:rsidRPr="00FA54DF" w:rsidR="001C075B" w:rsidRDefault="001C075B" w14:paraId="30B3CD0E" w14:textId="77777777">
                    <w:pPr>
                      <w:rPr>
                        <w:color w:val="003A68"/>
                        <w:sz w:val="14"/>
                        <w:szCs w:val="14"/>
                      </w:rPr>
                    </w:pPr>
                    <w:r w:rsidRPr="00FA54DF">
                      <w:rPr>
                        <w:color w:val="003A68"/>
                        <w:sz w:val="14"/>
                        <w:szCs w:val="14"/>
                      </w:rPr>
                      <w:t xml:space="preserve">F. (506) 2243-4579   </w:t>
                    </w:r>
                  </w:p>
                  <w:p w:rsidR="001C075B" w:rsidRDefault="001C075B" w14:paraId="7CCE6674" w14:textId="77777777">
                    <w:pPr>
                      <w:rPr>
                        <w:color w:val="003A68"/>
                        <w:sz w:val="14"/>
                        <w:szCs w:val="14"/>
                      </w:rPr>
                    </w:pPr>
                    <w:r w:rsidRPr="00FA54DF">
                      <w:rPr>
                        <w:color w:val="003A68"/>
                        <w:sz w:val="14"/>
                        <w:szCs w:val="14"/>
                      </w:rPr>
                      <w:t>Apdo. 10058-1000</w:t>
                    </w:r>
                  </w:p>
                  <w:p w:rsidR="001C075B" w:rsidRDefault="001C075B" w14:paraId="153D5E37" w14:textId="77777777">
                    <w:pPr>
                      <w:rPr>
                        <w:color w:val="003A68"/>
                        <w:sz w:val="14"/>
                        <w:szCs w:val="14"/>
                      </w:rPr>
                    </w:pPr>
                    <w:r w:rsidRPr="00FA54DF">
                      <w:rPr>
                        <w:color w:val="003A68"/>
                        <w:sz w:val="14"/>
                        <w:szCs w:val="14"/>
                      </w:rPr>
                      <w:t>Av. 1 y Central, Calles 2 y 4</w:t>
                    </w:r>
                  </w:p>
                  <w:p w:rsidRPr="00FA54DF" w:rsidR="001C075B" w:rsidRDefault="001C075B" w14:paraId="6E541103" w14:textId="77777777">
                    <w:pPr>
                      <w:rPr>
                        <w:color w:val="003A68"/>
                        <w:sz w:val="14"/>
                        <w:szCs w:val="14"/>
                      </w:rPr>
                    </w:pPr>
                  </w:p>
                </w:txbxContent>
              </v:textbox>
            </v:shape>
          </w:pict>
        </mc:Fallback>
      </mc:AlternateContent>
    </w:r>
  </w:p>
  <w:p w14:paraId="439AFF8A" w14:textId="77777777" w:rsidR="001C075B" w:rsidRPr="00D43D57" w:rsidRDefault="001C075B" w:rsidP="008C0BF0">
    <w:pPr>
      <w:pStyle w:val="Piepagina"/>
      <w:jc w:val="center"/>
    </w:pPr>
  </w:p>
  <w:p w14:paraId="2C4A2FD8"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63EA9" w14:textId="77777777" w:rsidR="00730BFF" w:rsidRDefault="00730BFF" w:rsidP="00D43D57">
      <w:r>
        <w:separator/>
      </w:r>
    </w:p>
  </w:footnote>
  <w:footnote w:type="continuationSeparator" w:id="0">
    <w:p w14:paraId="526F0E48" w14:textId="77777777" w:rsidR="00730BFF" w:rsidRDefault="00730BFF"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BE8B" w14:textId="77777777" w:rsidR="001C075B" w:rsidRDefault="001327EB" w:rsidP="001327EB">
    <w:pPr>
      <w:pStyle w:val="Piedepgina"/>
      <w:jc w:val="center"/>
    </w:pPr>
    <w:r>
      <w:rPr>
        <w:noProof/>
        <w:lang w:val="es-CR" w:eastAsia="es-CR"/>
      </w:rPr>
      <w:drawing>
        <wp:inline distT="0" distB="0" distL="0" distR="0" wp14:anchorId="3F7C7930" wp14:editId="2541FF01">
          <wp:extent cx="1473145" cy="69105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7ECB"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6FE097A9" wp14:editId="1627277B">
          <wp:extent cx="1428572" cy="666667"/>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F3026F0"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01822"/>
    <w:multiLevelType w:val="hybridMultilevel"/>
    <w:tmpl w:val="5EE6F548"/>
    <w:lvl w:ilvl="0" w:tplc="7E34EFE4">
      <w:start w:val="1"/>
      <w:numFmt w:val="upperRoman"/>
      <w:lvlText w:val="%1."/>
      <w:lvlJc w:val="left"/>
      <w:pPr>
        <w:ind w:left="979"/>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1" w:tplc="E65ABFAE">
      <w:start w:val="1"/>
      <w:numFmt w:val="lowerLetter"/>
      <w:lvlText w:val="%2"/>
      <w:lvlJc w:val="left"/>
      <w:pPr>
        <w:ind w:left="11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F24F21C">
      <w:start w:val="1"/>
      <w:numFmt w:val="lowerRoman"/>
      <w:lvlText w:val="%3"/>
      <w:lvlJc w:val="left"/>
      <w:pPr>
        <w:ind w:left="1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47546">
      <w:start w:val="1"/>
      <w:numFmt w:val="decimal"/>
      <w:lvlText w:val="%4"/>
      <w:lvlJc w:val="left"/>
      <w:pPr>
        <w:ind w:left="2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46443C">
      <w:start w:val="1"/>
      <w:numFmt w:val="lowerLetter"/>
      <w:lvlText w:val="%5"/>
      <w:lvlJc w:val="left"/>
      <w:pPr>
        <w:ind w:left="3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5EE0B0">
      <w:start w:val="1"/>
      <w:numFmt w:val="lowerRoman"/>
      <w:lvlText w:val="%6"/>
      <w:lvlJc w:val="left"/>
      <w:pPr>
        <w:ind w:left="40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1EE92C">
      <w:start w:val="1"/>
      <w:numFmt w:val="decimal"/>
      <w:lvlText w:val="%7"/>
      <w:lvlJc w:val="left"/>
      <w:pPr>
        <w:ind w:left="47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803530">
      <w:start w:val="1"/>
      <w:numFmt w:val="lowerLetter"/>
      <w:lvlText w:val="%8"/>
      <w:lvlJc w:val="left"/>
      <w:pPr>
        <w:ind w:left="55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9ACE38">
      <w:start w:val="1"/>
      <w:numFmt w:val="lowerRoman"/>
      <w:lvlText w:val="%9"/>
      <w:lvlJc w:val="left"/>
      <w:pPr>
        <w:ind w:left="62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4865DE"/>
    <w:multiLevelType w:val="hybridMultilevel"/>
    <w:tmpl w:val="AA9CBD46"/>
    <w:lvl w:ilvl="0" w:tplc="140A0001">
      <w:start w:val="1"/>
      <w:numFmt w:val="bullet"/>
      <w:lvlText w:val=""/>
      <w:lvlJc w:val="left"/>
      <w:pPr>
        <w:ind w:left="394" w:hanging="360"/>
      </w:pPr>
      <w:rPr>
        <w:rFonts w:ascii="Symbol" w:hAnsi="Symbol" w:hint="default"/>
      </w:rPr>
    </w:lvl>
    <w:lvl w:ilvl="1" w:tplc="140A0003" w:tentative="1">
      <w:start w:val="1"/>
      <w:numFmt w:val="bullet"/>
      <w:lvlText w:val="o"/>
      <w:lvlJc w:val="left"/>
      <w:pPr>
        <w:ind w:left="1114" w:hanging="360"/>
      </w:pPr>
      <w:rPr>
        <w:rFonts w:ascii="Courier New" w:hAnsi="Courier New" w:cs="Courier New" w:hint="default"/>
      </w:rPr>
    </w:lvl>
    <w:lvl w:ilvl="2" w:tplc="140A0005" w:tentative="1">
      <w:start w:val="1"/>
      <w:numFmt w:val="bullet"/>
      <w:lvlText w:val=""/>
      <w:lvlJc w:val="left"/>
      <w:pPr>
        <w:ind w:left="1834" w:hanging="360"/>
      </w:pPr>
      <w:rPr>
        <w:rFonts w:ascii="Wingdings" w:hAnsi="Wingdings" w:hint="default"/>
      </w:rPr>
    </w:lvl>
    <w:lvl w:ilvl="3" w:tplc="140A0001" w:tentative="1">
      <w:start w:val="1"/>
      <w:numFmt w:val="bullet"/>
      <w:lvlText w:val=""/>
      <w:lvlJc w:val="left"/>
      <w:pPr>
        <w:ind w:left="2554" w:hanging="360"/>
      </w:pPr>
      <w:rPr>
        <w:rFonts w:ascii="Symbol" w:hAnsi="Symbol" w:hint="default"/>
      </w:rPr>
    </w:lvl>
    <w:lvl w:ilvl="4" w:tplc="140A0003" w:tentative="1">
      <w:start w:val="1"/>
      <w:numFmt w:val="bullet"/>
      <w:lvlText w:val="o"/>
      <w:lvlJc w:val="left"/>
      <w:pPr>
        <w:ind w:left="3274" w:hanging="360"/>
      </w:pPr>
      <w:rPr>
        <w:rFonts w:ascii="Courier New" w:hAnsi="Courier New" w:cs="Courier New" w:hint="default"/>
      </w:rPr>
    </w:lvl>
    <w:lvl w:ilvl="5" w:tplc="140A0005" w:tentative="1">
      <w:start w:val="1"/>
      <w:numFmt w:val="bullet"/>
      <w:lvlText w:val=""/>
      <w:lvlJc w:val="left"/>
      <w:pPr>
        <w:ind w:left="3994" w:hanging="360"/>
      </w:pPr>
      <w:rPr>
        <w:rFonts w:ascii="Wingdings" w:hAnsi="Wingdings" w:hint="default"/>
      </w:rPr>
    </w:lvl>
    <w:lvl w:ilvl="6" w:tplc="140A0001" w:tentative="1">
      <w:start w:val="1"/>
      <w:numFmt w:val="bullet"/>
      <w:lvlText w:val=""/>
      <w:lvlJc w:val="left"/>
      <w:pPr>
        <w:ind w:left="4714" w:hanging="360"/>
      </w:pPr>
      <w:rPr>
        <w:rFonts w:ascii="Symbol" w:hAnsi="Symbol" w:hint="default"/>
      </w:rPr>
    </w:lvl>
    <w:lvl w:ilvl="7" w:tplc="140A0003" w:tentative="1">
      <w:start w:val="1"/>
      <w:numFmt w:val="bullet"/>
      <w:lvlText w:val="o"/>
      <w:lvlJc w:val="left"/>
      <w:pPr>
        <w:ind w:left="5434" w:hanging="360"/>
      </w:pPr>
      <w:rPr>
        <w:rFonts w:ascii="Courier New" w:hAnsi="Courier New" w:cs="Courier New" w:hint="default"/>
      </w:rPr>
    </w:lvl>
    <w:lvl w:ilvl="8" w:tplc="140A0005" w:tentative="1">
      <w:start w:val="1"/>
      <w:numFmt w:val="bullet"/>
      <w:lvlText w:val=""/>
      <w:lvlJc w:val="left"/>
      <w:pPr>
        <w:ind w:left="6154" w:hanging="360"/>
      </w:pPr>
      <w:rPr>
        <w:rFonts w:ascii="Wingdings" w:hAnsi="Wingdings" w:hint="default"/>
      </w:rPr>
    </w:lvl>
  </w:abstractNum>
  <w:abstractNum w:abstractNumId="1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15:restartNumberingAfterBreak="0">
    <w:nsid w:val="3179262E"/>
    <w:multiLevelType w:val="hybridMultilevel"/>
    <w:tmpl w:val="CD4C8E9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4BA25064"/>
    <w:multiLevelType w:val="hybridMultilevel"/>
    <w:tmpl w:val="3DB471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4"/>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FF"/>
    <w:rsid w:val="000064A4"/>
    <w:rsid w:val="000235B5"/>
    <w:rsid w:val="00026C85"/>
    <w:rsid w:val="00041BDD"/>
    <w:rsid w:val="000439A6"/>
    <w:rsid w:val="00060C03"/>
    <w:rsid w:val="000646DD"/>
    <w:rsid w:val="00081865"/>
    <w:rsid w:val="00082968"/>
    <w:rsid w:val="000C62BB"/>
    <w:rsid w:val="000E0AC6"/>
    <w:rsid w:val="000E4880"/>
    <w:rsid w:val="000F34AE"/>
    <w:rsid w:val="00112EB8"/>
    <w:rsid w:val="00117501"/>
    <w:rsid w:val="00124BE0"/>
    <w:rsid w:val="001322B4"/>
    <w:rsid w:val="001327EB"/>
    <w:rsid w:val="0014377F"/>
    <w:rsid w:val="00145753"/>
    <w:rsid w:val="0016220C"/>
    <w:rsid w:val="001653C6"/>
    <w:rsid w:val="001946F4"/>
    <w:rsid w:val="001A1060"/>
    <w:rsid w:val="001A6574"/>
    <w:rsid w:val="001C075B"/>
    <w:rsid w:val="001C5806"/>
    <w:rsid w:val="001E0448"/>
    <w:rsid w:val="00230C67"/>
    <w:rsid w:val="002645B7"/>
    <w:rsid w:val="002A14D5"/>
    <w:rsid w:val="002C56A4"/>
    <w:rsid w:val="002E2B0A"/>
    <w:rsid w:val="002E3589"/>
    <w:rsid w:val="002E56D1"/>
    <w:rsid w:val="002E571B"/>
    <w:rsid w:val="002F08D5"/>
    <w:rsid w:val="00302018"/>
    <w:rsid w:val="00306003"/>
    <w:rsid w:val="003060E2"/>
    <w:rsid w:val="00310570"/>
    <w:rsid w:val="00317BBB"/>
    <w:rsid w:val="003228E9"/>
    <w:rsid w:val="00322A87"/>
    <w:rsid w:val="003267FB"/>
    <w:rsid w:val="003312B8"/>
    <w:rsid w:val="003503A2"/>
    <w:rsid w:val="003554C5"/>
    <w:rsid w:val="00361101"/>
    <w:rsid w:val="00365794"/>
    <w:rsid w:val="00373B22"/>
    <w:rsid w:val="00385CC2"/>
    <w:rsid w:val="003C4C71"/>
    <w:rsid w:val="003E4EDB"/>
    <w:rsid w:val="00410551"/>
    <w:rsid w:val="00414B77"/>
    <w:rsid w:val="00427002"/>
    <w:rsid w:val="00445881"/>
    <w:rsid w:val="00447A41"/>
    <w:rsid w:val="004737A2"/>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5E587B"/>
    <w:rsid w:val="006033C4"/>
    <w:rsid w:val="00603B3F"/>
    <w:rsid w:val="00604A3D"/>
    <w:rsid w:val="0060703F"/>
    <w:rsid w:val="00614D68"/>
    <w:rsid w:val="00620B23"/>
    <w:rsid w:val="0062633F"/>
    <w:rsid w:val="00630B5C"/>
    <w:rsid w:val="00634D61"/>
    <w:rsid w:val="00635AC4"/>
    <w:rsid w:val="00640202"/>
    <w:rsid w:val="00662901"/>
    <w:rsid w:val="0068065E"/>
    <w:rsid w:val="00681F7A"/>
    <w:rsid w:val="00692661"/>
    <w:rsid w:val="00694E5D"/>
    <w:rsid w:val="006B7DD9"/>
    <w:rsid w:val="006C2059"/>
    <w:rsid w:val="006E3610"/>
    <w:rsid w:val="006E6F58"/>
    <w:rsid w:val="0071134B"/>
    <w:rsid w:val="00714DC4"/>
    <w:rsid w:val="00730BFF"/>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310AB"/>
    <w:rsid w:val="00832753"/>
    <w:rsid w:val="00842773"/>
    <w:rsid w:val="0085692C"/>
    <w:rsid w:val="00864362"/>
    <w:rsid w:val="00872023"/>
    <w:rsid w:val="00887400"/>
    <w:rsid w:val="00892708"/>
    <w:rsid w:val="00893B0D"/>
    <w:rsid w:val="00895097"/>
    <w:rsid w:val="008A1AA2"/>
    <w:rsid w:val="008A63B7"/>
    <w:rsid w:val="008B3838"/>
    <w:rsid w:val="008C0BF0"/>
    <w:rsid w:val="008C756F"/>
    <w:rsid w:val="008D0528"/>
    <w:rsid w:val="008D3812"/>
    <w:rsid w:val="008E5850"/>
    <w:rsid w:val="008F1461"/>
    <w:rsid w:val="008F33F5"/>
    <w:rsid w:val="008F5261"/>
    <w:rsid w:val="00904CBE"/>
    <w:rsid w:val="00906CC5"/>
    <w:rsid w:val="00936085"/>
    <w:rsid w:val="009475B6"/>
    <w:rsid w:val="00962265"/>
    <w:rsid w:val="0097235C"/>
    <w:rsid w:val="00977CEE"/>
    <w:rsid w:val="00982147"/>
    <w:rsid w:val="00983CB1"/>
    <w:rsid w:val="00984A65"/>
    <w:rsid w:val="009908DE"/>
    <w:rsid w:val="009B5E5E"/>
    <w:rsid w:val="009C47FE"/>
    <w:rsid w:val="009C5B15"/>
    <w:rsid w:val="009E1B12"/>
    <w:rsid w:val="009F54CB"/>
    <w:rsid w:val="00A069AC"/>
    <w:rsid w:val="00A26E9E"/>
    <w:rsid w:val="00A34523"/>
    <w:rsid w:val="00A60EA3"/>
    <w:rsid w:val="00A70DF7"/>
    <w:rsid w:val="00A76A2E"/>
    <w:rsid w:val="00A776AC"/>
    <w:rsid w:val="00A84CDB"/>
    <w:rsid w:val="00A906DD"/>
    <w:rsid w:val="00AC5138"/>
    <w:rsid w:val="00AC5E12"/>
    <w:rsid w:val="00AD61FD"/>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BF6E09"/>
    <w:rsid w:val="00C039CE"/>
    <w:rsid w:val="00C1795E"/>
    <w:rsid w:val="00C22C6C"/>
    <w:rsid w:val="00C32553"/>
    <w:rsid w:val="00C4071A"/>
    <w:rsid w:val="00C414C9"/>
    <w:rsid w:val="00C42047"/>
    <w:rsid w:val="00C5093E"/>
    <w:rsid w:val="00C60480"/>
    <w:rsid w:val="00C64425"/>
    <w:rsid w:val="00C809BA"/>
    <w:rsid w:val="00C9305E"/>
    <w:rsid w:val="00C976E8"/>
    <w:rsid w:val="00CA3FA8"/>
    <w:rsid w:val="00CB07CA"/>
    <w:rsid w:val="00CC03EB"/>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95141"/>
    <w:rsid w:val="00D96D0A"/>
    <w:rsid w:val="00DB3508"/>
    <w:rsid w:val="00DB3E70"/>
    <w:rsid w:val="00DB7D64"/>
    <w:rsid w:val="00DC2193"/>
    <w:rsid w:val="00DC3B8E"/>
    <w:rsid w:val="00DE08C6"/>
    <w:rsid w:val="00E0013C"/>
    <w:rsid w:val="00E048BB"/>
    <w:rsid w:val="00E11252"/>
    <w:rsid w:val="00E13C47"/>
    <w:rsid w:val="00E5185D"/>
    <w:rsid w:val="00E60027"/>
    <w:rsid w:val="00E75AC8"/>
    <w:rsid w:val="00E82177"/>
    <w:rsid w:val="00EB0071"/>
    <w:rsid w:val="00EB4E27"/>
    <w:rsid w:val="00EB71D8"/>
    <w:rsid w:val="00EC2E48"/>
    <w:rsid w:val="00ED0FDD"/>
    <w:rsid w:val="00EE00D4"/>
    <w:rsid w:val="00EE0DFE"/>
    <w:rsid w:val="00EE3A47"/>
    <w:rsid w:val="00EF0C8B"/>
    <w:rsid w:val="00F10AFE"/>
    <w:rsid w:val="00F1102D"/>
    <w:rsid w:val="00F1297C"/>
    <w:rsid w:val="00F12A97"/>
    <w:rsid w:val="00F15A3D"/>
    <w:rsid w:val="00F349A6"/>
    <w:rsid w:val="00F6038D"/>
    <w:rsid w:val="00F654F5"/>
    <w:rsid w:val="00F731A3"/>
    <w:rsid w:val="00F8680D"/>
    <w:rsid w:val="00FA1E58"/>
    <w:rsid w:val="00FA54DF"/>
    <w:rsid w:val="00FB79EB"/>
    <w:rsid w:val="00FC1D6C"/>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C81DAA2"/>
  <w15:docId w15:val="{AA384C52-D1A4-4D93-A317-17DA1F15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NormalWeb">
    <w:name w:val="Normal (Web)"/>
    <w:basedOn w:val="Normal"/>
    <w:uiPriority w:val="99"/>
    <w:unhideWhenUsed/>
    <w:locked/>
    <w:rsid w:val="00730BFF"/>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locked/>
    <w:rsid w:val="0073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022070">
      <w:bodyDiv w:val="1"/>
      <w:marLeft w:val="0"/>
      <w:marRight w:val="0"/>
      <w:marTop w:val="0"/>
      <w:marBottom w:val="0"/>
      <w:divBdr>
        <w:top w:val="none" w:sz="0" w:space="0" w:color="auto"/>
        <w:left w:val="none" w:sz="0" w:space="0" w:color="auto"/>
        <w:bottom w:val="none" w:sz="0" w:space="0" w:color="auto"/>
        <w:right w:val="none" w:sz="0" w:space="0" w:color="auto"/>
      </w:divBdr>
    </w:div>
    <w:div w:id="18861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532B97D37C48BD9B65D4AE4D266E93"/>
        <w:category>
          <w:name w:val="General"/>
          <w:gallery w:val="placeholder"/>
        </w:category>
        <w:types>
          <w:type w:val="bbPlcHdr"/>
        </w:types>
        <w:behaviors>
          <w:behavior w:val="content"/>
        </w:behaviors>
        <w:guid w:val="{C0DCC7D3-C2B6-4569-953B-E0D9068CE7F3}"/>
      </w:docPartPr>
      <w:docPartBody>
        <w:p w:rsidR="00ED66A4" w:rsidRDefault="00ED66A4">
          <w:pPr>
            <w:pStyle w:val="46532B97D37C48BD9B65D4AE4D266E93"/>
          </w:pPr>
          <w:r w:rsidRPr="001E0779">
            <w:rPr>
              <w:rStyle w:val="Textodelmarcadordeposicin"/>
            </w:rPr>
            <w:t>Haga clic aquí para escribir texto.</w:t>
          </w:r>
        </w:p>
      </w:docPartBody>
    </w:docPart>
    <w:docPart>
      <w:docPartPr>
        <w:name w:val="0B6DB70AC9C54A5DA5078632A55A718F"/>
        <w:category>
          <w:name w:val="General"/>
          <w:gallery w:val="placeholder"/>
        </w:category>
        <w:types>
          <w:type w:val="bbPlcHdr"/>
        </w:types>
        <w:behaviors>
          <w:behavior w:val="content"/>
        </w:behaviors>
        <w:guid w:val="{61F5C848-C8C1-433C-910F-24E32ED47ECD}"/>
      </w:docPartPr>
      <w:docPartBody>
        <w:p w:rsidR="00ED66A4" w:rsidRDefault="00ED66A4">
          <w:pPr>
            <w:pStyle w:val="0B6DB70AC9C54A5DA5078632A55A718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A4"/>
    <w:rsid w:val="00ED66A4"/>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6532B97D37C48BD9B65D4AE4D266E93">
    <w:name w:val="46532B97D37C48BD9B65D4AE4D266E93"/>
  </w:style>
  <w:style w:type="paragraph" w:customStyle="1" w:styleId="0B6DB70AC9C54A5DA5078632A55A718F">
    <w:name w:val="0B6DB70AC9C54A5DA5078632A55A7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a72MarsbOWv/4EEDr1gKixqbeiiAITkgTqNEJowogMk=</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CH+W1oqNV4Ul9WjmSEq1O/R7KFfLAHoDMazjydgLy9k=</DigestValue>
    </Reference>
  </SignedInfo>
  <SignatureValue>broc72gVUCNJT0llGrczspHDweJFaeUUlLIsfN40+qZi/w/+Gw8PZPqc/qiADbHbrbyg3Tag59ng
I98d7DIUJyNPqkTjiZ6d9toB0zSIpgHW389WTD9yOeA5ldEAcvyHP/6wuLcBWo6NrckajzOYwfZW
wj3R/NkBKGncWq+rx2dtMl8j++uZUxcwk195k+dy9nagOJ0fmCvwwoRgyGiObYXyCQtrTrgzhxpT
Z/dbmtoS3zjjVgh2I04mtc/8dsCCIH3u7w5dUDOO3/kaucS9uSgzbBJkzEth4mER1CdPoyiW9z3q
g0W3pmXz9HeV4Sf4tCCV4n9iTAhNqxrWXr9Gjg==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22UdhOpWPC5sdKkm2zBgNNjpplZ9fJOw6uvaOR0gWvk=</DigestValue>
      </Reference>
      <Reference URI="/word/endnotes.xml?ContentType=application/vnd.openxmlformats-officedocument.wordprocessingml.endnotes+xml">
        <DigestMethod Algorithm="http://www.w3.org/2001/04/xmlenc#sha256"/>
        <DigestValue>FneOHsuvU1X4JqOiQTj03Kfa2kva4Lof86o65esSSJM=</DigestValue>
      </Reference>
      <Reference URI="/word/fontTable.xml?ContentType=application/vnd.openxmlformats-officedocument.wordprocessingml.fontTable+xml">
        <DigestMethod Algorithm="http://www.w3.org/2001/04/xmlenc#sha256"/>
        <DigestValue>/BAbiZ2Y1t1hsFG90Dvg9HyENdVs9KsIHEshdaO83+U=</DigestValue>
      </Reference>
      <Reference URI="/word/footer1.xml?ContentType=application/vnd.openxmlformats-officedocument.wordprocessingml.footer+xml">
        <DigestMethod Algorithm="http://www.w3.org/2001/04/xmlenc#sha256"/>
        <DigestValue>MUtXjXUkp+TatKHkhKzXgqm62jD6JWk0cweJ+LVAXhU=</DigestValue>
      </Reference>
      <Reference URI="/word/footer2.xml?ContentType=application/vnd.openxmlformats-officedocument.wordprocessingml.footer+xml">
        <DigestMethod Algorithm="http://www.w3.org/2001/04/xmlenc#sha256"/>
        <DigestValue>yuW42fhadoOK+D9sQ18HmYFArKylMqTJct7c21RRcQ4=</DigestValue>
      </Reference>
      <Reference URI="/word/footnotes.xml?ContentType=application/vnd.openxmlformats-officedocument.wordprocessingml.footnotes+xml">
        <DigestMethod Algorithm="http://www.w3.org/2001/04/xmlenc#sha256"/>
        <DigestValue>w7OSdf1nd2H2TnZ10+/wyhgwU5NCOr1t+lbKMD93uWQ=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Xxb4J2BfEzxLIHdGP6DREUnyNjnPI9uiWM9QyGculMQ=</DigestValue>
      </Reference>
      <Reference URI="/word/glossary/fontTable.xml?ContentType=application/vnd.openxmlformats-officedocument.wordprocessingml.fontTable+xml">
        <DigestMethod Algorithm="http://www.w3.org/2001/04/xmlenc#sha256"/>
        <DigestValue>PImBFjDcxYmufXS4zE6Jjsv1DrdINL/shz86vGogkh8=</DigestValue>
      </Reference>
      <Reference URI="/word/glossary/settings.xml?ContentType=application/vnd.openxmlformats-officedocument.wordprocessingml.settings+xml">
        <DigestMethod Algorithm="http://www.w3.org/2001/04/xmlenc#sha256"/>
        <DigestValue>XNonYkYdowTjBlonTOp8J1lKOS8iZEw34vGbbUYuJGs=</DigestValue>
      </Reference>
      <Reference URI="/word/glossary/styles.xml?ContentType=application/vnd.openxmlformats-officedocument.wordprocessingml.styles+xml">
        <DigestMethod Algorithm="http://www.w3.org/2001/04/xmlenc#sha256"/>
        <DigestValue>6u6SOWhwyTDVnqBl7tW4SD1AoNy6qjSiHpXUihDBtY0=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wlIyruihzKW1d7lTcWnZRSejumQQDxj5UiJU9Yqx+Kk=</DigestValue>
      </Reference>
      <Reference URI="/word/header2.xml?ContentType=application/vnd.openxmlformats-officedocument.wordprocessingml.header+xml">
        <DigestMethod Algorithm="http://www.w3.org/2001/04/xmlenc#sha256"/>
        <DigestValue>sbXbGsn1qnOW0Q7wnSta1QAnIueC41l3anBOO9tEUAo=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z7ncspc5uyHcC7FJqit4yE8sQjZeDqYrxxusK7ghHKs=</DigestValue>
      </Reference>
      <Reference URI="/word/settings.xml?ContentType=application/vnd.openxmlformats-officedocument.wordprocessingml.settings+xml">
        <DigestMethod Algorithm="http://www.w3.org/2001/04/xmlenc#sha256"/>
        <DigestValue>KTbAAOhGa7HwedvZThTEm5kDIel0sp6IMMP+XkSUOks=</DigestValue>
      </Reference>
      <Reference URI="/word/styles.xml?ContentType=application/vnd.openxmlformats-officedocument.wordprocessingml.styles+xml">
        <DigestMethod Algorithm="http://www.w3.org/2001/04/xmlenc#sha256"/>
        <DigestValue>DW7IseA5ev6qECN+jluD9fzkGsmJo4fORZKMhHkS2/s=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sAtpm5CQKLJh49FP1zuTllWUlb+6fwSbzfDmUh0i1ro=</DigestValue>
      </Reference>
    </Manifest>
    <SignatureProperties>
      <SignatureProperty Id="idSignatureTime" Target="#idPackageSignature">
        <mdssi:SignatureTime xmlns:mdssi="http://schemas.openxmlformats.org/package/2006/digital-signature">
          <mdssi:Format>YYYY-MM-DDThh:mm:ssTZD</mdssi:Format>
          <mdssi:Value>2018-06-21T22:07:10Z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2018-06-21T22:07:10Z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OtraEntidadExterna xmlns="b875e23b-67d9-4b2e-bdec-edacbf90b326">A todas las entidades indicadas en el oficio</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ESTADISTICAS Y PUBLICACIONES</DisplayName>
        <AccountId>705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A todas las entidades indicadas en el oficio.
Copiar a SALIENTE ESTADÍSTICAS y PUBLICACIONES</ObservacionesCorrespondencia>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Sistema de registro y actualización de roles</Subject1>
    <Entrante_x0020_relacionado xmlns="b875e23b-67d9-4b2e-bdec-edacbf90b326">
      <Url xsi:nil="true"/>
      <Description xsi:nil="true"/>
    </Entrante_x0020_relacionado>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F57F84DD-F411-4F45-98ED-10D83F9231A4}"/>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7F75E0E4-0BBF-49BF-B044-42F4080BC7A3}"/>
</file>

<file path=customXml/itemProps5.xml><?xml version="1.0" encoding="utf-8"?>
<ds:datastoreItem xmlns:ds="http://schemas.openxmlformats.org/officeDocument/2006/customXml" ds:itemID="{1D41BCA2-FD67-464B-98B9-46F230881E2E}"/>
</file>

<file path=customXml/itemProps6.xml><?xml version="1.0" encoding="utf-8"?>
<ds:datastoreItem xmlns:ds="http://schemas.openxmlformats.org/officeDocument/2006/customXml" ds:itemID="{E1A297BE-799D-44E2-9109-8BE4AFAFB935}"/>
</file>

<file path=docProps/app.xml><?xml version="1.0" encoding="utf-8"?>
<Properties xmlns="http://schemas.openxmlformats.org/officeDocument/2006/extended-properties" xmlns:vt="http://schemas.openxmlformats.org/officeDocument/2006/docPropsVTypes">
  <Template>plantilla-SGF-13.dotm</Template>
  <TotalTime>119</TotalTime>
  <Pages>5</Pages>
  <Words>1384</Words>
  <Characters>7617</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SEQUEIRA EVELYN</dc:creator>
  <cp:lastModifiedBy>VARGAS LEAL MARIA GABRIELA</cp:lastModifiedBy>
  <cp:revision>22</cp:revision>
  <cp:lastPrinted>2015-07-30T22:36:00Z</cp:lastPrinted>
  <dcterms:created xsi:type="dcterms:W3CDTF">2018-06-18T21:10:00Z</dcterms:created>
  <dcterms:modified xsi:type="dcterms:W3CDTF">2018-06-21T19:28:00Z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23800</vt:r8>
  </property>
  <property fmtid="{D5CDD505-2E9C-101B-9397-08002B2CF9AE}" pid="13" name="WorkflowChangePath">
    <vt:lpwstr>d6c6aed4-e342-4faf-a234-cd9a4f593e49,5;cb1954ac-0595-4038-a807-eb26625a3b7c,13;cb1954ac-0595-4038-a807-eb26625a3b7c,13;</vt:lpwstr>
  </property>
</Properties>
</file>