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0EF70" w14:textId="77777777" w:rsidR="00B74A58" w:rsidRPr="00B74A58" w:rsidRDefault="00B74A58" w:rsidP="00B74A58">
      <w:pPr>
        <w:pStyle w:val="encabezado0"/>
        <w:spacing w:line="240" w:lineRule="auto"/>
        <w:jc w:val="center"/>
        <w:rPr>
          <w:b/>
          <w:sz w:val="28"/>
        </w:rPr>
      </w:pPr>
      <w:r w:rsidRPr="00B74A58">
        <w:rPr>
          <w:b/>
          <w:sz w:val="28"/>
        </w:rPr>
        <w:t>CIRCULAR EXTERNA</w:t>
      </w:r>
    </w:p>
    <w:p w14:paraId="147184C2" w14:textId="254CFD4D" w:rsidR="00AB580B" w:rsidRDefault="00C953BE" w:rsidP="00B74A58">
      <w:pPr>
        <w:tabs>
          <w:tab w:val="left" w:pos="2843"/>
        </w:tabs>
        <w:spacing w:line="240" w:lineRule="auto"/>
        <w:jc w:val="center"/>
        <w:rPr>
          <w:sz w:val="24"/>
        </w:rPr>
      </w:pPr>
      <w:sdt>
        <w:sdtPr>
          <w:rPr>
            <w:sz w:val="24"/>
          </w:rPr>
          <w:alias w:val="Consecutivo"/>
          <w:tag w:val="Consecutivo"/>
          <w:id w:val="2052717023"/>
          <w:placeholder>
            <w:docPart w:val="A1D9D4FBFBE2445CB8AF05DBBB632471"/>
          </w:placeholder>
          <w:text/>
        </w:sdtPr>
        <w:sdtEndPr/>
        <w:sdtContent>
          <w:r w:rsidR="00925E6E">
            <w:t>SGF-1667-2019</w:t>
          </w:r>
        </w:sdtContent>
      </w:sdt>
      <w:r w:rsidR="00B74A58">
        <w:rPr>
          <w:sz w:val="24"/>
        </w:rPr>
        <w:t xml:space="preserve"> - </w:t>
      </w:r>
      <w:sdt>
        <w:sdtPr>
          <w:rPr>
            <w:sz w:val="24"/>
          </w:rPr>
          <w:alias w:val="Confidencialidad"/>
          <w:tag w:val="Confidencialidad"/>
          <w:id w:val="1447896894"/>
          <w:placeholder>
            <w:docPart w:val="AA44EAB98DFD43A6A4AE64B84B60D502"/>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1D0BC4">
            <w:rPr>
              <w:sz w:val="24"/>
            </w:rPr>
            <w:t>SGF-PUBLICO</w:t>
          </w:r>
        </w:sdtContent>
      </w:sdt>
    </w:p>
    <w:p w14:paraId="2695CBCC" w14:textId="26E044F2" w:rsidR="00B74A58" w:rsidRPr="002E2B0A" w:rsidRDefault="00C953BE" w:rsidP="00B74A58">
      <w:pPr>
        <w:pStyle w:val="Texto0"/>
        <w:spacing w:before="0" w:after="0" w:line="240" w:lineRule="auto"/>
        <w:jc w:val="center"/>
        <w:rPr>
          <w:sz w:val="24"/>
        </w:rPr>
      </w:pPr>
      <w:r>
        <w:rPr>
          <w:sz w:val="24"/>
        </w:rPr>
        <w:t>6</w:t>
      </w:r>
      <w:bookmarkStart w:id="0" w:name="_GoBack"/>
      <w:bookmarkEnd w:id="0"/>
      <w:r w:rsidR="00B74A58">
        <w:rPr>
          <w:sz w:val="24"/>
        </w:rPr>
        <w:t xml:space="preserve"> de junio de 2019</w:t>
      </w:r>
    </w:p>
    <w:p w14:paraId="61FEB947" w14:textId="77777777" w:rsidR="003554C5" w:rsidRPr="002E2B0A" w:rsidRDefault="003554C5" w:rsidP="00D26EDE">
      <w:pPr>
        <w:tabs>
          <w:tab w:val="left" w:pos="2843"/>
        </w:tabs>
        <w:spacing w:line="240" w:lineRule="auto"/>
        <w:rPr>
          <w:sz w:val="24"/>
        </w:rPr>
      </w:pPr>
    </w:p>
    <w:p w14:paraId="76AFF86F" w14:textId="77777777" w:rsidR="008D08AE" w:rsidRDefault="008D08AE" w:rsidP="008D08AE">
      <w:pPr>
        <w:widowControl w:val="0"/>
        <w:ind w:left="34" w:right="86"/>
        <w:outlineLvl w:val="0"/>
        <w:rPr>
          <w:b/>
          <w:sz w:val="24"/>
          <w:lang w:val="es-CR"/>
        </w:rPr>
      </w:pPr>
    </w:p>
    <w:p w14:paraId="7AF3B8A7" w14:textId="77777777" w:rsidR="008D08AE" w:rsidRPr="00877745" w:rsidRDefault="008D08AE" w:rsidP="008D08AE">
      <w:pPr>
        <w:widowControl w:val="0"/>
        <w:ind w:left="34" w:right="86"/>
        <w:outlineLvl w:val="0"/>
        <w:rPr>
          <w:b/>
          <w:sz w:val="24"/>
          <w:lang w:val="es-CR"/>
        </w:rPr>
      </w:pPr>
      <w:r w:rsidRPr="00877745">
        <w:rPr>
          <w:b/>
          <w:sz w:val="24"/>
          <w:lang w:val="es-CR"/>
        </w:rPr>
        <w:t xml:space="preserve">Dirigida a: </w:t>
      </w:r>
    </w:p>
    <w:p w14:paraId="72FFD19B" w14:textId="77777777" w:rsidR="008D08AE" w:rsidRPr="00877745" w:rsidRDefault="008D08AE" w:rsidP="008D08AE">
      <w:pPr>
        <w:widowControl w:val="0"/>
        <w:ind w:left="34" w:right="86"/>
        <w:outlineLvl w:val="0"/>
        <w:rPr>
          <w:b/>
          <w:sz w:val="24"/>
          <w:lang w:val="es-CR"/>
        </w:rPr>
      </w:pPr>
    </w:p>
    <w:p w14:paraId="5B1919B9" w14:textId="77777777" w:rsidR="008D08AE" w:rsidRPr="00877745" w:rsidRDefault="008D08AE" w:rsidP="008D08AE">
      <w:pPr>
        <w:widowControl w:val="0"/>
        <w:numPr>
          <w:ilvl w:val="0"/>
          <w:numId w:val="19"/>
        </w:numPr>
        <w:spacing w:after="200" w:line="240" w:lineRule="auto"/>
        <w:ind w:left="567" w:right="86" w:hanging="567"/>
        <w:contextualSpacing/>
        <w:rPr>
          <w:b/>
          <w:sz w:val="24"/>
          <w:lang w:val="es-CR"/>
        </w:rPr>
      </w:pPr>
      <w:r w:rsidRPr="00877745">
        <w:rPr>
          <w:b/>
          <w:sz w:val="24"/>
          <w:lang w:val="es-CR"/>
        </w:rPr>
        <w:t>Bancos Comerciales del Estado</w:t>
      </w:r>
    </w:p>
    <w:p w14:paraId="6CFCB621" w14:textId="77777777" w:rsidR="008D08AE" w:rsidRPr="00877745" w:rsidRDefault="008D08AE" w:rsidP="008D08AE">
      <w:pPr>
        <w:widowControl w:val="0"/>
        <w:numPr>
          <w:ilvl w:val="0"/>
          <w:numId w:val="19"/>
        </w:numPr>
        <w:spacing w:after="200" w:line="240" w:lineRule="auto"/>
        <w:ind w:left="567" w:right="86" w:hanging="567"/>
        <w:contextualSpacing/>
        <w:rPr>
          <w:b/>
          <w:sz w:val="24"/>
          <w:lang w:val="es-CR"/>
        </w:rPr>
      </w:pPr>
      <w:r w:rsidRPr="00877745">
        <w:rPr>
          <w:b/>
          <w:sz w:val="24"/>
          <w:lang w:val="es-CR"/>
        </w:rPr>
        <w:t>Bancos Creados por Leyes Especiales</w:t>
      </w:r>
    </w:p>
    <w:p w14:paraId="35E40DB8" w14:textId="77777777" w:rsidR="008D08AE" w:rsidRPr="00877745" w:rsidRDefault="008D08AE" w:rsidP="008D08AE">
      <w:pPr>
        <w:widowControl w:val="0"/>
        <w:numPr>
          <w:ilvl w:val="0"/>
          <w:numId w:val="19"/>
        </w:numPr>
        <w:spacing w:after="200" w:line="240" w:lineRule="auto"/>
        <w:ind w:left="567" w:right="86" w:hanging="567"/>
        <w:contextualSpacing/>
        <w:rPr>
          <w:b/>
          <w:sz w:val="24"/>
          <w:lang w:val="es-CR"/>
        </w:rPr>
      </w:pPr>
      <w:r w:rsidRPr="00877745">
        <w:rPr>
          <w:b/>
          <w:sz w:val="24"/>
          <w:lang w:val="es-CR"/>
        </w:rPr>
        <w:t>Bancos Privados</w:t>
      </w:r>
    </w:p>
    <w:p w14:paraId="08EF1DE5" w14:textId="77777777" w:rsidR="008D08AE" w:rsidRPr="00877745" w:rsidRDefault="008D08AE" w:rsidP="008D08AE">
      <w:pPr>
        <w:widowControl w:val="0"/>
        <w:numPr>
          <w:ilvl w:val="0"/>
          <w:numId w:val="19"/>
        </w:numPr>
        <w:spacing w:after="200" w:line="240" w:lineRule="auto"/>
        <w:ind w:left="567" w:right="86" w:hanging="567"/>
        <w:contextualSpacing/>
        <w:rPr>
          <w:b/>
          <w:sz w:val="24"/>
          <w:lang w:val="es-CR"/>
        </w:rPr>
      </w:pPr>
      <w:r w:rsidRPr="00877745">
        <w:rPr>
          <w:b/>
          <w:sz w:val="24"/>
          <w:lang w:val="es-CR"/>
        </w:rPr>
        <w:t>Empresas Financieras no Bancarias</w:t>
      </w:r>
    </w:p>
    <w:p w14:paraId="585A89B2" w14:textId="77777777" w:rsidR="008D08AE" w:rsidRPr="00877745" w:rsidRDefault="008D08AE" w:rsidP="008D08AE">
      <w:pPr>
        <w:widowControl w:val="0"/>
        <w:numPr>
          <w:ilvl w:val="0"/>
          <w:numId w:val="19"/>
        </w:numPr>
        <w:spacing w:after="200" w:line="240" w:lineRule="auto"/>
        <w:ind w:left="567" w:right="86" w:hanging="567"/>
        <w:contextualSpacing/>
        <w:rPr>
          <w:b/>
          <w:sz w:val="24"/>
          <w:lang w:val="es-CR"/>
        </w:rPr>
      </w:pPr>
      <w:r w:rsidRPr="00877745">
        <w:rPr>
          <w:b/>
          <w:sz w:val="24"/>
          <w:lang w:val="es-CR"/>
        </w:rPr>
        <w:t>Organizaciones Cooperativas de Ahorro y Crédito</w:t>
      </w:r>
    </w:p>
    <w:p w14:paraId="246151A6" w14:textId="10479768" w:rsidR="008D08AE" w:rsidRPr="00877745" w:rsidRDefault="008D08AE" w:rsidP="008D08AE">
      <w:pPr>
        <w:widowControl w:val="0"/>
        <w:numPr>
          <w:ilvl w:val="0"/>
          <w:numId w:val="19"/>
        </w:numPr>
        <w:spacing w:after="200" w:line="240" w:lineRule="auto"/>
        <w:ind w:left="567" w:right="86" w:hanging="567"/>
        <w:contextualSpacing/>
        <w:rPr>
          <w:b/>
          <w:sz w:val="24"/>
          <w:lang w:val="es-CR"/>
        </w:rPr>
      </w:pPr>
      <w:r w:rsidRPr="00877745">
        <w:rPr>
          <w:b/>
          <w:sz w:val="24"/>
          <w:lang w:val="es-CR"/>
        </w:rPr>
        <w:t>Entidades Au</w:t>
      </w:r>
      <w:r w:rsidR="00651ED5">
        <w:rPr>
          <w:b/>
          <w:sz w:val="24"/>
          <w:lang w:val="es-CR"/>
        </w:rPr>
        <w:t>torizadas del Sistema Financiero</w:t>
      </w:r>
      <w:r w:rsidRPr="00877745">
        <w:rPr>
          <w:b/>
          <w:sz w:val="24"/>
          <w:lang w:val="es-CR"/>
        </w:rPr>
        <w:t xml:space="preserve"> Nacional para la Vivienda</w:t>
      </w:r>
    </w:p>
    <w:p w14:paraId="44861AEE" w14:textId="45ACDD2B" w:rsidR="008D08AE" w:rsidRPr="00877745" w:rsidRDefault="008803C4" w:rsidP="008D08AE">
      <w:pPr>
        <w:widowControl w:val="0"/>
        <w:numPr>
          <w:ilvl w:val="0"/>
          <w:numId w:val="19"/>
        </w:numPr>
        <w:spacing w:after="200" w:line="240" w:lineRule="auto"/>
        <w:ind w:left="567" w:right="86" w:hanging="567"/>
        <w:contextualSpacing/>
        <w:rPr>
          <w:b/>
          <w:sz w:val="24"/>
          <w:lang w:val="es-CR"/>
        </w:rPr>
      </w:pPr>
      <w:r>
        <w:rPr>
          <w:b/>
          <w:sz w:val="24"/>
          <w:lang w:val="es-CR"/>
        </w:rPr>
        <w:t>Público en general</w:t>
      </w:r>
    </w:p>
    <w:p w14:paraId="67C3FD31" w14:textId="77777777" w:rsidR="008D08AE" w:rsidRDefault="008D08AE" w:rsidP="008D08AE">
      <w:pPr>
        <w:rPr>
          <w:rFonts w:asciiTheme="majorHAnsi" w:hAnsiTheme="majorHAnsi"/>
          <w:b/>
          <w:sz w:val="24"/>
          <w:lang w:val="es-CR"/>
        </w:rPr>
      </w:pPr>
    </w:p>
    <w:p w14:paraId="64D52DBF" w14:textId="77777777" w:rsidR="008D08AE" w:rsidRDefault="008D08AE" w:rsidP="008D08AE">
      <w:pPr>
        <w:rPr>
          <w:rFonts w:asciiTheme="majorHAnsi" w:hAnsiTheme="majorHAnsi"/>
          <w:b/>
          <w:sz w:val="24"/>
          <w:lang w:val="es-CR"/>
        </w:rPr>
      </w:pPr>
    </w:p>
    <w:p w14:paraId="0430BF61" w14:textId="37F66081" w:rsidR="00651ED5" w:rsidRDefault="008D08AE" w:rsidP="008D08AE">
      <w:pPr>
        <w:rPr>
          <w:color w:val="000000" w:themeColor="text1"/>
          <w:sz w:val="24"/>
          <w:lang w:val="es-CR"/>
        </w:rPr>
      </w:pPr>
      <w:r w:rsidRPr="00877745">
        <w:rPr>
          <w:b/>
          <w:color w:val="000000" w:themeColor="text1"/>
          <w:sz w:val="24"/>
          <w:lang w:val="es-CR"/>
        </w:rPr>
        <w:t>Asunto</w:t>
      </w:r>
      <w:r w:rsidR="00651ED5" w:rsidRPr="00877745">
        <w:rPr>
          <w:b/>
          <w:color w:val="000000" w:themeColor="text1"/>
          <w:sz w:val="24"/>
          <w:lang w:val="es-CR"/>
        </w:rPr>
        <w:t>:</w:t>
      </w:r>
      <w:r w:rsidR="00651ED5" w:rsidRPr="00877745">
        <w:rPr>
          <w:color w:val="000000" w:themeColor="text1"/>
          <w:sz w:val="24"/>
          <w:lang w:val="es-CR"/>
        </w:rPr>
        <w:t xml:space="preserve"> Ampliación</w:t>
      </w:r>
      <w:r w:rsidRPr="00877745">
        <w:rPr>
          <w:color w:val="000000" w:themeColor="text1"/>
          <w:sz w:val="24"/>
          <w:lang w:val="es-CR"/>
        </w:rPr>
        <w:t xml:space="preserve"> de</w:t>
      </w:r>
      <w:r w:rsidR="00651ED5">
        <w:rPr>
          <w:color w:val="000000" w:themeColor="text1"/>
          <w:sz w:val="24"/>
          <w:lang w:val="es-CR"/>
        </w:rPr>
        <w:t>l</w:t>
      </w:r>
      <w:r w:rsidRPr="00877745">
        <w:rPr>
          <w:color w:val="000000" w:themeColor="text1"/>
          <w:sz w:val="24"/>
          <w:lang w:val="es-CR"/>
        </w:rPr>
        <w:t xml:space="preserve"> plazo </w:t>
      </w:r>
      <w:r w:rsidR="00651ED5">
        <w:rPr>
          <w:color w:val="000000" w:themeColor="text1"/>
          <w:sz w:val="24"/>
          <w:lang w:val="es-CR"/>
        </w:rPr>
        <w:t>de</w:t>
      </w:r>
      <w:r w:rsidRPr="00877745">
        <w:rPr>
          <w:color w:val="000000" w:themeColor="text1"/>
          <w:sz w:val="24"/>
          <w:lang w:val="es-CR"/>
        </w:rPr>
        <w:t xml:space="preserve"> inscripción </w:t>
      </w:r>
      <w:r w:rsidR="00651ED5">
        <w:rPr>
          <w:color w:val="000000" w:themeColor="text1"/>
          <w:sz w:val="24"/>
          <w:lang w:val="es-CR"/>
        </w:rPr>
        <w:t xml:space="preserve">dispuesto en el Acuerdo SUGEF 11-18: </w:t>
      </w:r>
      <w:r w:rsidR="00651ED5" w:rsidRPr="00877745">
        <w:rPr>
          <w:color w:val="000000" w:themeColor="text1"/>
          <w:sz w:val="24"/>
          <w:lang w:val="es-CR"/>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00651ED5">
        <w:rPr>
          <w:color w:val="000000" w:themeColor="text1"/>
          <w:sz w:val="24"/>
          <w:lang w:val="es-CR"/>
        </w:rPr>
        <w:t>, para</w:t>
      </w:r>
      <w:r w:rsidRPr="00877745">
        <w:rPr>
          <w:color w:val="000000" w:themeColor="text1"/>
          <w:sz w:val="24"/>
          <w:lang w:val="es-CR"/>
        </w:rPr>
        <w:t xml:space="preserve"> </w:t>
      </w:r>
      <w:r w:rsidR="008803C4">
        <w:rPr>
          <w:color w:val="000000" w:themeColor="text1"/>
          <w:sz w:val="24"/>
          <w:lang w:val="es-CR"/>
        </w:rPr>
        <w:t xml:space="preserve">aquellos </w:t>
      </w:r>
      <w:r w:rsidRPr="00877745">
        <w:rPr>
          <w:color w:val="000000" w:themeColor="text1"/>
          <w:sz w:val="24"/>
          <w:lang w:val="es-CR"/>
        </w:rPr>
        <w:t xml:space="preserve">Sujetos Obligados </w:t>
      </w:r>
      <w:r w:rsidR="00651ED5">
        <w:rPr>
          <w:color w:val="000000" w:themeColor="text1"/>
          <w:sz w:val="24"/>
          <w:lang w:val="es-CR"/>
        </w:rPr>
        <w:t xml:space="preserve">que presentan </w:t>
      </w:r>
      <w:r w:rsidR="008803C4">
        <w:rPr>
          <w:color w:val="000000" w:themeColor="text1"/>
          <w:sz w:val="24"/>
          <w:lang w:val="es-CR"/>
        </w:rPr>
        <w:t xml:space="preserve">algunas </w:t>
      </w:r>
      <w:r w:rsidRPr="00877745">
        <w:rPr>
          <w:color w:val="000000" w:themeColor="text1"/>
          <w:sz w:val="24"/>
          <w:lang w:val="es-CR"/>
        </w:rPr>
        <w:t>condiciones especiales</w:t>
      </w:r>
      <w:r w:rsidRPr="001D0BC4">
        <w:rPr>
          <w:color w:val="000000" w:themeColor="text1"/>
          <w:sz w:val="24"/>
          <w:lang w:val="es-CR"/>
        </w:rPr>
        <w:t xml:space="preserve">, </w:t>
      </w:r>
      <w:r w:rsidR="008803C4" w:rsidRPr="001D0BC4">
        <w:rPr>
          <w:color w:val="000000" w:themeColor="text1"/>
          <w:sz w:val="24"/>
          <w:lang w:val="es-CR"/>
        </w:rPr>
        <w:t>por las que</w:t>
      </w:r>
      <w:r w:rsidR="00651ED5" w:rsidRPr="001D0BC4">
        <w:rPr>
          <w:color w:val="000000" w:themeColor="text1"/>
          <w:sz w:val="24"/>
          <w:lang w:val="es-CR"/>
        </w:rPr>
        <w:t xml:space="preserve"> requieren otorgar un poder legal para que el apo</w:t>
      </w:r>
      <w:r w:rsidR="008803C4" w:rsidRPr="001D0BC4">
        <w:rPr>
          <w:color w:val="000000" w:themeColor="text1"/>
          <w:sz w:val="24"/>
          <w:lang w:val="es-CR"/>
        </w:rPr>
        <w:t>derado pueda realizar el proceso de inscripción por parte del poderdante</w:t>
      </w:r>
      <w:r w:rsidR="00651ED5" w:rsidRPr="001D0BC4">
        <w:rPr>
          <w:color w:val="000000" w:themeColor="text1"/>
          <w:sz w:val="24"/>
          <w:lang w:val="es-CR"/>
        </w:rPr>
        <w:t>.</w:t>
      </w:r>
    </w:p>
    <w:p w14:paraId="48AECFB1" w14:textId="434D96D7" w:rsidR="00651ED5" w:rsidRDefault="00651ED5" w:rsidP="008D08AE">
      <w:pPr>
        <w:rPr>
          <w:rFonts w:asciiTheme="majorHAnsi" w:hAnsiTheme="majorHAnsi"/>
          <w:color w:val="FF0000"/>
          <w:sz w:val="24"/>
          <w:lang w:val="es-CR"/>
        </w:rPr>
      </w:pPr>
    </w:p>
    <w:p w14:paraId="43C3A2E9" w14:textId="77777777" w:rsidR="00651ED5" w:rsidRPr="00651ED5" w:rsidRDefault="00651ED5" w:rsidP="008D08AE">
      <w:pPr>
        <w:rPr>
          <w:rFonts w:asciiTheme="majorHAnsi" w:hAnsiTheme="majorHAnsi"/>
          <w:color w:val="FF0000"/>
          <w:sz w:val="24"/>
          <w:lang w:val="es-CR"/>
        </w:rPr>
      </w:pPr>
    </w:p>
    <w:p w14:paraId="3956C482" w14:textId="77777777" w:rsidR="008D08AE" w:rsidRPr="002148AD" w:rsidRDefault="008D08AE" w:rsidP="008D08AE">
      <w:pPr>
        <w:contextualSpacing/>
        <w:rPr>
          <w:color w:val="000000" w:themeColor="text1"/>
          <w:sz w:val="24"/>
          <w:lang w:val="es-CR"/>
        </w:rPr>
      </w:pPr>
      <w:r w:rsidRPr="002148AD">
        <w:rPr>
          <w:color w:val="000000" w:themeColor="text1"/>
          <w:sz w:val="24"/>
          <w:lang w:val="es-CR"/>
        </w:rPr>
        <w:t>El Despacho del Superintendente de la Superintendencia General de Entidades Financieras (SUGEF), con fundamento en las atribuciones que le confiere el artículo 131 de la Ley Orgánica del Banco Central de Costa Rica, los artículos 1º, 14, 15 y 15 Bis de la Ley 7786 y sus reformas, comunica:</w:t>
      </w:r>
    </w:p>
    <w:p w14:paraId="50BD91AF" w14:textId="77777777" w:rsidR="008D08AE" w:rsidRPr="002148AD" w:rsidRDefault="008D08AE" w:rsidP="008D08AE">
      <w:pPr>
        <w:tabs>
          <w:tab w:val="left" w:pos="2843"/>
        </w:tabs>
        <w:contextualSpacing/>
        <w:rPr>
          <w:color w:val="FF0000"/>
          <w:sz w:val="24"/>
        </w:rPr>
      </w:pPr>
    </w:p>
    <w:p w14:paraId="4B2749A6" w14:textId="77777777" w:rsidR="008D08AE" w:rsidRPr="002148AD" w:rsidRDefault="008D08AE" w:rsidP="008D08AE">
      <w:pPr>
        <w:tabs>
          <w:tab w:val="left" w:pos="2843"/>
        </w:tabs>
        <w:contextualSpacing/>
        <w:rPr>
          <w:b/>
          <w:color w:val="000000" w:themeColor="text1"/>
          <w:sz w:val="24"/>
        </w:rPr>
      </w:pPr>
      <w:r w:rsidRPr="002148AD">
        <w:rPr>
          <w:b/>
          <w:color w:val="000000" w:themeColor="text1"/>
          <w:sz w:val="24"/>
        </w:rPr>
        <w:t>Considerando:</w:t>
      </w:r>
    </w:p>
    <w:p w14:paraId="3D413840" w14:textId="77777777" w:rsidR="008D08AE" w:rsidRPr="002148AD" w:rsidRDefault="008D08AE" w:rsidP="008D08AE">
      <w:pPr>
        <w:tabs>
          <w:tab w:val="left" w:pos="6990"/>
        </w:tabs>
        <w:contextualSpacing/>
        <w:rPr>
          <w:color w:val="FF0000"/>
          <w:sz w:val="24"/>
        </w:rPr>
      </w:pPr>
      <w:r w:rsidRPr="002148AD">
        <w:rPr>
          <w:color w:val="FF0000"/>
          <w:sz w:val="24"/>
        </w:rPr>
        <w:tab/>
      </w:r>
    </w:p>
    <w:p w14:paraId="0A17CC04" w14:textId="17FE3279" w:rsidR="008D08AE" w:rsidRPr="002148AD" w:rsidRDefault="008D08AE" w:rsidP="008D08AE">
      <w:pPr>
        <w:numPr>
          <w:ilvl w:val="0"/>
          <w:numId w:val="13"/>
        </w:numPr>
        <w:spacing w:line="240" w:lineRule="auto"/>
        <w:contextualSpacing/>
        <w:rPr>
          <w:color w:val="000000" w:themeColor="text1"/>
          <w:sz w:val="24"/>
        </w:rPr>
      </w:pPr>
      <w:r w:rsidRPr="002148AD">
        <w:rPr>
          <w:color w:val="000000" w:themeColor="text1"/>
          <w:sz w:val="24"/>
        </w:rPr>
        <w:t>Que la inscripción de los sujetos obligados por el artículo 15 y 15 bis de la Ley 7786 constituye una de las actividades fundamentales para la supervisión de este tipo de sujetos, por lo cual el Consejo Nacional de Supervisión del Sistema Financiero (CONASSIF), aprobó el Acuerdo SUGEF 11-18</w:t>
      </w:r>
      <w:r w:rsidRPr="002148AD">
        <w:rPr>
          <w:i/>
          <w:color w:val="000000" w:themeColor="text1"/>
          <w:sz w:val="24"/>
        </w:rPr>
        <w:t xml:space="preserve"> “Reglamento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2148AD">
        <w:rPr>
          <w:color w:val="000000" w:themeColor="text1"/>
          <w:sz w:val="24"/>
        </w:rPr>
        <w:t xml:space="preserve"> según el Artículo 9 de la Sesión 1450-2018, celebrada el 8 de octubre del 2018, y publicado en el Diario Oficial La Gaceta N° 213, Alcance N°196 del 16 de noviembre de 2018 y cuyas disp</w:t>
      </w:r>
      <w:r w:rsidR="00462880">
        <w:rPr>
          <w:color w:val="000000" w:themeColor="text1"/>
          <w:sz w:val="24"/>
        </w:rPr>
        <w:t xml:space="preserve">osiciones entraron a regir el 1º </w:t>
      </w:r>
      <w:r w:rsidRPr="002148AD">
        <w:rPr>
          <w:color w:val="000000" w:themeColor="text1"/>
          <w:sz w:val="24"/>
        </w:rPr>
        <w:t>de enero de 2019.</w:t>
      </w:r>
    </w:p>
    <w:p w14:paraId="4DFA63FC" w14:textId="77777777" w:rsidR="008D08AE" w:rsidRPr="002148AD" w:rsidRDefault="008D08AE" w:rsidP="008D08AE">
      <w:pPr>
        <w:ind w:left="360"/>
        <w:contextualSpacing/>
        <w:rPr>
          <w:color w:val="000000" w:themeColor="text1"/>
          <w:sz w:val="24"/>
        </w:rPr>
      </w:pPr>
    </w:p>
    <w:p w14:paraId="19DA8CAC" w14:textId="77777777" w:rsidR="008D08AE" w:rsidRPr="002148AD" w:rsidRDefault="008D08AE" w:rsidP="008D08AE">
      <w:pPr>
        <w:pStyle w:val="Prrafodelista"/>
        <w:numPr>
          <w:ilvl w:val="0"/>
          <w:numId w:val="13"/>
        </w:numPr>
        <w:contextualSpacing/>
        <w:jc w:val="both"/>
        <w:outlineLvl w:val="0"/>
        <w:rPr>
          <w:rFonts w:ascii="Cambria" w:hAnsi="Cambria"/>
          <w:b/>
          <w:color w:val="000000" w:themeColor="text1"/>
        </w:rPr>
      </w:pPr>
      <w:r w:rsidRPr="002148AD">
        <w:rPr>
          <w:rFonts w:ascii="Cambria" w:hAnsi="Cambria"/>
          <w:color w:val="000000" w:themeColor="text1"/>
        </w:rPr>
        <w:t>Que de acuerdo con lo dispuesto en el transitorio segundo de dicho Reglamento de Inscripción, los sujetos obligados cuentan con plazo hasta el 30 de junio de 2019 para inscribirse ante la SUGEF.</w:t>
      </w:r>
    </w:p>
    <w:p w14:paraId="705358F4" w14:textId="77777777" w:rsidR="008D08AE" w:rsidRPr="002148AD" w:rsidRDefault="008D08AE" w:rsidP="008D08AE">
      <w:pPr>
        <w:contextualSpacing/>
        <w:outlineLvl w:val="0"/>
        <w:rPr>
          <w:b/>
          <w:color w:val="000000" w:themeColor="text1"/>
          <w:sz w:val="24"/>
        </w:rPr>
      </w:pPr>
      <w:r w:rsidRPr="002148AD">
        <w:rPr>
          <w:b/>
          <w:color w:val="000000" w:themeColor="text1"/>
          <w:sz w:val="24"/>
        </w:rPr>
        <w:t xml:space="preserve"> </w:t>
      </w:r>
    </w:p>
    <w:p w14:paraId="48888ADE" w14:textId="7B3740A1" w:rsidR="008D08AE" w:rsidRPr="002148AD" w:rsidRDefault="00D86064" w:rsidP="008D08AE">
      <w:pPr>
        <w:pStyle w:val="Prrafodelista"/>
        <w:numPr>
          <w:ilvl w:val="0"/>
          <w:numId w:val="13"/>
        </w:numPr>
        <w:jc w:val="both"/>
        <w:rPr>
          <w:rFonts w:ascii="Cambria" w:hAnsi="Cambria"/>
          <w:b/>
          <w:color w:val="000000" w:themeColor="text1"/>
        </w:rPr>
      </w:pPr>
      <w:r>
        <w:rPr>
          <w:rFonts w:ascii="Cambria" w:hAnsi="Cambria"/>
          <w:color w:val="000000" w:themeColor="text1"/>
        </w:rPr>
        <w:t>P</w:t>
      </w:r>
      <w:r w:rsidR="008D08AE" w:rsidRPr="002148AD">
        <w:rPr>
          <w:rFonts w:ascii="Cambria" w:hAnsi="Cambria"/>
          <w:color w:val="000000" w:themeColor="text1"/>
        </w:rPr>
        <w:t>ara facilitar el proceso de inscripción, se desarrolló una herramienta automatizada accesible desde la página web de la SUGEF, con la que el sujeto obligado puede realizar el proceso de inscripción desde cualquier lugar, para lo cual requiere contar con el certificado de firma digital</w:t>
      </w:r>
      <w:r w:rsidR="008803C4">
        <w:rPr>
          <w:rFonts w:ascii="Cambria" w:hAnsi="Cambria"/>
          <w:color w:val="000000" w:themeColor="text1"/>
        </w:rPr>
        <w:t>.</w:t>
      </w:r>
    </w:p>
    <w:p w14:paraId="394434CD" w14:textId="77777777" w:rsidR="008D08AE" w:rsidRPr="002148AD" w:rsidRDefault="008D08AE" w:rsidP="008D08AE">
      <w:pPr>
        <w:rPr>
          <w:b/>
          <w:color w:val="FF0000"/>
          <w:sz w:val="24"/>
        </w:rPr>
      </w:pPr>
    </w:p>
    <w:p w14:paraId="08AA6143" w14:textId="77777777" w:rsidR="008D08AE" w:rsidRPr="002148AD" w:rsidRDefault="008D08AE" w:rsidP="008D08AE">
      <w:pPr>
        <w:pStyle w:val="Prrafodelista"/>
        <w:widowControl w:val="0"/>
        <w:numPr>
          <w:ilvl w:val="0"/>
          <w:numId w:val="13"/>
        </w:numPr>
        <w:contextualSpacing/>
        <w:jc w:val="both"/>
        <w:rPr>
          <w:rFonts w:ascii="Cambria" w:hAnsi="Cambria"/>
        </w:rPr>
      </w:pPr>
      <w:r w:rsidRPr="002148AD">
        <w:rPr>
          <w:rFonts w:ascii="Cambria" w:hAnsi="Cambria"/>
        </w:rPr>
        <w:t>Que de conformidad con la disposición establecida en el punto 5.5.3.1 de la Norma Complementaria de Firma Digital emitida por el Banco Central de Costa Rica, a los extranjeros no residentes no se les puede otorgar firma digital, por cuanto los únicos documentos válidos para obtenerla son: la Cédula de identidad para ciudadanos costarricenses, Documento de Identidad Migratorio para Extranjeros (DIMEX) para extranjeros residentes, y Documento de Identidad para Diplomáticos (DIDI).</w:t>
      </w:r>
    </w:p>
    <w:p w14:paraId="0B61F114" w14:textId="77777777" w:rsidR="008D08AE" w:rsidRPr="002148AD" w:rsidRDefault="008D08AE" w:rsidP="008D08AE">
      <w:pPr>
        <w:pStyle w:val="Prrafodelista"/>
        <w:ind w:left="360"/>
        <w:jc w:val="both"/>
        <w:rPr>
          <w:rFonts w:ascii="Cambria" w:hAnsi="Cambria"/>
          <w:b/>
          <w:color w:val="FF0000"/>
        </w:rPr>
      </w:pPr>
    </w:p>
    <w:p w14:paraId="476A4669" w14:textId="77777777" w:rsidR="008D08AE" w:rsidRPr="002148AD" w:rsidRDefault="008D08AE" w:rsidP="008D08AE">
      <w:pPr>
        <w:pStyle w:val="Prrafodelista"/>
        <w:widowControl w:val="0"/>
        <w:numPr>
          <w:ilvl w:val="0"/>
          <w:numId w:val="13"/>
        </w:numPr>
        <w:contextualSpacing/>
        <w:jc w:val="both"/>
        <w:rPr>
          <w:rFonts w:ascii="Cambria" w:hAnsi="Cambria"/>
        </w:rPr>
      </w:pPr>
      <w:r w:rsidRPr="002148AD">
        <w:rPr>
          <w:rFonts w:ascii="Cambria" w:hAnsi="Cambria"/>
        </w:rPr>
        <w:t>Que la herramienta automatizada para la inscripción de las personas jurídicas ante la SUGEF, consulta de previo los representantes legales del sujeto obligado en el servicio dispuesto en la Sección de Personas Jurídicas del Registro Nacional, no obstante, en tal servicio no es posible consultar los apoderados del sujeto obligado.</w:t>
      </w:r>
    </w:p>
    <w:p w14:paraId="531C022F" w14:textId="77777777" w:rsidR="008D08AE" w:rsidRPr="002148AD" w:rsidRDefault="008D08AE" w:rsidP="008D08AE">
      <w:pPr>
        <w:pStyle w:val="Prrafodelista"/>
        <w:rPr>
          <w:rFonts w:ascii="Cambria" w:hAnsi="Cambria"/>
        </w:rPr>
      </w:pPr>
    </w:p>
    <w:p w14:paraId="748CAF52" w14:textId="65CDA5AA" w:rsidR="008D08AE" w:rsidRPr="002148AD" w:rsidRDefault="008803C4" w:rsidP="008D08AE">
      <w:pPr>
        <w:pStyle w:val="Prrafodelista"/>
        <w:widowControl w:val="0"/>
        <w:numPr>
          <w:ilvl w:val="0"/>
          <w:numId w:val="13"/>
        </w:numPr>
        <w:contextualSpacing/>
        <w:jc w:val="both"/>
        <w:rPr>
          <w:rFonts w:ascii="Cambria" w:hAnsi="Cambria"/>
        </w:rPr>
      </w:pPr>
      <w:r>
        <w:rPr>
          <w:rFonts w:ascii="Cambria" w:hAnsi="Cambria"/>
        </w:rPr>
        <w:t>Qu</w:t>
      </w:r>
      <w:r w:rsidR="008D08AE" w:rsidRPr="002148AD">
        <w:rPr>
          <w:rFonts w:ascii="Cambria" w:hAnsi="Cambria"/>
        </w:rPr>
        <w:t xml:space="preserve">e </w:t>
      </w:r>
      <w:r>
        <w:rPr>
          <w:rFonts w:ascii="Cambria" w:hAnsi="Cambria"/>
        </w:rPr>
        <w:t>existen</w:t>
      </w:r>
      <w:r w:rsidR="008D08AE" w:rsidRPr="002148AD">
        <w:rPr>
          <w:rFonts w:ascii="Cambria" w:hAnsi="Cambria"/>
        </w:rPr>
        <w:t xml:space="preserve"> sujetos obligados con </w:t>
      </w:r>
      <w:r>
        <w:rPr>
          <w:rFonts w:ascii="Cambria" w:hAnsi="Cambria"/>
        </w:rPr>
        <w:t>condiciones</w:t>
      </w:r>
      <w:r w:rsidR="008D08AE" w:rsidRPr="002148AD">
        <w:rPr>
          <w:rFonts w:ascii="Cambria" w:hAnsi="Cambria"/>
        </w:rPr>
        <w:t xml:space="preserve"> que le</w:t>
      </w:r>
      <w:r>
        <w:rPr>
          <w:rFonts w:ascii="Cambria" w:hAnsi="Cambria"/>
        </w:rPr>
        <w:t>s</w:t>
      </w:r>
      <w:r w:rsidR="008D08AE" w:rsidRPr="002148AD">
        <w:rPr>
          <w:rFonts w:ascii="Cambria" w:hAnsi="Cambria"/>
        </w:rPr>
        <w:t xml:space="preserve"> imposibilitan obtener el certificado de firma digital, </w:t>
      </w:r>
      <w:r>
        <w:rPr>
          <w:rFonts w:ascii="Cambria" w:hAnsi="Cambria"/>
        </w:rPr>
        <w:t xml:space="preserve">tales como: </w:t>
      </w:r>
    </w:p>
    <w:p w14:paraId="542ECC5B" w14:textId="77777777" w:rsidR="008D08AE" w:rsidRPr="002148AD" w:rsidRDefault="008D08AE" w:rsidP="008D08AE">
      <w:pPr>
        <w:pStyle w:val="Prrafodelista"/>
        <w:rPr>
          <w:rFonts w:ascii="Cambria" w:hAnsi="Cambria"/>
          <w:highlight w:val="yellow"/>
        </w:rPr>
      </w:pPr>
    </w:p>
    <w:p w14:paraId="2262AABC" w14:textId="77777777" w:rsidR="008D08AE" w:rsidRPr="002148AD" w:rsidRDefault="008D08AE" w:rsidP="00E9253E">
      <w:pPr>
        <w:pStyle w:val="Prrafodelista"/>
        <w:widowControl w:val="0"/>
        <w:numPr>
          <w:ilvl w:val="1"/>
          <w:numId w:val="14"/>
        </w:numPr>
        <w:ind w:left="993" w:hanging="567"/>
        <w:contextualSpacing/>
        <w:jc w:val="both"/>
        <w:rPr>
          <w:rFonts w:ascii="Cambria" w:hAnsi="Cambria"/>
        </w:rPr>
      </w:pPr>
      <w:r w:rsidRPr="002148AD">
        <w:rPr>
          <w:rFonts w:ascii="Cambria" w:hAnsi="Cambria"/>
        </w:rPr>
        <w:t xml:space="preserve">Personas físicas extranjeras en condición migratoria de no residente. </w:t>
      </w:r>
    </w:p>
    <w:p w14:paraId="3E3CA273" w14:textId="77777777" w:rsidR="008D08AE" w:rsidRPr="002148AD" w:rsidRDefault="008D08AE" w:rsidP="00E9253E">
      <w:pPr>
        <w:pStyle w:val="Prrafodelista"/>
        <w:numPr>
          <w:ilvl w:val="1"/>
          <w:numId w:val="14"/>
        </w:numPr>
        <w:ind w:left="993" w:hanging="567"/>
        <w:contextualSpacing/>
        <w:jc w:val="both"/>
        <w:rPr>
          <w:rFonts w:ascii="Cambria" w:hAnsi="Cambria"/>
        </w:rPr>
      </w:pPr>
      <w:r w:rsidRPr="002148AD">
        <w:rPr>
          <w:rFonts w:ascii="Cambria" w:hAnsi="Cambria"/>
        </w:rPr>
        <w:t>Personas jurídicas cuyo representante legal sea una persona física extranjera en condición migratoria de no residente.</w:t>
      </w:r>
    </w:p>
    <w:p w14:paraId="3730D970" w14:textId="77777777" w:rsidR="008D08AE" w:rsidRPr="002148AD" w:rsidRDefault="008D08AE" w:rsidP="00E9253E">
      <w:pPr>
        <w:pStyle w:val="Prrafodelista"/>
        <w:numPr>
          <w:ilvl w:val="0"/>
          <w:numId w:val="15"/>
        </w:numPr>
        <w:ind w:left="993" w:hanging="567"/>
        <w:contextualSpacing/>
        <w:jc w:val="both"/>
        <w:rPr>
          <w:rFonts w:ascii="Cambria" w:hAnsi="Cambria"/>
        </w:rPr>
      </w:pPr>
      <w:r w:rsidRPr="002148AD">
        <w:rPr>
          <w:rFonts w:ascii="Cambria" w:hAnsi="Cambria"/>
        </w:rPr>
        <w:t xml:space="preserve">Personas físicas con alguna discapacidad para obtener el certificado de firma digital, según lo dispuesto en la ley 7600. </w:t>
      </w:r>
    </w:p>
    <w:p w14:paraId="68127859" w14:textId="77777777" w:rsidR="008D08AE" w:rsidRPr="002148AD" w:rsidRDefault="008D08AE" w:rsidP="00E9253E">
      <w:pPr>
        <w:pStyle w:val="Prrafodelista"/>
        <w:numPr>
          <w:ilvl w:val="0"/>
          <w:numId w:val="16"/>
        </w:numPr>
        <w:ind w:left="993" w:hanging="567"/>
        <w:contextualSpacing/>
        <w:jc w:val="both"/>
        <w:rPr>
          <w:rFonts w:ascii="Cambria" w:hAnsi="Cambria"/>
        </w:rPr>
      </w:pPr>
      <w:r w:rsidRPr="002148AD">
        <w:rPr>
          <w:rFonts w:ascii="Cambria" w:hAnsi="Cambria"/>
        </w:rPr>
        <w:t>Organizaciones sociales inscritas en el Departamento de Organizaciones Sociales del Ministerio de Trabajo y Seguridad Social.</w:t>
      </w:r>
    </w:p>
    <w:p w14:paraId="279FE64B" w14:textId="77777777" w:rsidR="008D08AE" w:rsidRPr="002148AD" w:rsidRDefault="008D08AE" w:rsidP="00E9253E">
      <w:pPr>
        <w:pStyle w:val="Prrafodelista"/>
        <w:numPr>
          <w:ilvl w:val="0"/>
          <w:numId w:val="17"/>
        </w:numPr>
        <w:ind w:left="993" w:hanging="567"/>
        <w:contextualSpacing/>
        <w:jc w:val="both"/>
        <w:rPr>
          <w:rFonts w:ascii="Cambria" w:hAnsi="Cambria"/>
        </w:rPr>
      </w:pPr>
      <w:r w:rsidRPr="002148AD">
        <w:rPr>
          <w:rFonts w:ascii="Cambria" w:hAnsi="Cambria"/>
        </w:rPr>
        <w:t>Cualquier otra persona jurídica cuya representación legal no consta en la Sección de Personas Jurídicas del Registro Nacional.</w:t>
      </w:r>
    </w:p>
    <w:p w14:paraId="3C529DAB" w14:textId="77777777" w:rsidR="008D08AE" w:rsidRDefault="008D08AE" w:rsidP="008D08AE">
      <w:pPr>
        <w:pStyle w:val="Prrafodelista"/>
        <w:ind w:left="360"/>
        <w:contextualSpacing/>
        <w:jc w:val="both"/>
        <w:outlineLvl w:val="0"/>
        <w:rPr>
          <w:rFonts w:ascii="Cambria" w:hAnsi="Cambria"/>
          <w:color w:val="FF0000"/>
        </w:rPr>
      </w:pPr>
    </w:p>
    <w:p w14:paraId="7473C0CE" w14:textId="77777777" w:rsidR="00E9253E" w:rsidRPr="002148AD" w:rsidRDefault="00E9253E" w:rsidP="008D08AE">
      <w:pPr>
        <w:pStyle w:val="Prrafodelista"/>
        <w:ind w:left="360"/>
        <w:contextualSpacing/>
        <w:jc w:val="both"/>
        <w:outlineLvl w:val="0"/>
        <w:rPr>
          <w:rFonts w:ascii="Cambria" w:hAnsi="Cambria"/>
          <w:color w:val="FF0000"/>
        </w:rPr>
      </w:pPr>
    </w:p>
    <w:p w14:paraId="48777B78" w14:textId="77777777" w:rsidR="008D08AE" w:rsidRPr="00E9253E" w:rsidRDefault="008D08AE" w:rsidP="008D08AE">
      <w:pPr>
        <w:pStyle w:val="Prrafodelista"/>
        <w:widowControl w:val="0"/>
        <w:numPr>
          <w:ilvl w:val="0"/>
          <w:numId w:val="13"/>
        </w:numPr>
        <w:contextualSpacing/>
        <w:jc w:val="both"/>
        <w:rPr>
          <w:rFonts w:ascii="Cambria" w:hAnsi="Cambria"/>
        </w:rPr>
      </w:pPr>
      <w:r w:rsidRPr="00E9253E">
        <w:rPr>
          <w:rFonts w:ascii="Cambria" w:hAnsi="Cambria"/>
        </w:rPr>
        <w:t xml:space="preserve">Que el Consejo Superior Notarial de la Dirección Nacional de Notariado en Sesión Ordinaria celebrada el 7 de febrero de 2019, mediante acuerdo en firme 2019-003-007 del Acta 2019-003 reformó parcialmente los Lineamientos para el Ejercicio y Control del Servicio Notarial, indicando que todos los Notarios públicos deben de contar con certificado de firma digital como medio de seguridad. </w:t>
      </w:r>
    </w:p>
    <w:p w14:paraId="2AC875F9" w14:textId="77777777" w:rsidR="008D08AE" w:rsidRPr="002148AD" w:rsidRDefault="008D08AE" w:rsidP="008D08AE">
      <w:pPr>
        <w:pStyle w:val="Prrafodelista"/>
        <w:widowControl w:val="0"/>
        <w:ind w:left="360"/>
        <w:contextualSpacing/>
        <w:jc w:val="both"/>
        <w:rPr>
          <w:rFonts w:ascii="Cambria" w:hAnsi="Cambria"/>
        </w:rPr>
      </w:pPr>
    </w:p>
    <w:p w14:paraId="4DC5A621" w14:textId="7F8A12D5" w:rsidR="008D08AE" w:rsidRDefault="008D08AE" w:rsidP="00487DFF">
      <w:pPr>
        <w:pStyle w:val="Prrafodelista"/>
        <w:widowControl w:val="0"/>
        <w:numPr>
          <w:ilvl w:val="0"/>
          <w:numId w:val="13"/>
        </w:numPr>
        <w:contextualSpacing/>
        <w:jc w:val="both"/>
        <w:rPr>
          <w:rFonts w:ascii="Cambria" w:hAnsi="Cambria"/>
        </w:rPr>
      </w:pPr>
      <w:r w:rsidRPr="002148AD">
        <w:rPr>
          <w:rFonts w:ascii="Cambria" w:hAnsi="Cambria"/>
        </w:rPr>
        <w:lastRenderedPageBreak/>
        <w:t xml:space="preserve">Que en virtud de las situaciones especiales indicadas en los incisos anteriores, </w:t>
      </w:r>
      <w:r w:rsidRPr="004A3826">
        <w:rPr>
          <w:rFonts w:ascii="Cambria" w:hAnsi="Cambria"/>
        </w:rPr>
        <w:t>se está desarrollando un módulo</w:t>
      </w:r>
      <w:r w:rsidRPr="002148AD">
        <w:rPr>
          <w:rFonts w:ascii="Cambria" w:hAnsi="Cambria"/>
        </w:rPr>
        <w:t xml:space="preserve"> de la herramienta tecnológica que permita al Notario público incorporar la información del poder otorgado por el sujeto obligado a favor de su apoderado en un “padrón de poderes”, para que posteriormente el apoderado pueda inscribir al sujeto obligado ante la SUGEF.</w:t>
      </w:r>
    </w:p>
    <w:p w14:paraId="233691F4" w14:textId="77777777" w:rsidR="00487DFF" w:rsidRPr="00487DFF" w:rsidRDefault="00487DFF" w:rsidP="00487DFF">
      <w:pPr>
        <w:widowControl w:val="0"/>
        <w:contextualSpacing/>
      </w:pPr>
    </w:p>
    <w:p w14:paraId="52F8BF1F" w14:textId="77777777" w:rsidR="008D08AE" w:rsidRPr="00867F8B" w:rsidRDefault="008D08AE" w:rsidP="008D08AE">
      <w:pPr>
        <w:pStyle w:val="Prrafodelista"/>
        <w:ind w:left="360"/>
        <w:jc w:val="both"/>
        <w:rPr>
          <w:rFonts w:ascii="Cambria" w:hAnsi="Cambria"/>
          <w:b/>
          <w:color w:val="000000" w:themeColor="text1"/>
        </w:rPr>
      </w:pPr>
    </w:p>
    <w:p w14:paraId="2BC8DF2E" w14:textId="4116057E" w:rsidR="008D08AE" w:rsidRPr="00867F8B" w:rsidRDefault="00E9253E" w:rsidP="004A3826">
      <w:pPr>
        <w:tabs>
          <w:tab w:val="left" w:pos="2843"/>
        </w:tabs>
        <w:contextualSpacing/>
        <w:rPr>
          <w:b/>
          <w:color w:val="000000" w:themeColor="text1"/>
          <w:sz w:val="24"/>
        </w:rPr>
      </w:pPr>
      <w:r>
        <w:rPr>
          <w:b/>
          <w:color w:val="000000" w:themeColor="text1"/>
          <w:sz w:val="24"/>
        </w:rPr>
        <w:t>Informa</w:t>
      </w:r>
      <w:r w:rsidR="008D08AE" w:rsidRPr="00867F8B">
        <w:rPr>
          <w:b/>
          <w:color w:val="000000" w:themeColor="text1"/>
          <w:sz w:val="24"/>
        </w:rPr>
        <w:t>:</w:t>
      </w:r>
    </w:p>
    <w:p w14:paraId="5426B629" w14:textId="77777777" w:rsidR="008D08AE" w:rsidRDefault="008D08AE" w:rsidP="008D08AE">
      <w:pPr>
        <w:contextualSpacing/>
        <w:rPr>
          <w:b/>
          <w:color w:val="FF0000"/>
          <w:sz w:val="24"/>
        </w:rPr>
      </w:pPr>
    </w:p>
    <w:p w14:paraId="38C128AA" w14:textId="1564BA30" w:rsidR="004A3826" w:rsidRDefault="00E9253E" w:rsidP="008D08AE">
      <w:pPr>
        <w:contextualSpacing/>
        <w:rPr>
          <w:color w:val="000000" w:themeColor="text1"/>
          <w:sz w:val="24"/>
        </w:rPr>
      </w:pPr>
      <w:r w:rsidRPr="00E9253E">
        <w:rPr>
          <w:sz w:val="24"/>
        </w:rPr>
        <w:t>Que e</w:t>
      </w:r>
      <w:r w:rsidRPr="00E9253E">
        <w:rPr>
          <w:color w:val="000000" w:themeColor="text1"/>
          <w:sz w:val="24"/>
        </w:rPr>
        <w:t>l Consejo Nacional de Supervisión del Sistema Financiero (CONASSIF), aprobó en el artículo 7</w:t>
      </w:r>
      <w:r w:rsidR="004A3826">
        <w:rPr>
          <w:color w:val="000000" w:themeColor="text1"/>
          <w:sz w:val="24"/>
        </w:rPr>
        <w:t>,</w:t>
      </w:r>
      <w:r w:rsidRPr="00E9253E">
        <w:rPr>
          <w:color w:val="000000" w:themeColor="text1"/>
          <w:sz w:val="24"/>
        </w:rPr>
        <w:t xml:space="preserve"> del acta de la sesión 1503-2019, </w:t>
      </w:r>
      <w:r w:rsidR="004A3826">
        <w:rPr>
          <w:color w:val="000000" w:themeColor="text1"/>
          <w:sz w:val="24"/>
        </w:rPr>
        <w:t>celebrada el 28 de mayo de 2019</w:t>
      </w:r>
      <w:r w:rsidR="00925E6E">
        <w:rPr>
          <w:color w:val="000000" w:themeColor="text1"/>
          <w:sz w:val="24"/>
        </w:rPr>
        <w:t xml:space="preserve"> lo siguiente</w:t>
      </w:r>
      <w:r w:rsidR="004A3826">
        <w:rPr>
          <w:color w:val="000000" w:themeColor="text1"/>
          <w:sz w:val="24"/>
        </w:rPr>
        <w:t>:</w:t>
      </w:r>
    </w:p>
    <w:p w14:paraId="0FAE3510" w14:textId="77777777" w:rsidR="004A3826" w:rsidRDefault="004A3826" w:rsidP="008D08AE">
      <w:pPr>
        <w:contextualSpacing/>
        <w:rPr>
          <w:color w:val="000000" w:themeColor="text1"/>
          <w:sz w:val="24"/>
        </w:rPr>
      </w:pPr>
    </w:p>
    <w:p w14:paraId="56DD92AD" w14:textId="77777777" w:rsidR="004A3826" w:rsidRPr="004A3826" w:rsidRDefault="004A3826" w:rsidP="004A3826">
      <w:pPr>
        <w:widowControl w:val="0"/>
        <w:ind w:left="426" w:hanging="426"/>
        <w:rPr>
          <w:sz w:val="24"/>
          <w:lang w:eastAsia="es-ES"/>
        </w:rPr>
      </w:pPr>
      <w:r w:rsidRPr="004A3826">
        <w:rPr>
          <w:sz w:val="24"/>
        </w:rPr>
        <w:t>1.</w:t>
      </w:r>
      <w:r w:rsidRPr="004A3826">
        <w:rPr>
          <w:sz w:val="24"/>
        </w:rPr>
        <w:tab/>
        <w:t xml:space="preserve">Incorporar un transitorio tercero al Acuerdo SUGEF 11-18, </w:t>
      </w:r>
      <w:r w:rsidRPr="004A3826">
        <w:rPr>
          <w:i/>
          <w:sz w:val="24"/>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4A3826">
        <w:rPr>
          <w:sz w:val="24"/>
        </w:rPr>
        <w:t xml:space="preserve"> de la siguiente forma: </w:t>
      </w:r>
    </w:p>
    <w:p w14:paraId="0D50C826" w14:textId="77777777" w:rsidR="004A3826" w:rsidRPr="004A3826" w:rsidRDefault="004A3826" w:rsidP="004A3826">
      <w:pPr>
        <w:pStyle w:val="Prrafodelista"/>
        <w:widowControl w:val="0"/>
        <w:ind w:left="570"/>
        <w:jc w:val="both"/>
        <w:rPr>
          <w:rFonts w:ascii="Cambria" w:hAnsi="Cambria"/>
        </w:rPr>
      </w:pPr>
    </w:p>
    <w:p w14:paraId="6F1B105A" w14:textId="77777777" w:rsidR="004A3826" w:rsidRPr="004A3826" w:rsidRDefault="004A3826" w:rsidP="004A3826">
      <w:pPr>
        <w:pStyle w:val="Prrafodelista"/>
        <w:widowControl w:val="0"/>
        <w:ind w:left="570"/>
        <w:jc w:val="both"/>
        <w:rPr>
          <w:rFonts w:ascii="Cambria" w:hAnsi="Cambria"/>
          <w:b/>
        </w:rPr>
      </w:pPr>
      <w:r w:rsidRPr="004A3826">
        <w:rPr>
          <w:rFonts w:ascii="Cambria" w:hAnsi="Cambria"/>
          <w:b/>
        </w:rPr>
        <w:t>“Transitorio Tercero:</w:t>
      </w:r>
    </w:p>
    <w:p w14:paraId="7C4F2F86" w14:textId="77777777" w:rsidR="004A3826" w:rsidRPr="004A3826" w:rsidRDefault="004A3826" w:rsidP="004A3826">
      <w:pPr>
        <w:pStyle w:val="Prrafodelista"/>
        <w:widowControl w:val="0"/>
        <w:ind w:left="570"/>
        <w:jc w:val="both"/>
        <w:rPr>
          <w:rFonts w:ascii="Cambria" w:hAnsi="Cambria"/>
        </w:rPr>
      </w:pPr>
    </w:p>
    <w:p w14:paraId="04DF1800" w14:textId="77777777" w:rsidR="004A3826" w:rsidRPr="004A3826" w:rsidRDefault="004A3826" w:rsidP="004A3826">
      <w:pPr>
        <w:pStyle w:val="Prrafodelista"/>
        <w:widowControl w:val="0"/>
        <w:ind w:left="570"/>
        <w:jc w:val="both"/>
        <w:rPr>
          <w:rFonts w:ascii="Cambria" w:hAnsi="Cambria"/>
        </w:rPr>
      </w:pPr>
      <w:r w:rsidRPr="004A3826">
        <w:rPr>
          <w:rFonts w:ascii="Cambria" w:hAnsi="Cambria"/>
        </w:rPr>
        <w:t xml:space="preserve">Los sujetos obligados que se encuentren en alguna de las siguientes condiciones especiales, podrán nombrar a un apoderado para realizar el proceso de inscripción ante SUGEF: </w:t>
      </w:r>
    </w:p>
    <w:p w14:paraId="7DA87643" w14:textId="77777777" w:rsidR="004A3826" w:rsidRPr="004A3826" w:rsidRDefault="004A3826" w:rsidP="004A3826">
      <w:pPr>
        <w:pStyle w:val="Prrafodelista"/>
        <w:widowControl w:val="0"/>
        <w:ind w:left="570"/>
        <w:jc w:val="both"/>
        <w:rPr>
          <w:rFonts w:ascii="Cambria" w:hAnsi="Cambria"/>
        </w:rPr>
      </w:pPr>
    </w:p>
    <w:p w14:paraId="42CDE65F" w14:textId="77777777" w:rsidR="004A3826" w:rsidRPr="004A3826" w:rsidRDefault="004A3826" w:rsidP="004A3826">
      <w:pPr>
        <w:widowControl w:val="0"/>
        <w:ind w:left="1134" w:hanging="567"/>
        <w:rPr>
          <w:sz w:val="24"/>
        </w:rPr>
      </w:pPr>
      <w:r w:rsidRPr="004A3826">
        <w:rPr>
          <w:sz w:val="24"/>
        </w:rPr>
        <w:t>a)</w:t>
      </w:r>
      <w:r w:rsidRPr="004A3826">
        <w:rPr>
          <w:sz w:val="24"/>
        </w:rPr>
        <w:tab/>
        <w:t xml:space="preserve">Personas físicas extranjeras en condición migratoria de no residente. </w:t>
      </w:r>
    </w:p>
    <w:p w14:paraId="700B9211" w14:textId="77777777" w:rsidR="004A3826" w:rsidRPr="004A3826" w:rsidRDefault="004A3826" w:rsidP="004A3826">
      <w:pPr>
        <w:widowControl w:val="0"/>
        <w:ind w:left="1134" w:hanging="567"/>
        <w:rPr>
          <w:sz w:val="24"/>
        </w:rPr>
      </w:pPr>
      <w:r w:rsidRPr="004A3826">
        <w:rPr>
          <w:sz w:val="24"/>
        </w:rPr>
        <w:t>b)</w:t>
      </w:r>
      <w:r w:rsidRPr="004A3826">
        <w:rPr>
          <w:sz w:val="24"/>
        </w:rPr>
        <w:tab/>
        <w:t>Personas jurídicas cuyo representante legal sea una persona física extranjera en condición migratoria de no residente.</w:t>
      </w:r>
    </w:p>
    <w:p w14:paraId="06EF81ED" w14:textId="77777777" w:rsidR="004A3826" w:rsidRPr="004A3826" w:rsidRDefault="004A3826" w:rsidP="004A3826">
      <w:pPr>
        <w:widowControl w:val="0"/>
        <w:ind w:left="1134" w:hanging="567"/>
        <w:rPr>
          <w:sz w:val="24"/>
        </w:rPr>
      </w:pPr>
      <w:r w:rsidRPr="004A3826">
        <w:rPr>
          <w:sz w:val="24"/>
        </w:rPr>
        <w:t>c)</w:t>
      </w:r>
      <w:r w:rsidRPr="004A3826">
        <w:rPr>
          <w:sz w:val="24"/>
        </w:rPr>
        <w:tab/>
        <w:t xml:space="preserve">Personas físicas con alguna discapacidad para obtener el certificado de firma digital, según lo dispuesto en la Ley 7600. </w:t>
      </w:r>
    </w:p>
    <w:p w14:paraId="2D581C5E" w14:textId="77777777" w:rsidR="004A3826" w:rsidRPr="004A3826" w:rsidRDefault="004A3826" w:rsidP="004A3826">
      <w:pPr>
        <w:widowControl w:val="0"/>
        <w:ind w:left="1134" w:hanging="567"/>
        <w:rPr>
          <w:sz w:val="24"/>
        </w:rPr>
      </w:pPr>
      <w:r w:rsidRPr="004A3826">
        <w:rPr>
          <w:sz w:val="24"/>
        </w:rPr>
        <w:t>d)</w:t>
      </w:r>
      <w:r w:rsidRPr="004A3826">
        <w:rPr>
          <w:sz w:val="24"/>
        </w:rPr>
        <w:tab/>
        <w:t>Organizaciones sociales inscritas en el Departamento de Organizaciones Sociales del Ministerio de Trabajo y Seguridad Social, así como cualquier otra persona jurídica cuya representación legal no consta en la Sección de Personas Jurídicas del Registro Nacional.</w:t>
      </w:r>
    </w:p>
    <w:p w14:paraId="28450FA0" w14:textId="77777777" w:rsidR="004A3826" w:rsidRDefault="004A3826" w:rsidP="004A3826">
      <w:pPr>
        <w:pStyle w:val="Prrafodelista"/>
        <w:widowControl w:val="0"/>
        <w:jc w:val="both"/>
        <w:rPr>
          <w:rFonts w:ascii="Cambria" w:hAnsi="Cambria"/>
        </w:rPr>
      </w:pPr>
    </w:p>
    <w:p w14:paraId="66D2DB5D" w14:textId="77777777" w:rsidR="00925E6E" w:rsidRPr="004A3826" w:rsidRDefault="00925E6E" w:rsidP="004A3826">
      <w:pPr>
        <w:pStyle w:val="Prrafodelista"/>
        <w:widowControl w:val="0"/>
        <w:jc w:val="both"/>
        <w:rPr>
          <w:rFonts w:ascii="Cambria" w:hAnsi="Cambria"/>
        </w:rPr>
      </w:pPr>
    </w:p>
    <w:p w14:paraId="7C753FEB" w14:textId="77777777" w:rsidR="004A3826" w:rsidRPr="004A3826" w:rsidRDefault="004A3826" w:rsidP="004A3826">
      <w:pPr>
        <w:pStyle w:val="Prrafodelista"/>
        <w:widowControl w:val="0"/>
        <w:ind w:left="709"/>
        <w:jc w:val="both"/>
        <w:rPr>
          <w:rFonts w:ascii="Cambria" w:hAnsi="Cambria"/>
        </w:rPr>
      </w:pPr>
      <w:r w:rsidRPr="004A3826">
        <w:rPr>
          <w:rFonts w:ascii="Cambria" w:hAnsi="Cambria"/>
        </w:rPr>
        <w:t>Los sujetos obligados en las condiciones especiales tendrán plazo hasta el 30 de setiembre de 2019 para tramitar su inscripción ante SUGEF.</w:t>
      </w:r>
    </w:p>
    <w:p w14:paraId="39220F8F" w14:textId="77777777" w:rsidR="004A3826" w:rsidRPr="004A3826" w:rsidRDefault="004A3826" w:rsidP="004A3826">
      <w:pPr>
        <w:pStyle w:val="Prrafodelista"/>
        <w:widowControl w:val="0"/>
        <w:ind w:left="709"/>
        <w:jc w:val="both"/>
        <w:rPr>
          <w:rFonts w:ascii="Cambria" w:hAnsi="Cambria"/>
        </w:rPr>
      </w:pPr>
    </w:p>
    <w:p w14:paraId="6ABBBE15" w14:textId="77777777" w:rsidR="004A3826" w:rsidRPr="004A3826" w:rsidRDefault="004A3826" w:rsidP="004A3826">
      <w:pPr>
        <w:widowControl w:val="0"/>
        <w:ind w:left="720"/>
        <w:rPr>
          <w:sz w:val="24"/>
        </w:rPr>
      </w:pPr>
      <w:r w:rsidRPr="004A3826">
        <w:rPr>
          <w:sz w:val="24"/>
        </w:rPr>
        <w:t xml:space="preserve">El sujeto obligado deberá conservar y poner a disposición del órgano supervisor, la certificación o testimonio notarial del poder. El poder debe cumplir con las formalidades que establece la Ley, entre ellas, el poder especial debe ser otorgado en escritura pública de conformidad con el artículo 1256 del </w:t>
      </w:r>
      <w:r w:rsidRPr="004A3826">
        <w:rPr>
          <w:i/>
          <w:sz w:val="24"/>
        </w:rPr>
        <w:t>Código Civil</w:t>
      </w:r>
      <w:r w:rsidRPr="004A3826">
        <w:rPr>
          <w:sz w:val="24"/>
        </w:rPr>
        <w:t>.</w:t>
      </w:r>
    </w:p>
    <w:p w14:paraId="3F78235D" w14:textId="77777777" w:rsidR="004A3826" w:rsidRPr="004A3826" w:rsidRDefault="004A3826" w:rsidP="004A3826">
      <w:pPr>
        <w:pStyle w:val="Prrafodelista"/>
        <w:widowControl w:val="0"/>
        <w:jc w:val="both"/>
        <w:rPr>
          <w:rFonts w:ascii="Cambria" w:hAnsi="Cambria"/>
        </w:rPr>
      </w:pPr>
    </w:p>
    <w:p w14:paraId="7EF18AA9" w14:textId="77777777" w:rsidR="004A3826" w:rsidRPr="004A3826" w:rsidRDefault="004A3826" w:rsidP="004A3826">
      <w:pPr>
        <w:widowControl w:val="0"/>
        <w:ind w:left="720"/>
        <w:rPr>
          <w:sz w:val="24"/>
        </w:rPr>
      </w:pPr>
      <w:r w:rsidRPr="004A3826">
        <w:rPr>
          <w:sz w:val="24"/>
        </w:rPr>
        <w:lastRenderedPageBreak/>
        <w:t>El Notario público deberá dar fe en la escritura pública de que el poderdante se encuentra en alguna o algunas de las situaciones especiales antes indicadas y especificar a cual situación corresponde. Asimismo, el Notario público deberá incorporar la información del poder en el Padrón de Poderes del sistema de inscripción (IPO).”</w:t>
      </w:r>
    </w:p>
    <w:p w14:paraId="13617A78" w14:textId="77777777" w:rsidR="004A3826" w:rsidRPr="004A3826" w:rsidRDefault="004A3826" w:rsidP="004A3826">
      <w:pPr>
        <w:widowControl w:val="0"/>
        <w:rPr>
          <w:sz w:val="24"/>
        </w:rPr>
      </w:pPr>
    </w:p>
    <w:p w14:paraId="1DA417DA" w14:textId="15884868" w:rsidR="004A3826" w:rsidRPr="004A3826" w:rsidRDefault="00925E6E" w:rsidP="004A3826">
      <w:pPr>
        <w:widowControl w:val="0"/>
        <w:rPr>
          <w:sz w:val="24"/>
        </w:rPr>
      </w:pPr>
      <w:r>
        <w:rPr>
          <w:sz w:val="24"/>
        </w:rPr>
        <w:t xml:space="preserve">Dicho Acuerdo regirá </w:t>
      </w:r>
      <w:r w:rsidR="004A3826" w:rsidRPr="004A3826">
        <w:rPr>
          <w:sz w:val="24"/>
        </w:rPr>
        <w:t>a partir de su publicación en el diario oficial La Gaceta.</w:t>
      </w:r>
    </w:p>
    <w:p w14:paraId="774111DB" w14:textId="77777777" w:rsidR="008D08AE" w:rsidRPr="00867F8B" w:rsidRDefault="008D08AE" w:rsidP="008D08AE">
      <w:pPr>
        <w:pStyle w:val="CentradoResaltado"/>
        <w:spacing w:before="0" w:after="0" w:line="240" w:lineRule="auto"/>
        <w:rPr>
          <w:color w:val="000000" w:themeColor="text1"/>
          <w:sz w:val="24"/>
        </w:rPr>
      </w:pPr>
    </w:p>
    <w:p w14:paraId="1656E8CF" w14:textId="26434061" w:rsidR="008D08AE" w:rsidRPr="00867F8B" w:rsidRDefault="008D08AE" w:rsidP="008D08AE">
      <w:pPr>
        <w:pStyle w:val="Texto0"/>
        <w:spacing w:before="0" w:after="0" w:line="240" w:lineRule="auto"/>
        <w:rPr>
          <w:color w:val="000000" w:themeColor="text1"/>
          <w:sz w:val="24"/>
        </w:rPr>
      </w:pPr>
      <w:r w:rsidRPr="00867F8B">
        <w:rPr>
          <w:color w:val="000000" w:themeColor="text1"/>
          <w:sz w:val="24"/>
        </w:rPr>
        <w:t>Atentamente,</w:t>
      </w:r>
    </w:p>
    <w:p w14:paraId="1F2E168E" w14:textId="7D09A2ED" w:rsidR="008D08AE" w:rsidRPr="00867F8B" w:rsidRDefault="00925E6E" w:rsidP="008D08AE">
      <w:pPr>
        <w:spacing w:line="240" w:lineRule="auto"/>
        <w:rPr>
          <w:color w:val="000000" w:themeColor="text1"/>
          <w:sz w:val="24"/>
        </w:rPr>
      </w:pPr>
      <w:r w:rsidRPr="00867F8B">
        <w:rPr>
          <w:noProof/>
          <w:color w:val="000000" w:themeColor="text1"/>
          <w:sz w:val="24"/>
          <w:lang w:val="es-CR" w:eastAsia="es-CR"/>
        </w:rPr>
        <w:drawing>
          <wp:anchor distT="0" distB="0" distL="114300" distR="114300" simplePos="0" relativeHeight="251659264" behindDoc="1" locked="0" layoutInCell="1" allowOverlap="1" wp14:anchorId="6B348CD9" wp14:editId="56328ED7">
            <wp:simplePos x="0" y="0"/>
            <wp:positionH relativeFrom="column">
              <wp:posOffset>-211455</wp:posOffset>
            </wp:positionH>
            <wp:positionV relativeFrom="paragraph">
              <wp:posOffset>73025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462418C2" w14:textId="7D589457" w:rsidR="008D08AE" w:rsidRPr="00867F8B" w:rsidRDefault="008D08AE" w:rsidP="008D08AE">
      <w:pPr>
        <w:spacing w:line="240" w:lineRule="auto"/>
        <w:rPr>
          <w:color w:val="000000" w:themeColor="text1"/>
          <w:sz w:val="24"/>
        </w:rPr>
      </w:pPr>
    </w:p>
    <w:p w14:paraId="48B9F221" w14:textId="77777777" w:rsidR="00925E6E" w:rsidRDefault="00925E6E" w:rsidP="008D08AE">
      <w:pPr>
        <w:jc w:val="left"/>
        <w:rPr>
          <w:color w:val="000000" w:themeColor="text1"/>
          <w:sz w:val="24"/>
        </w:rPr>
      </w:pPr>
    </w:p>
    <w:p w14:paraId="503CE230" w14:textId="77777777" w:rsidR="008D08AE" w:rsidRPr="00867F8B" w:rsidRDefault="008D08AE" w:rsidP="008D08AE">
      <w:pPr>
        <w:jc w:val="left"/>
        <w:rPr>
          <w:color w:val="000000" w:themeColor="text1"/>
          <w:sz w:val="24"/>
        </w:rPr>
      </w:pPr>
      <w:r w:rsidRPr="00867F8B">
        <w:rPr>
          <w:color w:val="000000" w:themeColor="text1"/>
          <w:sz w:val="24"/>
        </w:rPr>
        <w:t>Bernardo Alfaro A.</w:t>
      </w:r>
      <w:r w:rsidRPr="00867F8B">
        <w:rPr>
          <w:color w:val="000000" w:themeColor="text1"/>
          <w:sz w:val="24"/>
        </w:rPr>
        <w:br/>
      </w:r>
      <w:r w:rsidRPr="00867F8B">
        <w:rPr>
          <w:b/>
          <w:color w:val="000000" w:themeColor="text1"/>
          <w:sz w:val="24"/>
        </w:rPr>
        <w:t>Superintendente</w:t>
      </w:r>
    </w:p>
    <w:p w14:paraId="4ABE1EAF" w14:textId="2649153F" w:rsidR="008D08AE" w:rsidRPr="002148AD" w:rsidRDefault="008D08AE" w:rsidP="008D08AE">
      <w:pPr>
        <w:rPr>
          <w:color w:val="FF0000"/>
          <w:sz w:val="24"/>
        </w:rPr>
      </w:pPr>
    </w:p>
    <w:p w14:paraId="7AABF1D8" w14:textId="77777777" w:rsidR="00A26E9E" w:rsidRDefault="00A26E9E" w:rsidP="008D08AE">
      <w:pPr>
        <w:pStyle w:val="Texto0"/>
        <w:spacing w:before="0" w:after="0" w:line="240" w:lineRule="auto"/>
      </w:pPr>
    </w:p>
    <w:p w14:paraId="2F187A31" w14:textId="77777777" w:rsidR="004A3826" w:rsidRDefault="004A3826" w:rsidP="008D08AE">
      <w:pPr>
        <w:pStyle w:val="Texto0"/>
        <w:spacing w:before="0" w:after="0" w:line="240" w:lineRule="auto"/>
      </w:pPr>
    </w:p>
    <w:p w14:paraId="795F1DAF" w14:textId="359E3CAD" w:rsidR="004A3826" w:rsidRPr="004A3826" w:rsidRDefault="004A3826" w:rsidP="008D08AE">
      <w:pPr>
        <w:pStyle w:val="Texto0"/>
        <w:spacing w:before="0" w:after="0" w:line="240" w:lineRule="auto"/>
        <w:rPr>
          <w:sz w:val="16"/>
          <w:szCs w:val="16"/>
        </w:rPr>
      </w:pPr>
      <w:r w:rsidRPr="004A3826">
        <w:rPr>
          <w:sz w:val="16"/>
          <w:szCs w:val="16"/>
        </w:rPr>
        <w:t>BAA/RCA</w:t>
      </w:r>
    </w:p>
    <w:sectPr w:rsidR="004A3826" w:rsidRPr="004A3826"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06443" w14:textId="77777777" w:rsidR="008D08AE" w:rsidRDefault="008D08AE" w:rsidP="00D43D57">
      <w:r>
        <w:separator/>
      </w:r>
    </w:p>
  </w:endnote>
  <w:endnote w:type="continuationSeparator" w:id="0">
    <w:p w14:paraId="56B16BB9" w14:textId="77777777" w:rsidR="008D08AE" w:rsidRDefault="008D08AE"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ACA85"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0147AFBB" w14:textId="77777777" w:rsidTr="008F1461">
      <w:trPr>
        <w:trHeight w:val="546"/>
      </w:trPr>
      <w:tc>
        <w:tcPr>
          <w:tcW w:w="3189" w:type="dxa"/>
          <w:shd w:val="clear" w:color="auto" w:fill="FFFFFF"/>
          <w:vAlign w:val="center"/>
        </w:tcPr>
        <w:p w14:paraId="12080E49" w14:textId="77777777" w:rsidR="008F1461" w:rsidRDefault="008F1461" w:rsidP="000C62BB">
          <w:pPr>
            <w:pStyle w:val="Piepagina"/>
          </w:pPr>
          <w:r>
            <w:rPr>
              <w:b/>
              <w:bCs/>
            </w:rPr>
            <w:t>Teléfono</w:t>
          </w:r>
          <w:r>
            <w:t xml:space="preserve">   (506) 2243-4848</w:t>
          </w:r>
        </w:p>
        <w:p w14:paraId="5A18C250"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02E34EF5" w14:textId="77777777" w:rsidR="008F1461" w:rsidRDefault="008F1461" w:rsidP="000C62BB">
          <w:pPr>
            <w:pStyle w:val="Piepagina"/>
          </w:pPr>
          <w:r>
            <w:rPr>
              <w:b/>
              <w:bCs/>
            </w:rPr>
            <w:t>Apartado</w:t>
          </w:r>
          <w:r>
            <w:t xml:space="preserve"> 2762-1000</w:t>
          </w:r>
        </w:p>
        <w:p w14:paraId="6558C2F3" w14:textId="77777777" w:rsidR="008F1461" w:rsidRDefault="008F1461" w:rsidP="000C62BB">
          <w:pPr>
            <w:pStyle w:val="Piepagina"/>
          </w:pPr>
          <w:r>
            <w:t>San José, Costa Rica</w:t>
          </w:r>
        </w:p>
      </w:tc>
      <w:tc>
        <w:tcPr>
          <w:tcW w:w="2410" w:type="dxa"/>
          <w:shd w:val="clear" w:color="auto" w:fill="FFFFFF"/>
          <w:vAlign w:val="center"/>
        </w:tcPr>
        <w:p w14:paraId="193BDC18" w14:textId="77777777" w:rsidR="008F1461" w:rsidRDefault="008F1461" w:rsidP="000C62BB">
          <w:pPr>
            <w:pStyle w:val="Piepagina"/>
          </w:pPr>
          <w:r>
            <w:t>www.sugef.fi.cr</w:t>
          </w:r>
        </w:p>
        <w:p w14:paraId="287739D8" w14:textId="77777777" w:rsidR="008F1461" w:rsidRDefault="008F1461" w:rsidP="000C62BB">
          <w:pPr>
            <w:pStyle w:val="Piepagina"/>
          </w:pPr>
          <w:r>
            <w:t>sugefcr@sugef.fi.cr</w:t>
          </w:r>
        </w:p>
      </w:tc>
      <w:tc>
        <w:tcPr>
          <w:tcW w:w="260" w:type="dxa"/>
          <w:shd w:val="clear" w:color="auto" w:fill="FFFFFF"/>
        </w:tcPr>
        <w:p w14:paraId="00F2E4FF" w14:textId="77777777" w:rsidR="008F1461" w:rsidRDefault="008F1461" w:rsidP="000C62BB">
          <w:pPr>
            <w:pStyle w:val="Piepagina"/>
          </w:pPr>
          <w:r>
            <w:fldChar w:fldCharType="begin"/>
          </w:r>
          <w:r>
            <w:instrText>PAGE   \* MERGEFORMAT</w:instrText>
          </w:r>
          <w:r>
            <w:fldChar w:fldCharType="separate"/>
          </w:r>
          <w:r w:rsidR="00C953BE">
            <w:rPr>
              <w:noProof/>
            </w:rPr>
            <w:t>1</w:t>
          </w:r>
          <w:r>
            <w:fldChar w:fldCharType="end"/>
          </w:r>
        </w:p>
      </w:tc>
    </w:tr>
  </w:tbl>
  <w:p w14:paraId="362D490A" w14:textId="77777777" w:rsidR="00590F07" w:rsidRPr="000C62BB" w:rsidRDefault="00590F07">
    <w:pPr>
      <w:pStyle w:val="Piedepgina"/>
      <w:jc w:val="right"/>
      <w:rPr>
        <w:color w:val="969696"/>
        <w:sz w:val="20"/>
        <w:szCs w:val="20"/>
      </w:rPr>
    </w:pPr>
  </w:p>
  <w:p w14:paraId="0257DB24"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2B16B"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602C2A6F" wp14:editId="1964D851">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4CCB55CB" wp14:editId="2FA739B1">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D1930" w14:textId="77777777" w:rsidR="001C075B" w:rsidRPr="00FA54DF" w:rsidRDefault="001C075B">
                          <w:pPr>
                            <w:rPr>
                              <w:color w:val="003A68"/>
                              <w:sz w:val="14"/>
                              <w:szCs w:val="14"/>
                            </w:rPr>
                          </w:pPr>
                          <w:r w:rsidRPr="00FA54DF">
                            <w:rPr>
                              <w:color w:val="003A68"/>
                              <w:sz w:val="14"/>
                              <w:szCs w:val="14"/>
                            </w:rPr>
                            <w:t xml:space="preserve">T. (506) 2243-3631   </w:t>
                          </w:r>
                        </w:p>
                        <w:p w14:paraId="379C10C4" w14:textId="77777777" w:rsidR="001C075B" w:rsidRPr="00FA54DF" w:rsidRDefault="001C075B">
                          <w:pPr>
                            <w:rPr>
                              <w:color w:val="003A68"/>
                              <w:sz w:val="14"/>
                              <w:szCs w:val="14"/>
                            </w:rPr>
                          </w:pPr>
                          <w:r w:rsidRPr="00FA54DF">
                            <w:rPr>
                              <w:color w:val="003A68"/>
                              <w:sz w:val="14"/>
                              <w:szCs w:val="14"/>
                            </w:rPr>
                            <w:t xml:space="preserve">F. (506) 2243-4579   </w:t>
                          </w:r>
                        </w:p>
                        <w:p w14:paraId="793C103B" w14:textId="77777777" w:rsidR="001C075B" w:rsidRDefault="001C075B">
                          <w:pPr>
                            <w:rPr>
                              <w:color w:val="003A68"/>
                              <w:sz w:val="14"/>
                              <w:szCs w:val="14"/>
                            </w:rPr>
                          </w:pPr>
                          <w:r w:rsidRPr="00FA54DF">
                            <w:rPr>
                              <w:color w:val="003A68"/>
                              <w:sz w:val="14"/>
                              <w:szCs w:val="14"/>
                            </w:rPr>
                            <w:t>Apdo. 10058-1000</w:t>
                          </w:r>
                        </w:p>
                        <w:p w14:paraId="1047B042" w14:textId="77777777" w:rsidR="001C075B" w:rsidRDefault="001C075B">
                          <w:pPr>
                            <w:rPr>
                              <w:color w:val="003A68"/>
                              <w:sz w:val="14"/>
                              <w:szCs w:val="14"/>
                            </w:rPr>
                          </w:pPr>
                          <w:r w:rsidRPr="00FA54DF">
                            <w:rPr>
                              <w:color w:val="003A68"/>
                              <w:sz w:val="14"/>
                              <w:szCs w:val="14"/>
                            </w:rPr>
                            <w:t>Av. 1 y Central, Calles 2 y 4</w:t>
                          </w:r>
                        </w:p>
                        <w:p w14:paraId="29417B2A"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CCB55CB">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3D5D1930" w14:textId="77777777">
                    <w:pPr>
                      <w:rPr>
                        <w:color w:val="003A68"/>
                        <w:sz w:val="14"/>
                        <w:szCs w:val="14"/>
                      </w:rPr>
                    </w:pPr>
                    <w:r w:rsidRPr="00FA54DF">
                      <w:rPr>
                        <w:color w:val="003A68"/>
                        <w:sz w:val="14"/>
                        <w:szCs w:val="14"/>
                      </w:rPr>
                      <w:t xml:space="preserve">T. (506) 2243-3631   </w:t>
                    </w:r>
                  </w:p>
                  <w:p w:rsidRPr="00FA54DF" w:rsidR="001C075B" w:rsidRDefault="001C075B" w14:paraId="379C10C4" w14:textId="77777777">
                    <w:pPr>
                      <w:rPr>
                        <w:color w:val="003A68"/>
                        <w:sz w:val="14"/>
                        <w:szCs w:val="14"/>
                      </w:rPr>
                    </w:pPr>
                    <w:r w:rsidRPr="00FA54DF">
                      <w:rPr>
                        <w:color w:val="003A68"/>
                        <w:sz w:val="14"/>
                        <w:szCs w:val="14"/>
                      </w:rPr>
                      <w:t xml:space="preserve">F. (506) 2243-4579   </w:t>
                    </w:r>
                  </w:p>
                  <w:p w:rsidR="001C075B" w:rsidRDefault="001C075B" w14:paraId="793C103B" w14:textId="77777777">
                    <w:pPr>
                      <w:rPr>
                        <w:color w:val="003A68"/>
                        <w:sz w:val="14"/>
                        <w:szCs w:val="14"/>
                      </w:rPr>
                    </w:pPr>
                    <w:r w:rsidRPr="00FA54DF">
                      <w:rPr>
                        <w:color w:val="003A68"/>
                        <w:sz w:val="14"/>
                        <w:szCs w:val="14"/>
                      </w:rPr>
                      <w:t>Apdo. 10058-1000</w:t>
                    </w:r>
                  </w:p>
                  <w:p w:rsidR="001C075B" w:rsidRDefault="001C075B" w14:paraId="1047B042" w14:textId="77777777">
                    <w:pPr>
                      <w:rPr>
                        <w:color w:val="003A68"/>
                        <w:sz w:val="14"/>
                        <w:szCs w:val="14"/>
                      </w:rPr>
                    </w:pPr>
                    <w:r w:rsidRPr="00FA54DF">
                      <w:rPr>
                        <w:color w:val="003A68"/>
                        <w:sz w:val="14"/>
                        <w:szCs w:val="14"/>
                      </w:rPr>
                      <w:t>Av. 1 y Central, Calles 2 y 4</w:t>
                    </w:r>
                  </w:p>
                  <w:p w:rsidRPr="00FA54DF" w:rsidR="001C075B" w:rsidRDefault="001C075B" w14:paraId="29417B2A" w14:textId="77777777">
                    <w:pPr>
                      <w:rPr>
                        <w:color w:val="003A68"/>
                        <w:sz w:val="14"/>
                        <w:szCs w:val="14"/>
                      </w:rPr>
                    </w:pPr>
                  </w:p>
                </w:txbxContent>
              </v:textbox>
            </v:shape>
          </w:pict>
        </mc:Fallback>
      </mc:AlternateContent>
    </w:r>
  </w:p>
  <w:p w14:paraId="304D0EE5" w14:textId="77777777" w:rsidR="001C075B" w:rsidRPr="00D43D57" w:rsidRDefault="001C075B" w:rsidP="008C0BF0">
    <w:pPr>
      <w:pStyle w:val="Piepagina"/>
      <w:jc w:val="center"/>
    </w:pPr>
  </w:p>
  <w:p w14:paraId="17412370"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49270" w14:textId="77777777" w:rsidR="008D08AE" w:rsidRDefault="008D08AE" w:rsidP="00D43D57">
      <w:r>
        <w:separator/>
      </w:r>
    </w:p>
  </w:footnote>
  <w:footnote w:type="continuationSeparator" w:id="0">
    <w:p w14:paraId="5F24D028" w14:textId="77777777" w:rsidR="008D08AE" w:rsidRDefault="008D08AE"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F3AD7" w14:textId="77777777" w:rsidR="001C075B" w:rsidRDefault="001327EB" w:rsidP="001327EB">
    <w:pPr>
      <w:pStyle w:val="Piedepgina"/>
      <w:jc w:val="center"/>
    </w:pPr>
    <w:r>
      <w:rPr>
        <w:noProof/>
        <w:lang w:val="es-CR" w:eastAsia="es-CR"/>
      </w:rPr>
      <w:drawing>
        <wp:inline distT="0" distB="0" distL="0" distR="0" wp14:anchorId="281A00AA" wp14:editId="08984F7B">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A1E63"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562DCD5E" wp14:editId="362C6504">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375C7A88"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05688"/>
    <w:multiLevelType w:val="hybridMultilevel"/>
    <w:tmpl w:val="CEAE6EE4"/>
    <w:lvl w:ilvl="0" w:tplc="140A0001">
      <w:start w:val="1"/>
      <w:numFmt w:val="bullet"/>
      <w:lvlText w:val=""/>
      <w:lvlJc w:val="left"/>
      <w:pPr>
        <w:ind w:left="1068" w:hanging="360"/>
      </w:pPr>
      <w:rPr>
        <w:rFonts w:ascii="Symbol" w:hAnsi="Symbol"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16D063AE"/>
    <w:multiLevelType w:val="hybridMultilevel"/>
    <w:tmpl w:val="EF0095EE"/>
    <w:lvl w:ilvl="0" w:tplc="3EC6986C">
      <w:start w:val="100"/>
      <w:numFmt w:val="lowerRoman"/>
      <w:lvlText w:val="%1."/>
      <w:lvlJc w:val="left"/>
      <w:pPr>
        <w:ind w:left="1425" w:hanging="720"/>
      </w:pPr>
      <w:rPr>
        <w:rFonts w:hint="default"/>
      </w:rPr>
    </w:lvl>
    <w:lvl w:ilvl="1" w:tplc="140A0019" w:tentative="1">
      <w:start w:val="1"/>
      <w:numFmt w:val="lowerLetter"/>
      <w:lvlText w:val="%2."/>
      <w:lvlJc w:val="left"/>
      <w:pPr>
        <w:ind w:left="1785" w:hanging="360"/>
      </w:pPr>
    </w:lvl>
    <w:lvl w:ilvl="2" w:tplc="140A001B" w:tentative="1">
      <w:start w:val="1"/>
      <w:numFmt w:val="lowerRoman"/>
      <w:lvlText w:val="%3."/>
      <w:lvlJc w:val="right"/>
      <w:pPr>
        <w:ind w:left="2505" w:hanging="180"/>
      </w:pPr>
    </w:lvl>
    <w:lvl w:ilvl="3" w:tplc="140A000F" w:tentative="1">
      <w:start w:val="1"/>
      <w:numFmt w:val="decimal"/>
      <w:lvlText w:val="%4."/>
      <w:lvlJc w:val="left"/>
      <w:pPr>
        <w:ind w:left="3225" w:hanging="360"/>
      </w:pPr>
    </w:lvl>
    <w:lvl w:ilvl="4" w:tplc="140A0019" w:tentative="1">
      <w:start w:val="1"/>
      <w:numFmt w:val="lowerLetter"/>
      <w:lvlText w:val="%5."/>
      <w:lvlJc w:val="left"/>
      <w:pPr>
        <w:ind w:left="3945" w:hanging="360"/>
      </w:pPr>
    </w:lvl>
    <w:lvl w:ilvl="5" w:tplc="140A001B" w:tentative="1">
      <w:start w:val="1"/>
      <w:numFmt w:val="lowerRoman"/>
      <w:lvlText w:val="%6."/>
      <w:lvlJc w:val="right"/>
      <w:pPr>
        <w:ind w:left="4665" w:hanging="180"/>
      </w:pPr>
    </w:lvl>
    <w:lvl w:ilvl="6" w:tplc="140A000F" w:tentative="1">
      <w:start w:val="1"/>
      <w:numFmt w:val="decimal"/>
      <w:lvlText w:val="%7."/>
      <w:lvlJc w:val="left"/>
      <w:pPr>
        <w:ind w:left="5385" w:hanging="360"/>
      </w:pPr>
    </w:lvl>
    <w:lvl w:ilvl="7" w:tplc="140A0019" w:tentative="1">
      <w:start w:val="1"/>
      <w:numFmt w:val="lowerLetter"/>
      <w:lvlText w:val="%8."/>
      <w:lvlJc w:val="left"/>
      <w:pPr>
        <w:ind w:left="6105" w:hanging="360"/>
      </w:pPr>
    </w:lvl>
    <w:lvl w:ilvl="8" w:tplc="140A001B" w:tentative="1">
      <w:start w:val="1"/>
      <w:numFmt w:val="lowerRoman"/>
      <w:lvlText w:val="%9."/>
      <w:lvlJc w:val="right"/>
      <w:pPr>
        <w:ind w:left="6825" w:hanging="180"/>
      </w:pPr>
    </w:lvl>
  </w:abstractNum>
  <w:abstractNum w:abstractNumId="13" w15:restartNumberingAfterBreak="0">
    <w:nsid w:val="16EE4C38"/>
    <w:multiLevelType w:val="hybridMultilevel"/>
    <w:tmpl w:val="BCBAA97E"/>
    <w:lvl w:ilvl="0" w:tplc="28A6D224">
      <w:start w:val="4"/>
      <w:numFmt w:val="lowerRoman"/>
      <w:lvlText w:val="%1."/>
      <w:lvlJc w:val="right"/>
      <w:pPr>
        <w:ind w:left="720" w:hanging="360"/>
      </w:pPr>
      <w:rPr>
        <w:rFonts w:hint="default"/>
      </w:rPr>
    </w:lvl>
    <w:lvl w:ilvl="1" w:tplc="140A0019">
      <w:start w:val="1"/>
      <w:numFmt w:val="lowerLetter"/>
      <w:lvlText w:val="%2."/>
      <w:lvlJc w:val="left"/>
      <w:pPr>
        <w:ind w:left="1440" w:hanging="360"/>
      </w:pPr>
    </w:lvl>
    <w:lvl w:ilvl="2" w:tplc="D5B2B9E4">
      <w:start w:val="1"/>
      <w:numFmt w:val="lowerLetter"/>
      <w:lvlText w:val="%3.)"/>
      <w:lvlJc w:val="left"/>
      <w:pPr>
        <w:ind w:left="2340" w:hanging="36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5" w15:restartNumberingAfterBreak="0">
    <w:nsid w:val="65F710B0"/>
    <w:multiLevelType w:val="hybridMultilevel"/>
    <w:tmpl w:val="66985E36"/>
    <w:lvl w:ilvl="0" w:tplc="613249BE">
      <w:start w:val="500"/>
      <w:numFmt w:val="lowerRoman"/>
      <w:lvlText w:val="%1."/>
      <w:lvlJc w:val="left"/>
      <w:pPr>
        <w:ind w:left="1425" w:hanging="720"/>
      </w:pPr>
      <w:rPr>
        <w:rFonts w:hint="default"/>
      </w:rPr>
    </w:lvl>
    <w:lvl w:ilvl="1" w:tplc="140A0019" w:tentative="1">
      <w:start w:val="1"/>
      <w:numFmt w:val="lowerLetter"/>
      <w:lvlText w:val="%2."/>
      <w:lvlJc w:val="left"/>
      <w:pPr>
        <w:ind w:left="1785" w:hanging="360"/>
      </w:pPr>
    </w:lvl>
    <w:lvl w:ilvl="2" w:tplc="140A001B" w:tentative="1">
      <w:start w:val="1"/>
      <w:numFmt w:val="lowerRoman"/>
      <w:lvlText w:val="%3."/>
      <w:lvlJc w:val="right"/>
      <w:pPr>
        <w:ind w:left="2505" w:hanging="180"/>
      </w:pPr>
    </w:lvl>
    <w:lvl w:ilvl="3" w:tplc="140A000F" w:tentative="1">
      <w:start w:val="1"/>
      <w:numFmt w:val="decimal"/>
      <w:lvlText w:val="%4."/>
      <w:lvlJc w:val="left"/>
      <w:pPr>
        <w:ind w:left="3225" w:hanging="360"/>
      </w:pPr>
    </w:lvl>
    <w:lvl w:ilvl="4" w:tplc="140A0019" w:tentative="1">
      <w:start w:val="1"/>
      <w:numFmt w:val="lowerLetter"/>
      <w:lvlText w:val="%5."/>
      <w:lvlJc w:val="left"/>
      <w:pPr>
        <w:ind w:left="3945" w:hanging="360"/>
      </w:pPr>
    </w:lvl>
    <w:lvl w:ilvl="5" w:tplc="140A001B" w:tentative="1">
      <w:start w:val="1"/>
      <w:numFmt w:val="lowerRoman"/>
      <w:lvlText w:val="%6."/>
      <w:lvlJc w:val="right"/>
      <w:pPr>
        <w:ind w:left="4665" w:hanging="180"/>
      </w:pPr>
    </w:lvl>
    <w:lvl w:ilvl="6" w:tplc="140A000F" w:tentative="1">
      <w:start w:val="1"/>
      <w:numFmt w:val="decimal"/>
      <w:lvlText w:val="%7."/>
      <w:lvlJc w:val="left"/>
      <w:pPr>
        <w:ind w:left="5385" w:hanging="360"/>
      </w:pPr>
    </w:lvl>
    <w:lvl w:ilvl="7" w:tplc="140A0019" w:tentative="1">
      <w:start w:val="1"/>
      <w:numFmt w:val="lowerLetter"/>
      <w:lvlText w:val="%8."/>
      <w:lvlJc w:val="left"/>
      <w:pPr>
        <w:ind w:left="6105" w:hanging="360"/>
      </w:pPr>
    </w:lvl>
    <w:lvl w:ilvl="8" w:tplc="140A001B" w:tentative="1">
      <w:start w:val="1"/>
      <w:numFmt w:val="lowerRoman"/>
      <w:lvlText w:val="%9."/>
      <w:lvlJc w:val="right"/>
      <w:pPr>
        <w:ind w:left="6825" w:hanging="180"/>
      </w:pPr>
    </w:lvl>
  </w:abstractNum>
  <w:abstractNum w:abstractNumId="16" w15:restartNumberingAfterBreak="0">
    <w:nsid w:val="681A7251"/>
    <w:multiLevelType w:val="hybridMultilevel"/>
    <w:tmpl w:val="BB9CC706"/>
    <w:lvl w:ilvl="0" w:tplc="3DAC634C">
      <w:start w:val="5"/>
      <w:numFmt w:val="lowerLetter"/>
      <w:lvlText w:val="%1."/>
      <w:lvlJc w:val="left"/>
      <w:pPr>
        <w:ind w:left="2490" w:hanging="360"/>
      </w:pPr>
      <w:rPr>
        <w:rFonts w:hint="default"/>
      </w:rPr>
    </w:lvl>
    <w:lvl w:ilvl="1" w:tplc="140A0019" w:tentative="1">
      <w:start w:val="1"/>
      <w:numFmt w:val="lowerLetter"/>
      <w:lvlText w:val="%2."/>
      <w:lvlJc w:val="left"/>
      <w:pPr>
        <w:ind w:left="3210" w:hanging="360"/>
      </w:pPr>
    </w:lvl>
    <w:lvl w:ilvl="2" w:tplc="140A001B" w:tentative="1">
      <w:start w:val="1"/>
      <w:numFmt w:val="lowerRoman"/>
      <w:lvlText w:val="%3."/>
      <w:lvlJc w:val="right"/>
      <w:pPr>
        <w:ind w:left="3930" w:hanging="180"/>
      </w:pPr>
    </w:lvl>
    <w:lvl w:ilvl="3" w:tplc="140A000F" w:tentative="1">
      <w:start w:val="1"/>
      <w:numFmt w:val="decimal"/>
      <w:lvlText w:val="%4."/>
      <w:lvlJc w:val="left"/>
      <w:pPr>
        <w:ind w:left="4650" w:hanging="360"/>
      </w:pPr>
    </w:lvl>
    <w:lvl w:ilvl="4" w:tplc="140A0019" w:tentative="1">
      <w:start w:val="1"/>
      <w:numFmt w:val="lowerLetter"/>
      <w:lvlText w:val="%5."/>
      <w:lvlJc w:val="left"/>
      <w:pPr>
        <w:ind w:left="5370" w:hanging="360"/>
      </w:pPr>
    </w:lvl>
    <w:lvl w:ilvl="5" w:tplc="140A001B" w:tentative="1">
      <w:start w:val="1"/>
      <w:numFmt w:val="lowerRoman"/>
      <w:lvlText w:val="%6."/>
      <w:lvlJc w:val="right"/>
      <w:pPr>
        <w:ind w:left="6090" w:hanging="180"/>
      </w:pPr>
    </w:lvl>
    <w:lvl w:ilvl="6" w:tplc="140A000F" w:tentative="1">
      <w:start w:val="1"/>
      <w:numFmt w:val="decimal"/>
      <w:lvlText w:val="%7."/>
      <w:lvlJc w:val="left"/>
      <w:pPr>
        <w:ind w:left="6810" w:hanging="360"/>
      </w:pPr>
    </w:lvl>
    <w:lvl w:ilvl="7" w:tplc="140A0019" w:tentative="1">
      <w:start w:val="1"/>
      <w:numFmt w:val="lowerLetter"/>
      <w:lvlText w:val="%8."/>
      <w:lvlJc w:val="left"/>
      <w:pPr>
        <w:ind w:left="7530" w:hanging="360"/>
      </w:pPr>
    </w:lvl>
    <w:lvl w:ilvl="8" w:tplc="140A001B" w:tentative="1">
      <w:start w:val="1"/>
      <w:numFmt w:val="lowerRoman"/>
      <w:lvlText w:val="%9."/>
      <w:lvlJc w:val="right"/>
      <w:pPr>
        <w:ind w:left="8250" w:hanging="180"/>
      </w:pPr>
    </w:lvl>
  </w:abstractNum>
  <w:abstractNum w:abstractNumId="17"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8"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1"/>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3"/>
  </w:num>
  <w:num w:numId="15">
    <w:abstractNumId w:val="12"/>
  </w:num>
  <w:num w:numId="16">
    <w:abstractNumId w:val="15"/>
  </w:num>
  <w:num w:numId="17">
    <w:abstractNumId w:val="16"/>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AE"/>
    <w:rsid w:val="000064A4"/>
    <w:rsid w:val="00016F39"/>
    <w:rsid w:val="000235B5"/>
    <w:rsid w:val="00026C85"/>
    <w:rsid w:val="00030100"/>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B70CB"/>
    <w:rsid w:val="001C075B"/>
    <w:rsid w:val="001C5806"/>
    <w:rsid w:val="001D0BC4"/>
    <w:rsid w:val="001E0448"/>
    <w:rsid w:val="00230C67"/>
    <w:rsid w:val="002645B7"/>
    <w:rsid w:val="002C56A4"/>
    <w:rsid w:val="002E26C3"/>
    <w:rsid w:val="002E2B0A"/>
    <w:rsid w:val="002E3589"/>
    <w:rsid w:val="002E56D1"/>
    <w:rsid w:val="002E571B"/>
    <w:rsid w:val="002F08D5"/>
    <w:rsid w:val="003060E2"/>
    <w:rsid w:val="00310570"/>
    <w:rsid w:val="00317BBB"/>
    <w:rsid w:val="00322A87"/>
    <w:rsid w:val="003267FB"/>
    <w:rsid w:val="003312B8"/>
    <w:rsid w:val="00344917"/>
    <w:rsid w:val="003503A2"/>
    <w:rsid w:val="003554C5"/>
    <w:rsid w:val="00365794"/>
    <w:rsid w:val="00373B22"/>
    <w:rsid w:val="00385CC2"/>
    <w:rsid w:val="003C4C71"/>
    <w:rsid w:val="003E4EDB"/>
    <w:rsid w:val="00410551"/>
    <w:rsid w:val="00414B77"/>
    <w:rsid w:val="00427002"/>
    <w:rsid w:val="00445881"/>
    <w:rsid w:val="00447A41"/>
    <w:rsid w:val="00455063"/>
    <w:rsid w:val="00462880"/>
    <w:rsid w:val="004822E6"/>
    <w:rsid w:val="00487DFF"/>
    <w:rsid w:val="00492FE3"/>
    <w:rsid w:val="004A3826"/>
    <w:rsid w:val="004D7F44"/>
    <w:rsid w:val="004F74E7"/>
    <w:rsid w:val="005105C4"/>
    <w:rsid w:val="0053623F"/>
    <w:rsid w:val="00540154"/>
    <w:rsid w:val="00550D78"/>
    <w:rsid w:val="00557369"/>
    <w:rsid w:val="005706D1"/>
    <w:rsid w:val="005739A8"/>
    <w:rsid w:val="005751FC"/>
    <w:rsid w:val="00577A95"/>
    <w:rsid w:val="005852CF"/>
    <w:rsid w:val="00590F07"/>
    <w:rsid w:val="0059392E"/>
    <w:rsid w:val="005B448F"/>
    <w:rsid w:val="005C173B"/>
    <w:rsid w:val="005E07F2"/>
    <w:rsid w:val="005E39BB"/>
    <w:rsid w:val="005F071E"/>
    <w:rsid w:val="006033C4"/>
    <w:rsid w:val="00603B3F"/>
    <w:rsid w:val="00604A3D"/>
    <w:rsid w:val="0060703F"/>
    <w:rsid w:val="00614D68"/>
    <w:rsid w:val="00620B23"/>
    <w:rsid w:val="00623AFE"/>
    <w:rsid w:val="0062633F"/>
    <w:rsid w:val="00630B5C"/>
    <w:rsid w:val="0063474B"/>
    <w:rsid w:val="00635AC4"/>
    <w:rsid w:val="00640202"/>
    <w:rsid w:val="00651ED5"/>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B18D6"/>
    <w:rsid w:val="007B391D"/>
    <w:rsid w:val="007B51DD"/>
    <w:rsid w:val="007D1328"/>
    <w:rsid w:val="007F1723"/>
    <w:rsid w:val="007F327D"/>
    <w:rsid w:val="007F3A44"/>
    <w:rsid w:val="007F5430"/>
    <w:rsid w:val="008202A0"/>
    <w:rsid w:val="008310AB"/>
    <w:rsid w:val="00832753"/>
    <w:rsid w:val="00842773"/>
    <w:rsid w:val="0085692C"/>
    <w:rsid w:val="00864362"/>
    <w:rsid w:val="008803C4"/>
    <w:rsid w:val="00887400"/>
    <w:rsid w:val="00892708"/>
    <w:rsid w:val="00893B0D"/>
    <w:rsid w:val="00895097"/>
    <w:rsid w:val="008A1AA2"/>
    <w:rsid w:val="008A63B7"/>
    <w:rsid w:val="008A69C1"/>
    <w:rsid w:val="008B3838"/>
    <w:rsid w:val="008C0BF0"/>
    <w:rsid w:val="008D0528"/>
    <w:rsid w:val="008D08AE"/>
    <w:rsid w:val="008E5850"/>
    <w:rsid w:val="008F1461"/>
    <w:rsid w:val="008F33F5"/>
    <w:rsid w:val="00904CBE"/>
    <w:rsid w:val="00906CC5"/>
    <w:rsid w:val="00925E6E"/>
    <w:rsid w:val="00936085"/>
    <w:rsid w:val="009475B6"/>
    <w:rsid w:val="00957A11"/>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A5F0A"/>
    <w:rsid w:val="00AB1CD1"/>
    <w:rsid w:val="00AB580B"/>
    <w:rsid w:val="00AC5138"/>
    <w:rsid w:val="00AC5E12"/>
    <w:rsid w:val="00AE3929"/>
    <w:rsid w:val="00AF45B7"/>
    <w:rsid w:val="00AF482D"/>
    <w:rsid w:val="00B079EC"/>
    <w:rsid w:val="00B1318C"/>
    <w:rsid w:val="00B43C40"/>
    <w:rsid w:val="00B464F6"/>
    <w:rsid w:val="00B74A58"/>
    <w:rsid w:val="00B77CF0"/>
    <w:rsid w:val="00B80284"/>
    <w:rsid w:val="00B84E87"/>
    <w:rsid w:val="00B90216"/>
    <w:rsid w:val="00B94DE2"/>
    <w:rsid w:val="00B96F68"/>
    <w:rsid w:val="00BA112E"/>
    <w:rsid w:val="00BA711C"/>
    <w:rsid w:val="00BB0F2F"/>
    <w:rsid w:val="00BB470C"/>
    <w:rsid w:val="00BB54E1"/>
    <w:rsid w:val="00BC03D6"/>
    <w:rsid w:val="00BD71E9"/>
    <w:rsid w:val="00BE119A"/>
    <w:rsid w:val="00BE6A0B"/>
    <w:rsid w:val="00BE7B10"/>
    <w:rsid w:val="00C039CE"/>
    <w:rsid w:val="00C1795E"/>
    <w:rsid w:val="00C22C6C"/>
    <w:rsid w:val="00C414C9"/>
    <w:rsid w:val="00C42047"/>
    <w:rsid w:val="00C5093E"/>
    <w:rsid w:val="00C60480"/>
    <w:rsid w:val="00C64425"/>
    <w:rsid w:val="00C71968"/>
    <w:rsid w:val="00C809BA"/>
    <w:rsid w:val="00C9305E"/>
    <w:rsid w:val="00C953BE"/>
    <w:rsid w:val="00CA3FA8"/>
    <w:rsid w:val="00CB07CA"/>
    <w:rsid w:val="00CE3B72"/>
    <w:rsid w:val="00D03728"/>
    <w:rsid w:val="00D06E99"/>
    <w:rsid w:val="00D102F8"/>
    <w:rsid w:val="00D10AD8"/>
    <w:rsid w:val="00D179DE"/>
    <w:rsid w:val="00D2424F"/>
    <w:rsid w:val="00D26EDE"/>
    <w:rsid w:val="00D32808"/>
    <w:rsid w:val="00D43D57"/>
    <w:rsid w:val="00D44EF3"/>
    <w:rsid w:val="00D45FC0"/>
    <w:rsid w:val="00D54C08"/>
    <w:rsid w:val="00D55CA3"/>
    <w:rsid w:val="00D86064"/>
    <w:rsid w:val="00D96D0A"/>
    <w:rsid w:val="00DB3508"/>
    <w:rsid w:val="00DB3E70"/>
    <w:rsid w:val="00DC2193"/>
    <w:rsid w:val="00DC3B8E"/>
    <w:rsid w:val="00DE08C6"/>
    <w:rsid w:val="00DE18D9"/>
    <w:rsid w:val="00E0013C"/>
    <w:rsid w:val="00E11252"/>
    <w:rsid w:val="00E11C48"/>
    <w:rsid w:val="00E13C47"/>
    <w:rsid w:val="00E5185D"/>
    <w:rsid w:val="00E75AC8"/>
    <w:rsid w:val="00E82177"/>
    <w:rsid w:val="00E9253E"/>
    <w:rsid w:val="00EA2CDD"/>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C0C28"/>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5C997E2"/>
  <w15:docId w15:val="{8E3123E8-D3DC-469A-9C4E-3B176A95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locked/>
    <w:rsid w:val="008D08AE"/>
    <w:pPr>
      <w:spacing w:line="240" w:lineRule="auto"/>
      <w:ind w:left="708"/>
      <w:jc w:val="left"/>
    </w:pPr>
    <w:rPr>
      <w:rFonts w:ascii="Times New Roman" w:hAnsi="Times New Roman"/>
      <w:sz w:val="24"/>
      <w:lang w:eastAsia="es-E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locked/>
    <w:rsid w:val="008D08AE"/>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9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D9D4FBFBE2445CB8AF05DBBB632471"/>
        <w:category>
          <w:name w:val="General"/>
          <w:gallery w:val="placeholder"/>
        </w:category>
        <w:types>
          <w:type w:val="bbPlcHdr"/>
        </w:types>
        <w:behaviors>
          <w:behavior w:val="content"/>
        </w:behaviors>
        <w:guid w:val="{65596C95-5A0D-46B0-A265-36B02472373D}"/>
      </w:docPartPr>
      <w:docPartBody>
        <w:p w:rsidR="003B69F5" w:rsidRDefault="003B69F5">
          <w:pPr>
            <w:pStyle w:val="A1D9D4FBFBE2445CB8AF05DBBB632471"/>
          </w:pPr>
          <w:r w:rsidRPr="001E0779">
            <w:rPr>
              <w:rStyle w:val="Textodelmarcadordeposicin"/>
            </w:rPr>
            <w:t>Haga clic aquí para escribir texto.</w:t>
          </w:r>
        </w:p>
      </w:docPartBody>
    </w:docPart>
    <w:docPart>
      <w:docPartPr>
        <w:name w:val="AA44EAB98DFD43A6A4AE64B84B60D502"/>
        <w:category>
          <w:name w:val="General"/>
          <w:gallery w:val="placeholder"/>
        </w:category>
        <w:types>
          <w:type w:val="bbPlcHdr"/>
        </w:types>
        <w:behaviors>
          <w:behavior w:val="content"/>
        </w:behaviors>
        <w:guid w:val="{740D92B9-EE14-435A-9883-24F3CF0649EE}"/>
      </w:docPartPr>
      <w:docPartBody>
        <w:p w:rsidR="003B69F5" w:rsidRDefault="003B69F5">
          <w:pPr>
            <w:pStyle w:val="AA44EAB98DFD43A6A4AE64B84B60D50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F5"/>
    <w:rsid w:val="003B69F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A1D9D4FBFBE2445CB8AF05DBBB632471">
    <w:name w:val="A1D9D4FBFBE2445CB8AF05DBBB632471"/>
  </w:style>
  <w:style w:type="paragraph" w:customStyle="1" w:styleId="AA44EAB98DFD43A6A4AE64B84B60D502">
    <w:name w:val="AA44EAB98DFD43A6A4AE64B84B60D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yK7wpy/rMvcsadIz6MxUT6w7mSam8gH6kURkSoVNaOQ=</DigestValue>
    </Reference>
    <Reference Type="http://www.w3.org/2000/09/xmldsig#Object" URI="#idOfficeObject">
      <DigestMethod Algorithm="http://www.w3.org/2001/04/xmlenc#sha256"/>
      <DigestValue>a1UoSa3hiqTjIwYCYdKJm22JuCjJxjBBGA/N2JKFd+I=</DigestValue>
    </Reference>
    <Reference Type="http://uri.etsi.org/01903#SignedProperties" URI="#idSignedProperties">
      <Transforms>
        <Transform Algorithm="http://www.w3.org/TR/2001/REC-xml-c14n-20010315"/>
      </Transforms>
      <DigestMethod Algorithm="http://www.w3.org/2001/04/xmlenc#sha256"/>
      <DigestValue>eKvBz/kxoZnzTZ9IQW+D4RLINpBRXWcmniWbN3tZv8g=</DigestValue>
    </Reference>
  </SignedInfo>
  <SignatureValue>BdxxE2vmAmLl/aFshKq+8sXx0d7+wOIudAl2yyQwp6oGgPJxcVAM2494UL64dyp+l5tdx0AdQ2yT
dXpku2ULDXG6BaEUqI6lrJhZtxUvo9j8uY0icwvTBndKVzy7t6c+tR2TD+Xxsadi3ax+Q++RDMZt
20GXaoMAJaH7/Ir2UhSlgpWucKY+uLF9lYa28rG1mJmWqDi2Bkfz0HRU9XOW7vZwCmXE859ySpQ8
2J+R9i2lNdntViQpn0fBth5V659n6AnSgtKrlb0Oc5BqGczEWzDqnciFx9E3RvYjCsW+bkb4mGrE
+4f1fE5hMHfj/rlY8OCCgP2OtP6oGMBAGlg5Xg==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6DZSbcSmxWDsmgOyeV71ooYbRRN4V2ZU2liGOeNxeY8=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JpjmlSVvbmpoE6m+LJjlnco+HLgmy6UouAr76cMw3SU=</DigestValue>
      </Reference>
      <Reference URI="/word/document.xml?ContentType=application/vnd.openxmlformats-officedocument.wordprocessingml.document.main+xml">
        <DigestMethod Algorithm="http://www.w3.org/2001/04/xmlenc#sha256"/>
        <DigestValue>vPrlhsEVZFN6XsMg10a16OAWj/QBMTyQXSZr/6IvAd4=</DigestValue>
      </Reference>
      <Reference URI="/word/endnotes.xml?ContentType=application/vnd.openxmlformats-officedocument.wordprocessingml.endnotes+xml">
        <DigestMethod Algorithm="http://www.w3.org/2001/04/xmlenc#sha256"/>
        <DigestValue>I39rPy5spDxmTRlmYjvXV6j0WsI6lbTgrAa+R8Po9Dc=</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jjVrOJemtZl9I86CsK89ggI6v7cp1S0OEkhGWBSHJAU=</DigestValue>
      </Reference>
      <Reference URI="/word/footer2.xml?ContentType=application/vnd.openxmlformats-officedocument.wordprocessingml.footer+xml">
        <DigestMethod Algorithm="http://www.w3.org/2001/04/xmlenc#sha256"/>
        <DigestValue>5zxNZM61l636T7/Sdtsiug6ze9XxydQjDObxuec2lVs=</DigestValue>
      </Reference>
      <Reference URI="/word/footnotes.xml?ContentType=application/vnd.openxmlformats-officedocument.wordprocessingml.footnotes+xml">
        <DigestMethod Algorithm="http://www.w3.org/2001/04/xmlenc#sha256"/>
        <DigestValue>AzSXjukeiWYBCckQhB6ZXRxVFEQUpmzCYzlF1ROYWE4=</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PXGHByObh3PEG/cCwtAic4g1+JvZg6wi4ANh4szzhZY=</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6HNq0uVsILirW78414IpkYK4t4e0jw1P2Q6wl9lBsLA=</DigestValue>
      </Reference>
      <Reference URI="/word/glossary/styles.xml?ContentType=application/vnd.openxmlformats-officedocument.wordprocessingml.styles+xml">
        <DigestMethod Algorithm="http://www.w3.org/2001/04/xmlenc#sha256"/>
        <DigestValue>vh9sWfGZuqd9j8C6DV/oNhJu/DRIhYXNoGN/Z+7Ft/Y=</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yxgHObha+zzkLdXoZ35xbzVtFPRBsPpGIXXdgu9YnGw=</DigestValue>
      </Reference>
      <Reference URI="/word/header2.xml?ContentType=application/vnd.openxmlformats-officedocument.wordprocessingml.header+xml">
        <DigestMethod Algorithm="http://www.w3.org/2001/04/xmlenc#sha256"/>
        <DigestValue>VKv409OQ5vxyGJ2zToNj60MjylycAZjWvEG7m5Ia5Ys=</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59plNvzsdB2w1M/1TlILQ7PtPELmLXN827mqzJz/+rI=</DigestValue>
      </Reference>
      <Reference URI="/word/settings.xml?ContentType=application/vnd.openxmlformats-officedocument.wordprocessingml.settings+xml">
        <DigestMethod Algorithm="http://www.w3.org/2001/04/xmlenc#sha256"/>
        <DigestValue>n9wD37S8uSIM6F5VLnhOcmkOJ87YGLdl9wvby821fs0=</DigestValue>
      </Reference>
      <Reference URI="/word/styles.xml?ContentType=application/vnd.openxmlformats-officedocument.wordprocessingml.styles+xml">
        <DigestMethod Algorithm="http://www.w3.org/2001/04/xmlenc#sha256"/>
        <DigestValue>itkDd5tSmcA/xis4D/zhiYfhrZtKZCNSrQ497/hjDBs=</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TMXW1fSmDKou1jnwPYPLBB4QxK8f79aps1YyzU7h6jI=</DigestValue>
      </Reference>
    </Manifest>
    <SignatureProperties>
      <SignatureProperty Id="idSignatureTime" Target="#idPackageSignature">
        <mdssi:SignatureTime xmlns:mdssi="http://schemas.openxmlformats.org/package/2006/digital-signature">
          <mdssi:Format>YYYY-MM-DDThh:mm:ssTZD</mdssi:Format>
          <mdssi:Value>2019-06-07T17:03:48Z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2019-06-07T17:03:48Z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TaxCatchAll xmlns="b875e23b-67d9-4b2e-bdec-edacbf90b326">
      <Value>426</Value>
      <Value>3</Value>
      <Value>2</Value>
      <Value>1</Value>
      <Value>63</Value>
    </TaxCatchAll>
    <OtraEntidadExterna xmlns="b875e23b-67d9-4b2e-bdec-edacbf90b326" xsi:nil="true"/>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i:0#.w|pdc-atlantida\soleraqc</DisplayName>
        <AccountId>842</AccountId>
        <AccountType/>
      </UserInfo>
      <UserInfo>
        <DisplayName>i:0#.w|pdc-atlantida\cotoar</DisplayName>
        <AccountId>291</AccountId>
        <AccountType/>
      </UserInfo>
      <UserInfo>
        <DisplayName>i:0#.w|pdc-atlantida\villarrealce</DisplayName>
        <AccountId>2344</AccountId>
        <AccountType/>
      </UserInfo>
      <UserInfo>
        <DisplayName>i:0#.w|pdc-atlantida\lopezsm</DisplayName>
        <AccountId>1743</AccountId>
        <AccountType/>
      </UserInfo>
      <UserInfo>
        <DisplayName>i:0#.w|pdc-atlantida\vargasom</DisplayName>
        <AccountId>913</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&lt;div class="ExternalClassF4AF0CB5CFE34D059001144E78BF3607"&gt;Circular Pública&lt;/div&gt;</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2019-06-03T06:00:00+00:00</FechaDocumento>
    <RemitenteOriginal xmlns="b875e23b-67d9-4b2e-bdec-edacbf90b326">Cumplimiento Art. 15 y Art. 15 bis</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 Ampliación de plazo casos especiales</Subject1>
    <Entrante_x0020_relacionado xmlns="b875e23b-67d9-4b2e-bdec-edacbf90b326">
      <Url xsi:nil="true"/>
      <Description xsi:nil="true"/>
    </Entrante_x0020_relacionado>
  </documentManagement>
</p:properti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5af8057651e4005c652a91ef01a643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22bf1b8798a056cf4b2cd4dab35e2196"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PolicyDirtyBag xmlns="microsoft.office.server.policy.changes">
  <Microsoft.Office.RecordsManagement.PolicyFeatures.Expiration op="Change"/>
</PolicyDirtyBag>
</file>

<file path=customXml/itemProps1.xml><?xml version="1.0" encoding="utf-8"?>
<ds:datastoreItem xmlns:ds="http://schemas.openxmlformats.org/officeDocument/2006/customXml" ds:itemID="{283BF82E-1A70-4392-8CF2-7DEAFF1953AE}"/>
</file>

<file path=customXml/itemProps2.xml><?xml version="1.0" encoding="utf-8"?>
<ds:datastoreItem xmlns:ds="http://schemas.openxmlformats.org/officeDocument/2006/customXml" ds:itemID="{89CE0913-C28A-482F-BB12-5706CBE8A9B9}"/>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5695AB94-F7F3-4E0B-A18B-2B962EFFFCD0}"/>
</file>

<file path=customXml/itemProps5.xml><?xml version="1.0" encoding="utf-8"?>
<ds:datastoreItem xmlns:ds="http://schemas.openxmlformats.org/officeDocument/2006/customXml" ds:itemID="{46C9C692-853B-4095-8DB4-F8B69514B677}"/>
</file>

<file path=customXml/itemProps6.xml><?xml version="1.0" encoding="utf-8"?>
<ds:datastoreItem xmlns:ds="http://schemas.openxmlformats.org/officeDocument/2006/customXml" ds:itemID="{53ED49DB-330B-49B4-BB7D-0765C6D562C3}"/>
</file>

<file path=customXml/itemProps7.xml><?xml version="1.0" encoding="utf-8"?>
<ds:datastoreItem xmlns:ds="http://schemas.openxmlformats.org/officeDocument/2006/customXml" ds:itemID="{ADDEDB55-C341-472C-862D-FC04B5F2D3A5}"/>
</file>

<file path=customXml/itemProps8.xml><?xml version="1.0" encoding="utf-8"?>
<ds:datastoreItem xmlns:ds="http://schemas.openxmlformats.org/officeDocument/2006/customXml" ds:itemID="{F92094A9-6877-4173-82A1-371D26AF9DB2}"/>
</file>

<file path=docProps/app.xml><?xml version="1.0" encoding="utf-8"?>
<Properties xmlns="http://schemas.openxmlformats.org/officeDocument/2006/extended-properties" xmlns:vt="http://schemas.openxmlformats.org/officeDocument/2006/docPropsVTypes">
  <Template>plantilla-SGF-ACL-CAQ-13-E.dotm</Template>
  <TotalTime>61</TotalTime>
  <Pages>4</Pages>
  <Words>1123</Words>
  <Characters>6177</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VILLAREAL CHACON ERICKA</dc:creator>
  <cp:lastModifiedBy>Alejandra Arias Alfaro</cp:lastModifiedBy>
  <cp:revision>9</cp:revision>
  <cp:lastPrinted>2015-07-30T22:36:00Z</cp:lastPrinted>
  <dcterms:created xsi:type="dcterms:W3CDTF">2019-06-03T16:25:00Z</dcterms:created>
  <dcterms:modified xsi:type="dcterms:W3CDTF">2019-06-06T16:14:00Z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426;#Circular|a95dd0af-ef18-4305-9c8d-aa79141c6059</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9600</vt:r8>
  </property>
  <property fmtid="{D5CDD505-2E9C-101B-9397-08002B2CF9AE}" pid="13" name="Confidencialidad">
    <vt:lpwstr>Público|99c2402f-8ec3-4ca8-8024-be52e4e7f629</vt:lpwstr>
  </property>
  <property fmtid="{D5CDD505-2E9C-101B-9397-08002B2CF9AE}" pid="14" name="WorkflowChangePath">
    <vt:lpwstr>db02241f-29c2-4291-a3e5-2279928b3947,4;d0e83af1-b0eb-40a2-ba65-b7f8bb3cd533,7;</vt:lpwstr>
  </property>
</Properties>
</file>