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xlsx" ContentType="application/vnd.openxmlformats-officedocument.spreadsheetml.sheet"/>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0A505" w14:textId="77777777" w:rsidR="00991528" w:rsidRDefault="00991528" w:rsidP="00BF1A95">
      <w:pPr>
        <w:pStyle w:val="Texto0"/>
        <w:spacing w:before="0" w:after="0" w:line="240" w:lineRule="auto"/>
        <w:jc w:val="center"/>
        <w:rPr>
          <w:sz w:val="24"/>
        </w:rPr>
      </w:pPr>
    </w:p>
    <w:p w14:paraId="39D173A4" w14:textId="53E04B54" w:rsidR="00991528" w:rsidRDefault="00991528" w:rsidP="00991528">
      <w:pPr>
        <w:spacing w:line="240" w:lineRule="exact"/>
        <w:jc w:val="center"/>
        <w:rPr>
          <w:sz w:val="24"/>
        </w:rPr>
      </w:pPr>
      <w:r w:rsidRPr="00991528">
        <w:rPr>
          <w:b/>
          <w:sz w:val="28"/>
        </w:rPr>
        <w:t>CIRCULAR EXTERNA</w:t>
      </w:r>
    </w:p>
    <w:p w14:paraId="11CC6838" w14:textId="39AF2D61" w:rsidR="00AB580B" w:rsidRDefault="009C2B52" w:rsidP="00BF1A95">
      <w:pPr>
        <w:tabs>
          <w:tab w:val="left" w:pos="2843"/>
        </w:tabs>
        <w:spacing w:line="240" w:lineRule="auto"/>
        <w:jc w:val="center"/>
        <w:rPr>
          <w:sz w:val="24"/>
        </w:rPr>
      </w:pPr>
      <w:sdt>
        <w:sdtPr>
          <w:rPr>
            <w:sz w:val="24"/>
          </w:rPr>
          <w:alias w:val="Consecutivo"/>
          <w:tag w:val="Consecutivo"/>
          <w:id w:val="2052717023"/>
          <w:placeholder>
            <w:docPart w:val="D898B493A840440AA61C12D77159B4FC"/>
          </w:placeholder>
          <w:text/>
        </w:sdtPr>
        <w:sdtEndPr/>
        <w:sdtContent>
          <w:r w:rsidR="007B611D">
            <w:t>SGF-1449-2019</w:t>
          </w:r>
        </w:sdtContent>
      </w:sdt>
      <w:r w:rsidR="00991528">
        <w:rPr>
          <w:sz w:val="24"/>
        </w:rPr>
        <w:t xml:space="preserve"> - </w:t>
      </w:r>
      <w:sdt>
        <w:sdtPr>
          <w:rPr>
            <w:sz w:val="24"/>
          </w:rPr>
          <w:alias w:val="Confidencialidad"/>
          <w:tag w:val="Confidencialidad"/>
          <w:id w:val="1447896894"/>
          <w:placeholder>
            <w:docPart w:val="44254A82F9894B778C1DEEF3DF2DC6C8"/>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8F6600" w:rsidRPr="00BF1A95">
            <w:rPr>
              <w:sz w:val="24"/>
            </w:rPr>
            <w:t>SGF-PROPIETARIO</w:t>
          </w:r>
        </w:sdtContent>
      </w:sdt>
    </w:p>
    <w:p w14:paraId="6C09ED44" w14:textId="1B328583" w:rsidR="00991528" w:rsidRPr="00BF1A95" w:rsidRDefault="00991528" w:rsidP="00991528">
      <w:pPr>
        <w:pStyle w:val="Texto0"/>
        <w:spacing w:before="0" w:after="0" w:line="240" w:lineRule="auto"/>
        <w:jc w:val="center"/>
        <w:rPr>
          <w:sz w:val="24"/>
        </w:rPr>
      </w:pPr>
      <w:r w:rsidRPr="00BF1A95">
        <w:rPr>
          <w:sz w:val="24"/>
        </w:rPr>
        <w:t>1</w:t>
      </w:r>
      <w:r w:rsidR="009C2B52">
        <w:rPr>
          <w:sz w:val="24"/>
        </w:rPr>
        <w:t>6</w:t>
      </w:r>
      <w:bookmarkStart w:id="0" w:name="_GoBack"/>
      <w:bookmarkEnd w:id="0"/>
      <w:r w:rsidRPr="00BF1A95">
        <w:rPr>
          <w:sz w:val="24"/>
        </w:rPr>
        <w:t xml:space="preserve"> de mayo de 2019</w:t>
      </w:r>
    </w:p>
    <w:p w14:paraId="3E3606C9" w14:textId="77777777" w:rsidR="00991528" w:rsidRPr="00BF1A95" w:rsidRDefault="00991528" w:rsidP="00BF1A95">
      <w:pPr>
        <w:tabs>
          <w:tab w:val="left" w:pos="2843"/>
        </w:tabs>
        <w:spacing w:line="240" w:lineRule="auto"/>
        <w:jc w:val="center"/>
        <w:rPr>
          <w:sz w:val="24"/>
        </w:rPr>
      </w:pPr>
    </w:p>
    <w:p w14:paraId="7D38A658" w14:textId="77777777" w:rsidR="00991528" w:rsidRDefault="00991528" w:rsidP="008F6600">
      <w:pPr>
        <w:widowControl w:val="0"/>
        <w:ind w:left="34" w:right="86"/>
        <w:outlineLvl w:val="0"/>
        <w:rPr>
          <w:rFonts w:asciiTheme="majorHAnsi" w:hAnsiTheme="majorHAnsi"/>
          <w:b/>
          <w:sz w:val="24"/>
          <w:lang w:val="es-CR"/>
        </w:rPr>
      </w:pPr>
    </w:p>
    <w:p w14:paraId="06B8A91F" w14:textId="77777777" w:rsidR="008F6600" w:rsidRPr="00BF1A95" w:rsidRDefault="008F6600" w:rsidP="008F6600">
      <w:pPr>
        <w:widowControl w:val="0"/>
        <w:ind w:left="34" w:right="86"/>
        <w:outlineLvl w:val="0"/>
        <w:rPr>
          <w:rFonts w:asciiTheme="majorHAnsi" w:hAnsiTheme="majorHAnsi"/>
          <w:b/>
          <w:sz w:val="24"/>
          <w:lang w:val="es-CR"/>
        </w:rPr>
      </w:pPr>
      <w:r w:rsidRPr="00BF1A95">
        <w:rPr>
          <w:rFonts w:asciiTheme="majorHAnsi" w:hAnsiTheme="majorHAnsi"/>
          <w:b/>
          <w:sz w:val="24"/>
          <w:lang w:val="es-CR"/>
        </w:rPr>
        <w:t xml:space="preserve">Dirigida a: </w:t>
      </w:r>
    </w:p>
    <w:p w14:paraId="753CB8A4" w14:textId="77777777" w:rsidR="008F6600" w:rsidRPr="00BF1A95" w:rsidRDefault="008F6600" w:rsidP="008F6600">
      <w:pPr>
        <w:widowControl w:val="0"/>
        <w:ind w:left="34" w:right="86"/>
        <w:outlineLvl w:val="0"/>
        <w:rPr>
          <w:rFonts w:asciiTheme="majorHAnsi" w:hAnsiTheme="majorHAnsi"/>
          <w:b/>
          <w:sz w:val="24"/>
          <w:lang w:val="es-CR"/>
        </w:rPr>
      </w:pPr>
    </w:p>
    <w:p w14:paraId="35845621" w14:textId="77777777" w:rsidR="008F6600" w:rsidRPr="00BF1A95" w:rsidRDefault="008F6600" w:rsidP="008F6600">
      <w:pPr>
        <w:widowControl w:val="0"/>
        <w:numPr>
          <w:ilvl w:val="0"/>
          <w:numId w:val="16"/>
        </w:numPr>
        <w:spacing w:after="200" w:line="240" w:lineRule="auto"/>
        <w:ind w:left="567" w:right="86" w:hanging="567"/>
        <w:contextualSpacing/>
        <w:rPr>
          <w:rFonts w:asciiTheme="majorHAnsi" w:hAnsiTheme="majorHAnsi"/>
          <w:b/>
          <w:sz w:val="24"/>
          <w:lang w:val="es-CR"/>
        </w:rPr>
      </w:pPr>
      <w:r w:rsidRPr="00BF1A95">
        <w:rPr>
          <w:rFonts w:asciiTheme="majorHAnsi" w:hAnsiTheme="majorHAnsi"/>
          <w:b/>
          <w:sz w:val="24"/>
          <w:lang w:val="es-CR"/>
        </w:rPr>
        <w:t>Bancos Comerciales del Estado</w:t>
      </w:r>
    </w:p>
    <w:p w14:paraId="30E8EEDB" w14:textId="77777777" w:rsidR="008F6600" w:rsidRPr="00BF1A95" w:rsidRDefault="008F6600" w:rsidP="008F6600">
      <w:pPr>
        <w:widowControl w:val="0"/>
        <w:numPr>
          <w:ilvl w:val="0"/>
          <w:numId w:val="16"/>
        </w:numPr>
        <w:spacing w:after="200" w:line="240" w:lineRule="auto"/>
        <w:ind w:left="567" w:right="86" w:hanging="567"/>
        <w:contextualSpacing/>
        <w:rPr>
          <w:rFonts w:asciiTheme="majorHAnsi" w:hAnsiTheme="majorHAnsi"/>
          <w:b/>
          <w:sz w:val="24"/>
          <w:lang w:val="es-CR"/>
        </w:rPr>
      </w:pPr>
      <w:r w:rsidRPr="00BF1A95">
        <w:rPr>
          <w:rFonts w:asciiTheme="majorHAnsi" w:hAnsiTheme="majorHAnsi"/>
          <w:b/>
          <w:sz w:val="24"/>
          <w:lang w:val="es-CR"/>
        </w:rPr>
        <w:t>Bancos Creados por Leyes Especiales</w:t>
      </w:r>
    </w:p>
    <w:p w14:paraId="73200A3E" w14:textId="77777777" w:rsidR="008F6600" w:rsidRPr="00BF1A95" w:rsidRDefault="008F6600" w:rsidP="008F6600">
      <w:pPr>
        <w:widowControl w:val="0"/>
        <w:numPr>
          <w:ilvl w:val="0"/>
          <w:numId w:val="16"/>
        </w:numPr>
        <w:spacing w:after="200" w:line="240" w:lineRule="auto"/>
        <w:ind w:left="567" w:right="86" w:hanging="567"/>
        <w:contextualSpacing/>
        <w:rPr>
          <w:rFonts w:asciiTheme="majorHAnsi" w:hAnsiTheme="majorHAnsi"/>
          <w:b/>
          <w:sz w:val="24"/>
          <w:lang w:val="es-CR"/>
        </w:rPr>
      </w:pPr>
      <w:r w:rsidRPr="00BF1A95">
        <w:rPr>
          <w:rFonts w:asciiTheme="majorHAnsi" w:hAnsiTheme="majorHAnsi"/>
          <w:b/>
          <w:sz w:val="24"/>
          <w:lang w:val="es-CR"/>
        </w:rPr>
        <w:t>Bancos Privados</w:t>
      </w:r>
    </w:p>
    <w:p w14:paraId="2F35DFB1" w14:textId="77777777" w:rsidR="008F6600" w:rsidRPr="00BF1A95" w:rsidRDefault="008F6600" w:rsidP="008F6600">
      <w:pPr>
        <w:widowControl w:val="0"/>
        <w:numPr>
          <w:ilvl w:val="0"/>
          <w:numId w:val="16"/>
        </w:numPr>
        <w:spacing w:after="200" w:line="240" w:lineRule="auto"/>
        <w:ind w:left="567" w:right="86" w:hanging="567"/>
        <w:contextualSpacing/>
        <w:rPr>
          <w:rFonts w:asciiTheme="majorHAnsi" w:hAnsiTheme="majorHAnsi"/>
          <w:b/>
          <w:sz w:val="24"/>
          <w:lang w:val="es-CR"/>
        </w:rPr>
      </w:pPr>
      <w:r w:rsidRPr="00BF1A95">
        <w:rPr>
          <w:rFonts w:asciiTheme="majorHAnsi" w:hAnsiTheme="majorHAnsi"/>
          <w:b/>
          <w:sz w:val="24"/>
          <w:lang w:val="es-CR"/>
        </w:rPr>
        <w:t>Empresas Financieras no Bancarias</w:t>
      </w:r>
    </w:p>
    <w:p w14:paraId="40D343D2" w14:textId="77777777" w:rsidR="008F6600" w:rsidRPr="00BF1A95" w:rsidRDefault="008F6600" w:rsidP="008F6600">
      <w:pPr>
        <w:widowControl w:val="0"/>
        <w:numPr>
          <w:ilvl w:val="0"/>
          <w:numId w:val="16"/>
        </w:numPr>
        <w:spacing w:after="200" w:line="240" w:lineRule="auto"/>
        <w:ind w:left="567" w:right="86" w:hanging="567"/>
        <w:contextualSpacing/>
        <w:rPr>
          <w:rFonts w:asciiTheme="majorHAnsi" w:hAnsiTheme="majorHAnsi"/>
          <w:b/>
          <w:sz w:val="24"/>
          <w:lang w:val="es-CR"/>
        </w:rPr>
      </w:pPr>
      <w:r w:rsidRPr="00BF1A95">
        <w:rPr>
          <w:rFonts w:asciiTheme="majorHAnsi" w:hAnsiTheme="majorHAnsi"/>
          <w:b/>
          <w:sz w:val="24"/>
          <w:lang w:val="es-CR"/>
        </w:rPr>
        <w:t>Organizaciones Cooperativas de Ahorro y Crédito</w:t>
      </w:r>
    </w:p>
    <w:p w14:paraId="03DDA3D0" w14:textId="77777777" w:rsidR="008F6600" w:rsidRPr="00BF1A95" w:rsidRDefault="008F6600" w:rsidP="008F6600">
      <w:pPr>
        <w:widowControl w:val="0"/>
        <w:numPr>
          <w:ilvl w:val="0"/>
          <w:numId w:val="16"/>
        </w:numPr>
        <w:spacing w:after="200" w:line="240" w:lineRule="auto"/>
        <w:ind w:left="567" w:right="86" w:hanging="567"/>
        <w:contextualSpacing/>
        <w:rPr>
          <w:rFonts w:asciiTheme="majorHAnsi" w:hAnsiTheme="majorHAnsi"/>
          <w:b/>
          <w:sz w:val="24"/>
          <w:lang w:val="es-CR"/>
        </w:rPr>
      </w:pPr>
      <w:r w:rsidRPr="00BF1A95">
        <w:rPr>
          <w:rFonts w:asciiTheme="majorHAnsi" w:hAnsiTheme="majorHAnsi"/>
          <w:b/>
          <w:sz w:val="24"/>
          <w:lang w:val="es-CR"/>
        </w:rPr>
        <w:t>Entidades Autorizadas del Sistema Financiera Nacional para la Vivienda</w:t>
      </w:r>
    </w:p>
    <w:p w14:paraId="68E211D7" w14:textId="77777777" w:rsidR="008F6600" w:rsidRPr="00BF1A95" w:rsidRDefault="008F6600" w:rsidP="008F6600">
      <w:pPr>
        <w:widowControl w:val="0"/>
        <w:numPr>
          <w:ilvl w:val="0"/>
          <w:numId w:val="16"/>
        </w:numPr>
        <w:spacing w:after="200" w:line="240" w:lineRule="auto"/>
        <w:ind w:left="567" w:right="86" w:hanging="567"/>
        <w:contextualSpacing/>
        <w:rPr>
          <w:rFonts w:asciiTheme="majorHAnsi" w:hAnsiTheme="majorHAnsi"/>
          <w:b/>
          <w:sz w:val="24"/>
          <w:lang w:val="es-CR"/>
        </w:rPr>
      </w:pPr>
      <w:r w:rsidRPr="00BF1A95">
        <w:rPr>
          <w:rFonts w:asciiTheme="majorHAnsi" w:hAnsiTheme="majorHAnsi"/>
          <w:b/>
          <w:sz w:val="24"/>
          <w:lang w:val="es-CR"/>
        </w:rPr>
        <w:t>Otras Entidades Financieras</w:t>
      </w:r>
    </w:p>
    <w:p w14:paraId="43D3568C" w14:textId="77777777" w:rsidR="008F6600" w:rsidRPr="00BF1A95" w:rsidRDefault="008F6600" w:rsidP="008F6600">
      <w:pPr>
        <w:widowControl w:val="0"/>
        <w:ind w:left="34" w:right="86"/>
        <w:rPr>
          <w:rFonts w:asciiTheme="majorHAnsi" w:hAnsiTheme="majorHAnsi"/>
          <w:sz w:val="24"/>
          <w:lang w:val="es-CR"/>
        </w:rPr>
      </w:pPr>
    </w:p>
    <w:p w14:paraId="45EBB512" w14:textId="77777777" w:rsidR="00991528" w:rsidRDefault="00991528" w:rsidP="008F6600">
      <w:pPr>
        <w:rPr>
          <w:rFonts w:asciiTheme="majorHAnsi" w:hAnsiTheme="majorHAnsi"/>
          <w:b/>
          <w:sz w:val="24"/>
        </w:rPr>
      </w:pPr>
    </w:p>
    <w:p w14:paraId="1DAC12DA" w14:textId="77777777" w:rsidR="008F6600" w:rsidRPr="00BF1A95" w:rsidRDefault="008F6600" w:rsidP="008F6600">
      <w:pPr>
        <w:rPr>
          <w:rFonts w:asciiTheme="majorHAnsi" w:hAnsiTheme="majorHAnsi"/>
          <w:sz w:val="24"/>
        </w:rPr>
      </w:pPr>
      <w:r w:rsidRPr="00BF1A95">
        <w:rPr>
          <w:rFonts w:asciiTheme="majorHAnsi" w:hAnsiTheme="majorHAnsi"/>
          <w:b/>
          <w:sz w:val="24"/>
        </w:rPr>
        <w:t xml:space="preserve">Asunto: </w:t>
      </w:r>
      <w:r w:rsidRPr="00BF1A95">
        <w:rPr>
          <w:rFonts w:asciiTheme="majorHAnsi" w:hAnsiTheme="majorHAnsi"/>
          <w:sz w:val="24"/>
        </w:rPr>
        <w:t>Sujetos Obligados pendientes de efectuar el</w:t>
      </w:r>
      <w:r w:rsidRPr="00BF1A95">
        <w:rPr>
          <w:rFonts w:asciiTheme="majorHAnsi" w:hAnsiTheme="majorHAnsi"/>
          <w:b/>
          <w:sz w:val="24"/>
        </w:rPr>
        <w:t xml:space="preserve"> </w:t>
      </w:r>
      <w:r w:rsidRPr="00BF1A95">
        <w:rPr>
          <w:rFonts w:asciiTheme="majorHAnsi" w:hAnsiTheme="majorHAnsi"/>
          <w:sz w:val="24"/>
        </w:rPr>
        <w:t>Proceso de Inscripción de acuerdo con lo dispuesto en el  “</w:t>
      </w:r>
      <w:r w:rsidRPr="00BF1A95">
        <w:rPr>
          <w:rFonts w:asciiTheme="majorHAnsi" w:hAnsiTheme="majorHAnsi"/>
          <w:i/>
          <w:sz w:val="24"/>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BF1A95">
        <w:rPr>
          <w:rFonts w:asciiTheme="majorHAnsi" w:hAnsiTheme="majorHAnsi"/>
          <w:sz w:val="24"/>
        </w:rPr>
        <w:t xml:space="preserve">, Acuerdo SUGEF 11-18. </w:t>
      </w:r>
    </w:p>
    <w:p w14:paraId="6D5BEE70" w14:textId="77777777" w:rsidR="008F6600" w:rsidRPr="00BF1A95" w:rsidRDefault="008F6600" w:rsidP="008F6600">
      <w:pPr>
        <w:rPr>
          <w:rFonts w:asciiTheme="majorHAnsi" w:hAnsiTheme="majorHAnsi"/>
          <w:sz w:val="24"/>
        </w:rPr>
      </w:pPr>
    </w:p>
    <w:p w14:paraId="7AD73632" w14:textId="1A0D8294" w:rsidR="008F6600" w:rsidRPr="00BF1A95" w:rsidRDefault="008F6600" w:rsidP="008F6600">
      <w:pPr>
        <w:contextualSpacing/>
        <w:rPr>
          <w:rFonts w:asciiTheme="majorHAnsi" w:hAnsiTheme="majorHAnsi"/>
          <w:sz w:val="24"/>
          <w:lang w:val="es-CR"/>
        </w:rPr>
      </w:pPr>
      <w:r w:rsidRPr="00BF1A95">
        <w:rPr>
          <w:rFonts w:asciiTheme="majorHAnsi" w:hAnsiTheme="majorHAnsi"/>
          <w:sz w:val="24"/>
          <w:lang w:val="es-CR"/>
        </w:rPr>
        <w:t>El Despacho del Superintendente de la Superintendencia General de Entidades Financieras (SUGEF), con fundamento en las atribuciones que le confiere el artículo 131 de la Ley Orgánica del Banco Central de Costa Rica, los artículos 1</w:t>
      </w:r>
      <w:r w:rsidR="00001468">
        <w:rPr>
          <w:rFonts w:asciiTheme="majorHAnsi" w:hAnsiTheme="majorHAnsi"/>
          <w:sz w:val="24"/>
          <w:lang w:val="es-CR"/>
        </w:rPr>
        <w:t>º,</w:t>
      </w:r>
      <w:r w:rsidRPr="00BF1A95">
        <w:rPr>
          <w:rFonts w:asciiTheme="majorHAnsi" w:hAnsiTheme="majorHAnsi"/>
          <w:sz w:val="24"/>
          <w:lang w:val="es-CR"/>
        </w:rPr>
        <w:t xml:space="preserve"> 14, 15 y 15 Bis de la Ley 7786 y sus reformas, comunica:</w:t>
      </w:r>
    </w:p>
    <w:p w14:paraId="2D471194" w14:textId="77777777" w:rsidR="008F6600" w:rsidRPr="00BF1A95" w:rsidRDefault="008F6600" w:rsidP="008F6600">
      <w:pPr>
        <w:tabs>
          <w:tab w:val="left" w:pos="2843"/>
        </w:tabs>
        <w:contextualSpacing/>
        <w:rPr>
          <w:rFonts w:asciiTheme="majorHAnsi" w:hAnsiTheme="majorHAnsi"/>
          <w:sz w:val="24"/>
        </w:rPr>
      </w:pPr>
    </w:p>
    <w:p w14:paraId="0FE56E8B" w14:textId="77777777" w:rsidR="00991528" w:rsidRDefault="00991528" w:rsidP="008F6600">
      <w:pPr>
        <w:tabs>
          <w:tab w:val="left" w:pos="2843"/>
        </w:tabs>
        <w:contextualSpacing/>
        <w:rPr>
          <w:rFonts w:asciiTheme="majorHAnsi" w:hAnsiTheme="majorHAnsi"/>
          <w:b/>
          <w:sz w:val="24"/>
        </w:rPr>
      </w:pPr>
    </w:p>
    <w:p w14:paraId="1A7A2685" w14:textId="77777777" w:rsidR="008F6600" w:rsidRPr="00BF1A95" w:rsidRDefault="008F6600" w:rsidP="008F6600">
      <w:pPr>
        <w:tabs>
          <w:tab w:val="left" w:pos="2843"/>
        </w:tabs>
        <w:contextualSpacing/>
        <w:rPr>
          <w:rFonts w:asciiTheme="majorHAnsi" w:hAnsiTheme="majorHAnsi"/>
          <w:b/>
          <w:sz w:val="24"/>
        </w:rPr>
      </w:pPr>
      <w:r w:rsidRPr="00BF1A95">
        <w:rPr>
          <w:rFonts w:asciiTheme="majorHAnsi" w:hAnsiTheme="majorHAnsi"/>
          <w:b/>
          <w:sz w:val="24"/>
        </w:rPr>
        <w:t>Considerando:</w:t>
      </w:r>
    </w:p>
    <w:p w14:paraId="5B24884B" w14:textId="77777777" w:rsidR="008F6600" w:rsidRPr="00BF1A95" w:rsidRDefault="008F6600" w:rsidP="008F6600">
      <w:pPr>
        <w:tabs>
          <w:tab w:val="left" w:pos="6990"/>
        </w:tabs>
        <w:contextualSpacing/>
        <w:rPr>
          <w:rFonts w:asciiTheme="majorHAnsi" w:hAnsiTheme="majorHAnsi"/>
          <w:sz w:val="24"/>
        </w:rPr>
      </w:pPr>
      <w:r w:rsidRPr="00BF1A95">
        <w:rPr>
          <w:rFonts w:asciiTheme="majorHAnsi" w:hAnsiTheme="majorHAnsi"/>
          <w:sz w:val="24"/>
        </w:rPr>
        <w:tab/>
      </w:r>
    </w:p>
    <w:p w14:paraId="238D8621" w14:textId="77777777" w:rsidR="008F6600" w:rsidRPr="00BF1A95" w:rsidRDefault="008F6600" w:rsidP="008F6600">
      <w:pPr>
        <w:numPr>
          <w:ilvl w:val="0"/>
          <w:numId w:val="14"/>
        </w:numPr>
        <w:spacing w:line="240" w:lineRule="auto"/>
        <w:contextualSpacing/>
        <w:rPr>
          <w:rFonts w:asciiTheme="majorHAnsi" w:hAnsiTheme="majorHAnsi"/>
          <w:sz w:val="24"/>
        </w:rPr>
      </w:pPr>
      <w:r w:rsidRPr="00BF1A95">
        <w:rPr>
          <w:rFonts w:asciiTheme="majorHAnsi" w:hAnsiTheme="majorHAnsi"/>
          <w:sz w:val="24"/>
        </w:rPr>
        <w:t xml:space="preserve">Que mediante la Ley N° 9449 del 10 de mayo del 2017, la Asamblea Legislativa decretó la </w:t>
      </w:r>
      <w:r w:rsidRPr="00BF1A95">
        <w:rPr>
          <w:rFonts w:asciiTheme="majorHAnsi" w:hAnsiTheme="majorHAnsi"/>
          <w:i/>
          <w:sz w:val="24"/>
        </w:rPr>
        <w:t>“Reforma de los artículos 15, 15 bis, 16, 81 y adición de los artículos 15 ter y 16 bis a la ley N.° 7786, ley sobre estupefacientes, sustancias psicotrópicas, drogas de uso no autorizado, actividades conexas, legitimación de capitales y financiamiento al terrorismo, de 30 de abril de 1998”</w:t>
      </w:r>
      <w:r w:rsidRPr="00BF1A95">
        <w:rPr>
          <w:rFonts w:asciiTheme="majorHAnsi" w:hAnsiTheme="majorHAnsi"/>
          <w:sz w:val="24"/>
        </w:rPr>
        <w:t>.</w:t>
      </w:r>
    </w:p>
    <w:p w14:paraId="075F7483" w14:textId="77777777" w:rsidR="008F6600" w:rsidRPr="00BF5985" w:rsidRDefault="008F6600" w:rsidP="008F6600">
      <w:pPr>
        <w:ind w:left="360"/>
        <w:contextualSpacing/>
        <w:rPr>
          <w:rFonts w:asciiTheme="majorHAnsi" w:hAnsiTheme="majorHAnsi"/>
        </w:rPr>
      </w:pPr>
    </w:p>
    <w:p w14:paraId="740574DE" w14:textId="77777777" w:rsidR="008F6600" w:rsidRPr="00BF5985" w:rsidRDefault="008F6600" w:rsidP="008F6600">
      <w:pPr>
        <w:pStyle w:val="Prrafodelista"/>
        <w:numPr>
          <w:ilvl w:val="0"/>
          <w:numId w:val="14"/>
        </w:numPr>
        <w:contextualSpacing/>
        <w:jc w:val="both"/>
        <w:outlineLvl w:val="0"/>
        <w:rPr>
          <w:rFonts w:asciiTheme="majorHAnsi" w:hAnsiTheme="majorHAnsi"/>
          <w:b/>
        </w:rPr>
      </w:pPr>
      <w:r w:rsidRPr="00BF5985">
        <w:rPr>
          <w:rFonts w:asciiTheme="majorHAnsi" w:hAnsiTheme="majorHAnsi"/>
        </w:rPr>
        <w:t xml:space="preserve">Que la </w:t>
      </w:r>
      <w:r w:rsidRPr="00BF5985">
        <w:rPr>
          <w:rFonts w:asciiTheme="majorHAnsi" w:hAnsiTheme="majorHAnsi"/>
          <w:i/>
        </w:rPr>
        <w:t>“Reglamentación de los artículos 15 y 15 bis de la Ley 7786”</w:t>
      </w:r>
      <w:r w:rsidRPr="00BF5985">
        <w:rPr>
          <w:rFonts w:asciiTheme="majorHAnsi" w:hAnsiTheme="majorHAnsi"/>
        </w:rPr>
        <w:t>, dispone en su artículo 3º, que los sujetos obligados establecidos en el artículo 14 de la Ley N° 7786, no podrán iniciar o mantener relaciones comerciales de ninguna naturaleza con todos aquellos sujetos obligados establecidos en los artículos 15 y 15 bis de la citada Ley, que no se encuentren debidamente inscritos ante la Superintendencia General de Entidades Financieras, o que su inscripción se encuentre en estado de suspensión.</w:t>
      </w:r>
      <w:r w:rsidRPr="00BF5985">
        <w:rPr>
          <w:rFonts w:asciiTheme="majorHAnsi" w:hAnsiTheme="majorHAnsi"/>
          <w:b/>
        </w:rPr>
        <w:t xml:space="preserve"> </w:t>
      </w:r>
    </w:p>
    <w:p w14:paraId="10615A18" w14:textId="77777777" w:rsidR="008F6600" w:rsidRDefault="008F6600" w:rsidP="008F6600">
      <w:pPr>
        <w:tabs>
          <w:tab w:val="left" w:pos="2843"/>
        </w:tabs>
        <w:rPr>
          <w:b/>
        </w:rPr>
      </w:pPr>
    </w:p>
    <w:p w14:paraId="01C9FE80" w14:textId="77777777" w:rsidR="008F6600" w:rsidRPr="00BF5985" w:rsidRDefault="008F6600" w:rsidP="008F6600">
      <w:pPr>
        <w:pStyle w:val="Prrafodelista"/>
        <w:numPr>
          <w:ilvl w:val="0"/>
          <w:numId w:val="14"/>
        </w:numPr>
        <w:jc w:val="both"/>
        <w:rPr>
          <w:rFonts w:asciiTheme="majorHAnsi" w:hAnsiTheme="majorHAnsi"/>
          <w:b/>
        </w:rPr>
      </w:pPr>
      <w:r w:rsidRPr="00BF5985">
        <w:rPr>
          <w:rFonts w:asciiTheme="majorHAnsi" w:hAnsiTheme="majorHAnsi"/>
          <w:szCs w:val="22"/>
        </w:rPr>
        <w:t xml:space="preserve">El Consejo Nacional de Supervisión del Sistema Financiero, mediante el artículo 9  del acta de la sesión 1450-2018, celebrada el 8 de octubre de 2018, aprobó el </w:t>
      </w:r>
      <w:r w:rsidRPr="00BF5985">
        <w:rPr>
          <w:rFonts w:asciiTheme="majorHAnsi" w:hAnsiTheme="majorHAnsi"/>
          <w:i/>
          <w:szCs w:val="22"/>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BF5985">
        <w:rPr>
          <w:rFonts w:asciiTheme="majorHAnsi" w:hAnsiTheme="majorHAnsi"/>
          <w:szCs w:val="22"/>
        </w:rPr>
        <w:t xml:space="preserve">, Acuerdo SUGEF 11-18. </w:t>
      </w:r>
    </w:p>
    <w:p w14:paraId="3D351552" w14:textId="77777777" w:rsidR="008F6600" w:rsidRPr="00BF5985" w:rsidRDefault="008F6600" w:rsidP="008F6600">
      <w:pPr>
        <w:pStyle w:val="Prrafodelista"/>
        <w:rPr>
          <w:rFonts w:asciiTheme="majorHAnsi" w:hAnsiTheme="majorHAnsi"/>
          <w:b/>
        </w:rPr>
      </w:pPr>
    </w:p>
    <w:p w14:paraId="387FB3B3" w14:textId="77777777" w:rsidR="008F6600" w:rsidRPr="00BF5985" w:rsidRDefault="008F6600" w:rsidP="008F6600">
      <w:pPr>
        <w:pStyle w:val="Prrafodelista"/>
        <w:numPr>
          <w:ilvl w:val="0"/>
          <w:numId w:val="14"/>
        </w:numPr>
        <w:jc w:val="both"/>
        <w:rPr>
          <w:rFonts w:asciiTheme="majorHAnsi" w:hAnsiTheme="majorHAnsi"/>
          <w:b/>
        </w:rPr>
      </w:pPr>
      <w:r w:rsidRPr="00BF5985">
        <w:rPr>
          <w:rFonts w:asciiTheme="majorHAnsi" w:hAnsiTheme="majorHAnsi"/>
        </w:rPr>
        <w:t xml:space="preserve">El Acuerdo SUGEF 11-18 establece en el artículo 20 que las entidades financieras supervisadas por alguna Superintendencia adscrita al CONASSIF, previo a iniciar relaciones comerciales con los sujetos obligados inscritos ante la SUGEF, según las disposiciones establecidas en los artículos 15 y 15 bis de la Ley 7786, </w:t>
      </w:r>
      <w:r w:rsidRPr="00F726AF">
        <w:rPr>
          <w:rFonts w:asciiTheme="majorHAnsi" w:hAnsiTheme="majorHAnsi"/>
          <w:u w:val="single"/>
        </w:rPr>
        <w:t>deberán verificar que éstos sujetos se encuentran inscritos</w:t>
      </w:r>
      <w:r w:rsidRPr="00BF5985">
        <w:rPr>
          <w:rFonts w:asciiTheme="majorHAnsi" w:hAnsiTheme="majorHAnsi"/>
        </w:rPr>
        <w:t>.</w:t>
      </w:r>
    </w:p>
    <w:p w14:paraId="161D9A65" w14:textId="77777777" w:rsidR="008F6600" w:rsidRPr="00BF5985" w:rsidRDefault="008F6600" w:rsidP="008F6600">
      <w:pPr>
        <w:pStyle w:val="Prrafodelista"/>
        <w:ind w:left="360"/>
        <w:jc w:val="both"/>
        <w:rPr>
          <w:rFonts w:asciiTheme="majorHAnsi" w:hAnsiTheme="majorHAnsi"/>
          <w:b/>
        </w:rPr>
      </w:pPr>
    </w:p>
    <w:p w14:paraId="08B8C94B" w14:textId="77777777" w:rsidR="008F6600" w:rsidRPr="00BF5985" w:rsidRDefault="008F6600" w:rsidP="008F6600">
      <w:pPr>
        <w:pStyle w:val="Prrafodelista"/>
        <w:numPr>
          <w:ilvl w:val="0"/>
          <w:numId w:val="14"/>
        </w:numPr>
        <w:contextualSpacing/>
        <w:jc w:val="both"/>
        <w:outlineLvl w:val="0"/>
        <w:rPr>
          <w:rFonts w:asciiTheme="majorHAnsi" w:hAnsiTheme="majorHAnsi"/>
        </w:rPr>
      </w:pPr>
      <w:r w:rsidRPr="00BF5985">
        <w:rPr>
          <w:rFonts w:asciiTheme="majorHAnsi" w:hAnsiTheme="majorHAnsi"/>
        </w:rPr>
        <w:t xml:space="preserve">El Acuerdo SUGEF 11-18 establece en el artículo 23 que </w:t>
      </w:r>
      <w:r w:rsidRPr="00F726AF">
        <w:rPr>
          <w:rFonts w:asciiTheme="majorHAnsi" w:hAnsiTheme="majorHAnsi"/>
          <w:u w:val="single"/>
        </w:rPr>
        <w:t>las entidades financieras no podrán prestar el servicio a los clientes que realicen actividades descritas en los artículos 15 y 15 bis de la Ley 7786, mientras estos no se encuentren inscritos</w:t>
      </w:r>
      <w:r w:rsidRPr="00BF5985">
        <w:rPr>
          <w:rFonts w:asciiTheme="majorHAnsi" w:hAnsiTheme="majorHAnsi"/>
        </w:rPr>
        <w:t>, asimismo dispone el deber de implementar políticas, procedimientos y controles, con base en riesgo de LC/FT/FPADM para atender las obligaciones mencionadas.</w:t>
      </w:r>
    </w:p>
    <w:p w14:paraId="340F095B" w14:textId="77777777" w:rsidR="008F6600" w:rsidRPr="00BF5985" w:rsidRDefault="008F6600" w:rsidP="008F6600">
      <w:pPr>
        <w:pStyle w:val="Prrafodelista"/>
        <w:ind w:left="360"/>
        <w:contextualSpacing/>
        <w:jc w:val="both"/>
        <w:outlineLvl w:val="0"/>
        <w:rPr>
          <w:rFonts w:asciiTheme="majorHAnsi" w:hAnsiTheme="majorHAnsi"/>
        </w:rPr>
      </w:pPr>
    </w:p>
    <w:p w14:paraId="3FE6A9FF" w14:textId="77777777" w:rsidR="008F6600" w:rsidRPr="00BF5985" w:rsidRDefault="008F6600" w:rsidP="008F6600">
      <w:pPr>
        <w:pStyle w:val="Prrafodelista"/>
        <w:numPr>
          <w:ilvl w:val="0"/>
          <w:numId w:val="14"/>
        </w:numPr>
        <w:contextualSpacing/>
        <w:jc w:val="both"/>
        <w:outlineLvl w:val="0"/>
        <w:rPr>
          <w:rFonts w:asciiTheme="majorHAnsi" w:hAnsiTheme="majorHAnsi"/>
        </w:rPr>
      </w:pPr>
      <w:r w:rsidRPr="00BF5985">
        <w:rPr>
          <w:rFonts w:asciiTheme="majorHAnsi" w:hAnsiTheme="majorHAnsi"/>
        </w:rPr>
        <w:t xml:space="preserve">El  Acuerdo SUGEF 11-18 establece en el artículo 21 que los sujetos obligados deben mantener a su nombre, cuentas, productos o servicios, con entidades financieras supervisadas por alguna Superintendencia adscrita al CONASSIF, </w:t>
      </w:r>
      <w:r w:rsidRPr="00001468">
        <w:rPr>
          <w:rFonts w:asciiTheme="majorHAnsi" w:hAnsiTheme="majorHAnsi"/>
        </w:rPr>
        <w:t>y</w:t>
      </w:r>
      <w:r w:rsidRPr="00BF5985">
        <w:rPr>
          <w:rFonts w:asciiTheme="majorHAnsi" w:hAnsiTheme="majorHAnsi"/>
          <w:u w:val="single"/>
        </w:rPr>
        <w:t xml:space="preserve"> </w:t>
      </w:r>
      <w:r w:rsidRPr="00F726AF">
        <w:rPr>
          <w:rFonts w:asciiTheme="majorHAnsi" w:hAnsiTheme="majorHAnsi"/>
        </w:rPr>
        <w:t>utilizarlas de manera exclusiva para la(s) actividad(s) sujeta(s) a inscripción</w:t>
      </w:r>
      <w:r w:rsidRPr="00BF5985">
        <w:rPr>
          <w:rFonts w:asciiTheme="majorHAnsi" w:hAnsiTheme="majorHAnsi"/>
        </w:rPr>
        <w:t>.</w:t>
      </w:r>
    </w:p>
    <w:p w14:paraId="0F146F7C" w14:textId="77777777" w:rsidR="008F6600" w:rsidRPr="00BF5985" w:rsidRDefault="008F6600" w:rsidP="008F6600">
      <w:pPr>
        <w:pStyle w:val="Prrafodelista"/>
        <w:rPr>
          <w:rFonts w:asciiTheme="majorHAnsi" w:hAnsiTheme="majorHAnsi"/>
        </w:rPr>
      </w:pPr>
    </w:p>
    <w:p w14:paraId="1E05A557" w14:textId="77777777" w:rsidR="008F6600" w:rsidRPr="00BF5985" w:rsidRDefault="008F6600" w:rsidP="008F6600">
      <w:pPr>
        <w:pStyle w:val="Prrafodelista"/>
        <w:numPr>
          <w:ilvl w:val="0"/>
          <w:numId w:val="14"/>
        </w:numPr>
        <w:contextualSpacing/>
        <w:jc w:val="both"/>
        <w:outlineLvl w:val="0"/>
        <w:rPr>
          <w:rFonts w:asciiTheme="majorHAnsi" w:hAnsiTheme="majorHAnsi"/>
        </w:rPr>
      </w:pPr>
      <w:r w:rsidRPr="00BF5985">
        <w:rPr>
          <w:rFonts w:asciiTheme="majorHAnsi" w:hAnsiTheme="majorHAnsi"/>
        </w:rPr>
        <w:t>El Transitorio segundo del Acuerdo SUGEF 11-18 establece que los sujetos obligados a los que se refieren los artículos 15 y 15 bis de la Ley 7786, que a la entrada en vigencia de este Reglamento mantienen relaciones comerciales con las entidades financieras y que no se encuentran inscritos ante la SUGEF, deberán tramitar su inscripción en un plazo máximo de seis meses a partir de la entrada en vigencia de este Reglamento el 1º de enero de 2019.</w:t>
      </w:r>
    </w:p>
    <w:p w14:paraId="59A4C469" w14:textId="77777777" w:rsidR="008F6600" w:rsidRPr="00BF5985" w:rsidRDefault="008F6600" w:rsidP="008F6600">
      <w:pPr>
        <w:tabs>
          <w:tab w:val="left" w:pos="142"/>
        </w:tabs>
        <w:rPr>
          <w:rFonts w:asciiTheme="majorHAnsi" w:hAnsiTheme="majorHAnsi"/>
        </w:rPr>
      </w:pPr>
    </w:p>
    <w:p w14:paraId="210FC6C4" w14:textId="77777777" w:rsidR="008F6600" w:rsidRPr="00BF5985" w:rsidRDefault="008F6600" w:rsidP="008F6600">
      <w:pPr>
        <w:pStyle w:val="Prrafodelista"/>
        <w:ind w:left="360"/>
        <w:contextualSpacing/>
        <w:jc w:val="both"/>
        <w:outlineLvl w:val="0"/>
        <w:rPr>
          <w:rFonts w:asciiTheme="majorHAnsi" w:hAnsiTheme="majorHAnsi"/>
        </w:rPr>
      </w:pPr>
      <w:r w:rsidRPr="00BF5985">
        <w:rPr>
          <w:rFonts w:asciiTheme="majorHAnsi" w:hAnsiTheme="majorHAnsi"/>
        </w:rPr>
        <w:t xml:space="preserve">Al respecto indica que </w:t>
      </w:r>
      <w:r w:rsidRPr="00F726AF">
        <w:rPr>
          <w:rFonts w:asciiTheme="majorHAnsi" w:hAnsiTheme="majorHAnsi"/>
          <w:u w:val="single"/>
        </w:rPr>
        <w:t>las entidades financieras deberán velar porque los sujetos obligados cumplan con la obligación antes mencionada en el plazo establecido</w:t>
      </w:r>
      <w:r w:rsidRPr="00BF5985">
        <w:rPr>
          <w:rFonts w:asciiTheme="majorHAnsi" w:hAnsiTheme="majorHAnsi"/>
        </w:rPr>
        <w:t>.</w:t>
      </w:r>
    </w:p>
    <w:p w14:paraId="7548FFC7" w14:textId="77777777" w:rsidR="008F6600" w:rsidRPr="00BF5985" w:rsidRDefault="008F6600" w:rsidP="008F6600">
      <w:pPr>
        <w:contextualSpacing/>
        <w:outlineLvl w:val="0"/>
        <w:rPr>
          <w:rFonts w:asciiTheme="majorHAnsi" w:hAnsiTheme="majorHAnsi"/>
        </w:rPr>
      </w:pPr>
    </w:p>
    <w:p w14:paraId="0C896670" w14:textId="77777777" w:rsidR="008F6600" w:rsidRDefault="008F6600" w:rsidP="008F6600">
      <w:pPr>
        <w:pStyle w:val="Prrafodelista"/>
        <w:ind w:left="360"/>
        <w:jc w:val="both"/>
        <w:rPr>
          <w:rFonts w:asciiTheme="majorHAnsi" w:hAnsiTheme="majorHAnsi"/>
          <w:b/>
        </w:rPr>
      </w:pPr>
    </w:p>
    <w:p w14:paraId="4A10DB5E" w14:textId="0D107C80" w:rsidR="00BF1A95" w:rsidRDefault="00BF1A95" w:rsidP="008F6600">
      <w:pPr>
        <w:pStyle w:val="Prrafodelista"/>
        <w:ind w:left="360"/>
        <w:jc w:val="both"/>
        <w:rPr>
          <w:rFonts w:asciiTheme="majorHAnsi" w:hAnsiTheme="majorHAnsi"/>
          <w:b/>
        </w:rPr>
      </w:pPr>
    </w:p>
    <w:p w14:paraId="47DD3A40" w14:textId="77777777" w:rsidR="00BF1A95" w:rsidRDefault="00BF1A95" w:rsidP="008F6600">
      <w:pPr>
        <w:pStyle w:val="Prrafodelista"/>
        <w:ind w:left="360"/>
        <w:jc w:val="both"/>
        <w:rPr>
          <w:rFonts w:asciiTheme="majorHAnsi" w:hAnsiTheme="majorHAnsi"/>
          <w:b/>
        </w:rPr>
      </w:pPr>
    </w:p>
    <w:p w14:paraId="0E2B94F5" w14:textId="77777777" w:rsidR="008F6600" w:rsidRPr="00BF1A95" w:rsidRDefault="008F6600" w:rsidP="008F6600">
      <w:pPr>
        <w:contextualSpacing/>
        <w:rPr>
          <w:rFonts w:asciiTheme="majorHAnsi" w:hAnsiTheme="majorHAnsi"/>
          <w:b/>
          <w:sz w:val="28"/>
          <w:szCs w:val="28"/>
        </w:rPr>
      </w:pPr>
      <w:r w:rsidRPr="00BF1A95">
        <w:rPr>
          <w:rFonts w:asciiTheme="majorHAnsi" w:hAnsiTheme="majorHAnsi"/>
          <w:b/>
          <w:sz w:val="28"/>
          <w:szCs w:val="28"/>
        </w:rPr>
        <w:t>Dispone:</w:t>
      </w:r>
    </w:p>
    <w:p w14:paraId="38FE2C4F" w14:textId="77777777" w:rsidR="008F6600" w:rsidRDefault="008F6600" w:rsidP="008F6600">
      <w:pPr>
        <w:contextualSpacing/>
        <w:rPr>
          <w:rFonts w:asciiTheme="majorHAnsi" w:hAnsiTheme="majorHAnsi"/>
          <w:b/>
        </w:rPr>
      </w:pPr>
    </w:p>
    <w:p w14:paraId="135727E8" w14:textId="77777777" w:rsidR="00001468" w:rsidRPr="00BF5985" w:rsidRDefault="00001468" w:rsidP="008F6600">
      <w:pPr>
        <w:contextualSpacing/>
        <w:rPr>
          <w:rFonts w:asciiTheme="majorHAnsi" w:hAnsiTheme="majorHAnsi"/>
          <w:b/>
        </w:rPr>
      </w:pPr>
    </w:p>
    <w:p w14:paraId="09F69A1C" w14:textId="5CD49B23" w:rsidR="008F6600" w:rsidRDefault="008F6600" w:rsidP="008F6600">
      <w:pPr>
        <w:pStyle w:val="Prrafodelista"/>
        <w:numPr>
          <w:ilvl w:val="0"/>
          <w:numId w:val="15"/>
        </w:numPr>
        <w:jc w:val="both"/>
        <w:rPr>
          <w:rFonts w:asciiTheme="majorHAnsi" w:hAnsiTheme="majorHAnsi"/>
        </w:rPr>
      </w:pPr>
      <w:r>
        <w:rPr>
          <w:rFonts w:asciiTheme="majorHAnsi" w:hAnsiTheme="majorHAnsi"/>
        </w:rPr>
        <w:lastRenderedPageBreak/>
        <w:t xml:space="preserve">Informar a las entidades financieras que a la </w:t>
      </w:r>
      <w:r w:rsidR="002231A8">
        <w:rPr>
          <w:rFonts w:asciiTheme="majorHAnsi" w:hAnsiTheme="majorHAnsi"/>
        </w:rPr>
        <w:t>fecha de esta C</w:t>
      </w:r>
      <w:r>
        <w:rPr>
          <w:rFonts w:asciiTheme="majorHAnsi" w:hAnsiTheme="majorHAnsi"/>
        </w:rPr>
        <w:t>ircular se han inscrito aproximadamente 300 sujetos obligados, cantidad por mucho inferior a las estimaciones efectuadas con base en la información suministrada por las entidades financieras en e</w:t>
      </w:r>
      <w:r w:rsidR="002231A8">
        <w:rPr>
          <w:rFonts w:asciiTheme="majorHAnsi" w:hAnsiTheme="majorHAnsi"/>
        </w:rPr>
        <w:t>l año 2017, por lo que se estima</w:t>
      </w:r>
      <w:r>
        <w:rPr>
          <w:rFonts w:asciiTheme="majorHAnsi" w:hAnsiTheme="majorHAnsi"/>
        </w:rPr>
        <w:t xml:space="preserve"> que un gran número de sujetos obligados no ha cumplido con el requerimiento de inscripción, a falta de </w:t>
      </w:r>
      <w:r w:rsidR="00C36172">
        <w:rPr>
          <w:rFonts w:asciiTheme="majorHAnsi" w:hAnsiTheme="majorHAnsi"/>
        </w:rPr>
        <w:t>6 semanas</w:t>
      </w:r>
      <w:r>
        <w:rPr>
          <w:rFonts w:asciiTheme="majorHAnsi" w:hAnsiTheme="majorHAnsi"/>
        </w:rPr>
        <w:t xml:space="preserve"> para que venza el período de inscripción dispuesto en el </w:t>
      </w:r>
      <w:r w:rsidRPr="00BF5985">
        <w:rPr>
          <w:rFonts w:asciiTheme="majorHAnsi" w:hAnsiTheme="majorHAnsi"/>
        </w:rPr>
        <w:t>Transitorio segundo del acuerdo SUGEF 11-1</w:t>
      </w:r>
      <w:r>
        <w:rPr>
          <w:rFonts w:asciiTheme="majorHAnsi" w:hAnsiTheme="majorHAnsi"/>
        </w:rPr>
        <w:t xml:space="preserve">8, el próximo 30 de junio, </w:t>
      </w:r>
      <w:r w:rsidRPr="00D0438D">
        <w:rPr>
          <w:rFonts w:asciiTheme="majorHAnsi" w:hAnsiTheme="majorHAnsi"/>
          <w:u w:val="single"/>
        </w:rPr>
        <w:t>fecha posterior a la cual no se le podrá prestar servicio a los sujetos obligados no inscritos</w:t>
      </w:r>
      <w:r>
        <w:rPr>
          <w:rFonts w:asciiTheme="majorHAnsi" w:hAnsiTheme="majorHAnsi"/>
        </w:rPr>
        <w:t>.</w:t>
      </w:r>
    </w:p>
    <w:p w14:paraId="5482DB9E" w14:textId="77777777" w:rsidR="008F6600" w:rsidRPr="00194393" w:rsidRDefault="008F6600" w:rsidP="008F6600">
      <w:pPr>
        <w:rPr>
          <w:rFonts w:asciiTheme="majorHAnsi" w:hAnsiTheme="majorHAnsi"/>
        </w:rPr>
      </w:pPr>
    </w:p>
    <w:p w14:paraId="3B30261F" w14:textId="77777777" w:rsidR="008F6600" w:rsidRDefault="008F6600" w:rsidP="008F6600">
      <w:pPr>
        <w:pStyle w:val="Prrafodelista"/>
        <w:numPr>
          <w:ilvl w:val="0"/>
          <w:numId w:val="15"/>
        </w:numPr>
        <w:jc w:val="both"/>
        <w:rPr>
          <w:rFonts w:asciiTheme="majorHAnsi" w:hAnsiTheme="majorHAnsi"/>
        </w:rPr>
      </w:pPr>
      <w:r>
        <w:rPr>
          <w:rFonts w:asciiTheme="majorHAnsi" w:hAnsiTheme="majorHAnsi"/>
        </w:rPr>
        <w:t>Recordar que las entidades financieras d</w:t>
      </w:r>
      <w:r w:rsidRPr="00BF5985">
        <w:rPr>
          <w:rFonts w:asciiTheme="majorHAnsi" w:hAnsiTheme="majorHAnsi"/>
        </w:rPr>
        <w:t xml:space="preserve">eben tomar las acciones correspondientes para la atención de las responsabilidades y obligaciones dispuestas en el acuerdo SUGEF 11-18, </w:t>
      </w:r>
      <w:r w:rsidRPr="002231A8">
        <w:rPr>
          <w:rFonts w:asciiTheme="majorHAnsi" w:hAnsiTheme="majorHAnsi"/>
          <w:u w:val="single"/>
        </w:rPr>
        <w:t>respecto a la identificación con base en el conocimiento del cliente, de los sujetos obligados por los artículos 15 y 15 bis de la Ley 7786 que sean clientes o que vayan a iniciar relaciones comerciales con la entidad financiera</w:t>
      </w:r>
      <w:r>
        <w:rPr>
          <w:rFonts w:asciiTheme="majorHAnsi" w:hAnsiTheme="majorHAnsi"/>
        </w:rPr>
        <w:t>, así como velar porque los sujetos obligados cumplan con la inscripción ante la SUGEF.</w:t>
      </w:r>
    </w:p>
    <w:p w14:paraId="4133586A" w14:textId="77777777" w:rsidR="008F6600" w:rsidRPr="004C1B8A" w:rsidRDefault="008F6600" w:rsidP="008F6600">
      <w:pPr>
        <w:pStyle w:val="Prrafodelista"/>
        <w:rPr>
          <w:rFonts w:asciiTheme="majorHAnsi" w:hAnsiTheme="majorHAnsi"/>
        </w:rPr>
      </w:pPr>
    </w:p>
    <w:p w14:paraId="02BBB85C" w14:textId="77777777" w:rsidR="00994F68" w:rsidRPr="00994F68" w:rsidRDefault="002231A8" w:rsidP="008F6600">
      <w:pPr>
        <w:pStyle w:val="Prrafodelista"/>
        <w:numPr>
          <w:ilvl w:val="0"/>
          <w:numId w:val="15"/>
        </w:numPr>
        <w:tabs>
          <w:tab w:val="left" w:pos="426"/>
        </w:tabs>
        <w:contextualSpacing/>
        <w:jc w:val="both"/>
        <w:rPr>
          <w:rFonts w:ascii="Cambria" w:hAnsi="Cambria"/>
        </w:rPr>
      </w:pPr>
      <w:r>
        <w:rPr>
          <w:rFonts w:asciiTheme="majorHAnsi" w:hAnsiTheme="majorHAnsi"/>
        </w:rPr>
        <w:t xml:space="preserve">  </w:t>
      </w:r>
      <w:r w:rsidR="008F6600" w:rsidRPr="006F66D9">
        <w:rPr>
          <w:rFonts w:asciiTheme="majorHAnsi" w:hAnsiTheme="majorHAnsi"/>
        </w:rPr>
        <w:t xml:space="preserve">Informar a esta Superintendencia en el plazo de </w:t>
      </w:r>
      <w:r>
        <w:rPr>
          <w:rFonts w:asciiTheme="majorHAnsi" w:hAnsiTheme="majorHAnsi"/>
          <w:b/>
        </w:rPr>
        <w:t>ocho (8</w:t>
      </w:r>
      <w:r w:rsidR="008F6600" w:rsidRPr="006F66D9">
        <w:rPr>
          <w:rFonts w:asciiTheme="majorHAnsi" w:hAnsiTheme="majorHAnsi"/>
          <w:b/>
        </w:rPr>
        <w:t>) días hábiles</w:t>
      </w:r>
      <w:r w:rsidR="008F6600" w:rsidRPr="006F66D9">
        <w:rPr>
          <w:rFonts w:asciiTheme="majorHAnsi" w:hAnsiTheme="majorHAnsi"/>
        </w:rPr>
        <w:t xml:space="preserve"> contados a partir de esta notificación, las acciones emprendidas por la entidad financiera para identificar y velar porque los sujetos obligados por los artículos 15 y 15 bis de la Ley 7786, que sean clientes, cumplan con la inscripción ante la SUGEF. </w:t>
      </w:r>
    </w:p>
    <w:p w14:paraId="65525A29" w14:textId="77777777" w:rsidR="00994F68" w:rsidRPr="00994F68" w:rsidRDefault="00994F68" w:rsidP="00994F68">
      <w:pPr>
        <w:pStyle w:val="Prrafodelista"/>
        <w:rPr>
          <w:rFonts w:asciiTheme="majorHAnsi" w:hAnsiTheme="majorHAnsi"/>
        </w:rPr>
      </w:pPr>
    </w:p>
    <w:p w14:paraId="69D3BC96" w14:textId="58CA0A62" w:rsidR="008F6600" w:rsidRPr="006F66D9" w:rsidRDefault="008F6600" w:rsidP="00994F68">
      <w:pPr>
        <w:pStyle w:val="Prrafodelista"/>
        <w:tabs>
          <w:tab w:val="left" w:pos="426"/>
        </w:tabs>
        <w:ind w:left="502"/>
        <w:contextualSpacing/>
        <w:jc w:val="both"/>
        <w:rPr>
          <w:rFonts w:ascii="Cambria" w:hAnsi="Cambria"/>
        </w:rPr>
      </w:pPr>
      <w:r w:rsidRPr="006F66D9">
        <w:rPr>
          <w:rFonts w:asciiTheme="majorHAnsi" w:hAnsiTheme="majorHAnsi"/>
        </w:rPr>
        <w:t xml:space="preserve">Entre esto, enviar </w:t>
      </w:r>
      <w:r w:rsidR="00994F68" w:rsidRPr="008F6600">
        <w:rPr>
          <w:rFonts w:ascii="Cambria" w:hAnsi="Cambria"/>
        </w:rPr>
        <w:t>por medio del</w:t>
      </w:r>
      <w:r w:rsidR="00994F68">
        <w:rPr>
          <w:rFonts w:ascii="Cambria" w:hAnsi="Cambria"/>
        </w:rPr>
        <w:t xml:space="preserve"> Sistema de Notificaciones</w:t>
      </w:r>
      <w:r w:rsidR="006E3FC2" w:rsidRPr="006E3FC2">
        <w:rPr>
          <w:rFonts w:ascii="Cambria" w:hAnsi="Cambria"/>
        </w:rPr>
        <w:t xml:space="preserve"> </w:t>
      </w:r>
      <w:r w:rsidR="006E3FC2" w:rsidRPr="006F66D9">
        <w:rPr>
          <w:rFonts w:ascii="Cambria" w:hAnsi="Cambria"/>
        </w:rPr>
        <w:t>en el formato adjunto a esta Circular Externa</w:t>
      </w:r>
      <w:r w:rsidR="00994F68">
        <w:rPr>
          <w:rFonts w:ascii="Cambria" w:hAnsi="Cambria"/>
        </w:rPr>
        <w:t>,</w:t>
      </w:r>
      <w:r w:rsidR="00994F68" w:rsidRPr="006F66D9">
        <w:rPr>
          <w:rFonts w:asciiTheme="majorHAnsi" w:hAnsiTheme="majorHAnsi"/>
        </w:rPr>
        <w:t xml:space="preserve"> </w:t>
      </w:r>
      <w:r w:rsidRPr="006F66D9">
        <w:rPr>
          <w:rFonts w:asciiTheme="majorHAnsi" w:hAnsiTheme="majorHAnsi"/>
        </w:rPr>
        <w:t xml:space="preserve">el listado de los clientes de la entidad financiera que son sujeto de inscripción, </w:t>
      </w:r>
      <w:r w:rsidRPr="006F66D9">
        <w:rPr>
          <w:rFonts w:ascii="Cambria" w:hAnsi="Cambria"/>
        </w:rPr>
        <w:t>según las siguientes consideraciones:</w:t>
      </w:r>
    </w:p>
    <w:p w14:paraId="7AF6BDC6" w14:textId="77777777" w:rsidR="008F6600" w:rsidRDefault="008F6600" w:rsidP="008F6600">
      <w:pPr>
        <w:pStyle w:val="Sangra2detindependiente"/>
        <w:tabs>
          <w:tab w:val="left" w:pos="426"/>
        </w:tabs>
        <w:spacing w:after="0" w:line="240" w:lineRule="auto"/>
        <w:ind w:left="502"/>
        <w:contextualSpacing/>
        <w:jc w:val="both"/>
        <w:rPr>
          <w:rFonts w:ascii="Cambria" w:hAnsi="Cambria"/>
        </w:rPr>
      </w:pPr>
    </w:p>
    <w:p w14:paraId="66DB5BB9" w14:textId="77777777" w:rsidR="008F6600" w:rsidRPr="004322BF" w:rsidRDefault="008F6600" w:rsidP="008F6600">
      <w:pPr>
        <w:pStyle w:val="Sangra2detindependiente"/>
        <w:numPr>
          <w:ilvl w:val="0"/>
          <w:numId w:val="17"/>
        </w:numPr>
        <w:tabs>
          <w:tab w:val="left" w:pos="426"/>
        </w:tabs>
        <w:spacing w:line="240" w:lineRule="auto"/>
        <w:contextualSpacing/>
        <w:jc w:val="both"/>
        <w:rPr>
          <w:rFonts w:ascii="Cambria" w:hAnsi="Cambria"/>
          <w:i/>
        </w:rPr>
      </w:pPr>
      <w:r>
        <w:rPr>
          <w:rFonts w:ascii="Cambria" w:hAnsi="Cambria"/>
        </w:rPr>
        <w:t xml:space="preserve">La información del cuadro de Excel que se anexa, debe contar </w:t>
      </w:r>
      <w:r w:rsidRPr="00D60896">
        <w:rPr>
          <w:rFonts w:ascii="Cambria" w:hAnsi="Cambria"/>
        </w:rPr>
        <w:t>con los siguientes tipos de formatos</w:t>
      </w:r>
      <w:r>
        <w:rPr>
          <w:rFonts w:ascii="Cambria" w:hAnsi="Cambria"/>
        </w:rPr>
        <w:t>, para cada cliente por categoría de APNFDs, como se indica a continuación:</w:t>
      </w:r>
    </w:p>
    <w:p w14:paraId="085ABFB9" w14:textId="77777777" w:rsidR="008F6600" w:rsidRDefault="008F6600" w:rsidP="008F6600">
      <w:pPr>
        <w:pStyle w:val="Sangra2detindependiente"/>
        <w:tabs>
          <w:tab w:val="left" w:pos="426"/>
        </w:tabs>
        <w:spacing w:line="240" w:lineRule="auto"/>
        <w:ind w:left="720"/>
        <w:contextualSpacing/>
        <w:jc w:val="both"/>
        <w:rPr>
          <w:rFonts w:ascii="Cambria" w:hAnsi="Cambria"/>
          <w:i/>
        </w:rPr>
      </w:pPr>
    </w:p>
    <w:tbl>
      <w:tblPr>
        <w:tblStyle w:val="Tablaconcuadrcula"/>
        <w:tblW w:w="7371" w:type="dxa"/>
        <w:tblInd w:w="1129" w:type="dxa"/>
        <w:tblLook w:val="04A0" w:firstRow="1" w:lastRow="0" w:firstColumn="1" w:lastColumn="0" w:noHBand="0" w:noVBand="1"/>
      </w:tblPr>
      <w:tblGrid>
        <w:gridCol w:w="3969"/>
        <w:gridCol w:w="3402"/>
      </w:tblGrid>
      <w:tr w:rsidR="008F6600" w:rsidRPr="00733425" w14:paraId="087BD622" w14:textId="77777777" w:rsidTr="00191A85">
        <w:trPr>
          <w:tblHeader/>
        </w:trPr>
        <w:tc>
          <w:tcPr>
            <w:tcW w:w="3969" w:type="dxa"/>
          </w:tcPr>
          <w:p w14:paraId="1C79C4D2" w14:textId="77777777" w:rsidR="008F6600" w:rsidRPr="00D06CDB" w:rsidRDefault="008F6600" w:rsidP="00191A85">
            <w:pPr>
              <w:pStyle w:val="Sangra2detindependiente"/>
              <w:tabs>
                <w:tab w:val="left" w:pos="426"/>
              </w:tabs>
              <w:spacing w:line="240" w:lineRule="auto"/>
              <w:ind w:left="0"/>
              <w:contextualSpacing/>
              <w:jc w:val="center"/>
              <w:rPr>
                <w:rFonts w:ascii="Cambria" w:hAnsi="Cambria"/>
                <w:b/>
                <w:sz w:val="20"/>
                <w:szCs w:val="20"/>
              </w:rPr>
            </w:pPr>
            <w:r w:rsidRPr="00D06CDB">
              <w:rPr>
                <w:rFonts w:ascii="Cambria" w:hAnsi="Cambria"/>
                <w:b/>
                <w:sz w:val="20"/>
                <w:szCs w:val="20"/>
              </w:rPr>
              <w:t>Campo</w:t>
            </w:r>
          </w:p>
        </w:tc>
        <w:tc>
          <w:tcPr>
            <w:tcW w:w="3402" w:type="dxa"/>
          </w:tcPr>
          <w:p w14:paraId="06807101" w14:textId="77777777" w:rsidR="008F6600" w:rsidRPr="00D06CDB" w:rsidRDefault="008F6600" w:rsidP="00191A85">
            <w:pPr>
              <w:pStyle w:val="Sangra2detindependiente"/>
              <w:tabs>
                <w:tab w:val="left" w:pos="426"/>
              </w:tabs>
              <w:spacing w:line="240" w:lineRule="auto"/>
              <w:ind w:left="0"/>
              <w:contextualSpacing/>
              <w:jc w:val="center"/>
              <w:rPr>
                <w:rFonts w:ascii="Cambria" w:hAnsi="Cambria"/>
                <w:b/>
                <w:sz w:val="20"/>
                <w:szCs w:val="20"/>
              </w:rPr>
            </w:pPr>
            <w:r w:rsidRPr="00D06CDB">
              <w:rPr>
                <w:rFonts w:ascii="Cambria" w:hAnsi="Cambria"/>
                <w:b/>
                <w:sz w:val="20"/>
                <w:szCs w:val="20"/>
              </w:rPr>
              <w:t>Tipo de información</w:t>
            </w:r>
          </w:p>
        </w:tc>
      </w:tr>
      <w:tr w:rsidR="008F6600" w:rsidRPr="00733425" w14:paraId="44ABD895" w14:textId="77777777" w:rsidTr="00191A85">
        <w:tc>
          <w:tcPr>
            <w:tcW w:w="3969" w:type="dxa"/>
          </w:tcPr>
          <w:p w14:paraId="11D2949F" w14:textId="77777777" w:rsidR="008F6600" w:rsidRPr="00733425" w:rsidRDefault="008F6600" w:rsidP="00191A85">
            <w:pPr>
              <w:pStyle w:val="Sangra2detindependiente"/>
              <w:tabs>
                <w:tab w:val="left" w:pos="426"/>
              </w:tabs>
              <w:spacing w:line="240" w:lineRule="auto"/>
              <w:ind w:left="0"/>
              <w:contextualSpacing/>
              <w:jc w:val="both"/>
              <w:rPr>
                <w:rFonts w:ascii="Cambria" w:hAnsi="Cambria"/>
                <w:i/>
                <w:sz w:val="20"/>
                <w:szCs w:val="20"/>
              </w:rPr>
            </w:pPr>
            <w:r w:rsidRPr="00733425">
              <w:rPr>
                <w:rFonts w:ascii="Cambria" w:hAnsi="Cambria"/>
                <w:sz w:val="20"/>
                <w:szCs w:val="20"/>
              </w:rPr>
              <w:t>“</w:t>
            </w:r>
            <w:r w:rsidRPr="00733425">
              <w:rPr>
                <w:rFonts w:ascii="Cambria" w:hAnsi="Cambria"/>
                <w:i/>
                <w:sz w:val="20"/>
                <w:szCs w:val="20"/>
              </w:rPr>
              <w:t>Nombre de todos los clientes</w:t>
            </w:r>
            <w:r>
              <w:rPr>
                <w:rFonts w:ascii="Cambria" w:hAnsi="Cambria"/>
                <w:i/>
                <w:sz w:val="20"/>
                <w:szCs w:val="20"/>
              </w:rPr>
              <w:t>”</w:t>
            </w:r>
          </w:p>
        </w:tc>
        <w:tc>
          <w:tcPr>
            <w:tcW w:w="3402" w:type="dxa"/>
          </w:tcPr>
          <w:p w14:paraId="569C4910" w14:textId="77777777" w:rsidR="008F6600" w:rsidRPr="00733425" w:rsidRDefault="008F6600" w:rsidP="00191A85">
            <w:pPr>
              <w:pStyle w:val="Sangra2detindependiente"/>
              <w:tabs>
                <w:tab w:val="left" w:pos="426"/>
              </w:tabs>
              <w:spacing w:line="240" w:lineRule="auto"/>
              <w:ind w:left="0"/>
              <w:contextualSpacing/>
              <w:jc w:val="center"/>
              <w:rPr>
                <w:rFonts w:ascii="Cambria" w:hAnsi="Cambria"/>
                <w:i/>
                <w:sz w:val="20"/>
                <w:szCs w:val="20"/>
              </w:rPr>
            </w:pPr>
            <w:r w:rsidRPr="00733425">
              <w:rPr>
                <w:rFonts w:ascii="Cambria" w:hAnsi="Cambria"/>
                <w:i/>
                <w:sz w:val="20"/>
                <w:szCs w:val="20"/>
              </w:rPr>
              <w:t>Texto</w:t>
            </w:r>
          </w:p>
        </w:tc>
      </w:tr>
      <w:tr w:rsidR="008F6600" w:rsidRPr="00733425" w14:paraId="12B395A5" w14:textId="77777777" w:rsidTr="00191A85">
        <w:tc>
          <w:tcPr>
            <w:tcW w:w="3969" w:type="dxa"/>
          </w:tcPr>
          <w:p w14:paraId="0FA0A9F1" w14:textId="77777777" w:rsidR="008F6600" w:rsidRPr="00733425" w:rsidRDefault="008F6600" w:rsidP="00191A85">
            <w:pPr>
              <w:pStyle w:val="Sangra2detindependiente"/>
              <w:tabs>
                <w:tab w:val="left" w:pos="426"/>
              </w:tabs>
              <w:spacing w:line="240" w:lineRule="auto"/>
              <w:ind w:left="0"/>
              <w:contextualSpacing/>
              <w:jc w:val="both"/>
              <w:rPr>
                <w:rFonts w:ascii="Cambria" w:hAnsi="Cambria"/>
                <w:i/>
                <w:sz w:val="20"/>
                <w:szCs w:val="20"/>
              </w:rPr>
            </w:pPr>
            <w:r>
              <w:rPr>
                <w:rFonts w:ascii="Cambria" w:hAnsi="Cambria"/>
                <w:i/>
                <w:sz w:val="20"/>
                <w:szCs w:val="20"/>
              </w:rPr>
              <w:t>“Número de documento de identificación</w:t>
            </w:r>
            <w:r w:rsidRPr="00733425">
              <w:rPr>
                <w:rFonts w:ascii="Cambria" w:hAnsi="Cambria"/>
                <w:i/>
                <w:sz w:val="20"/>
                <w:szCs w:val="20"/>
              </w:rPr>
              <w:t xml:space="preserve"> </w:t>
            </w:r>
            <w:r>
              <w:rPr>
                <w:rFonts w:ascii="Cambria" w:hAnsi="Cambria"/>
                <w:i/>
                <w:sz w:val="20"/>
                <w:szCs w:val="20"/>
              </w:rPr>
              <w:t>(ID)</w:t>
            </w:r>
            <w:r w:rsidRPr="00733425">
              <w:rPr>
                <w:rFonts w:ascii="Cambria" w:hAnsi="Cambria"/>
                <w:i/>
                <w:sz w:val="20"/>
                <w:szCs w:val="20"/>
              </w:rPr>
              <w:t>de todos los</w:t>
            </w:r>
            <w:r>
              <w:rPr>
                <w:rFonts w:ascii="Cambria" w:hAnsi="Cambria"/>
                <w:i/>
                <w:sz w:val="20"/>
                <w:szCs w:val="20"/>
              </w:rPr>
              <w:t xml:space="preserve"> clientes</w:t>
            </w:r>
            <w:r w:rsidRPr="00733425">
              <w:rPr>
                <w:rFonts w:ascii="Cambria" w:hAnsi="Cambria"/>
                <w:i/>
                <w:sz w:val="20"/>
                <w:szCs w:val="20"/>
              </w:rPr>
              <w:t>”</w:t>
            </w:r>
          </w:p>
        </w:tc>
        <w:tc>
          <w:tcPr>
            <w:tcW w:w="3402" w:type="dxa"/>
          </w:tcPr>
          <w:p w14:paraId="21A445EA" w14:textId="77777777" w:rsidR="008F6600" w:rsidRDefault="008F6600" w:rsidP="00191A85">
            <w:pPr>
              <w:pStyle w:val="Sangra2detindependiente"/>
              <w:tabs>
                <w:tab w:val="left" w:pos="426"/>
              </w:tabs>
              <w:spacing w:line="240" w:lineRule="auto"/>
              <w:ind w:left="0"/>
              <w:contextualSpacing/>
              <w:jc w:val="center"/>
              <w:rPr>
                <w:rFonts w:ascii="Cambria" w:hAnsi="Cambria"/>
                <w:i/>
                <w:sz w:val="20"/>
                <w:szCs w:val="20"/>
              </w:rPr>
            </w:pPr>
            <w:r w:rsidRPr="00733425">
              <w:rPr>
                <w:rFonts w:ascii="Cambria" w:hAnsi="Cambria"/>
                <w:i/>
                <w:sz w:val="20"/>
                <w:szCs w:val="20"/>
              </w:rPr>
              <w:t>Texto</w:t>
            </w:r>
          </w:p>
          <w:p w14:paraId="361AE0CC" w14:textId="77777777" w:rsidR="008F6600" w:rsidRPr="00A80AC7" w:rsidRDefault="008F6600" w:rsidP="00191A85">
            <w:pPr>
              <w:pStyle w:val="Sangra2detindependiente"/>
              <w:tabs>
                <w:tab w:val="left" w:pos="426"/>
              </w:tabs>
              <w:spacing w:line="240" w:lineRule="auto"/>
              <w:ind w:left="0"/>
              <w:contextualSpacing/>
              <w:jc w:val="center"/>
              <w:rPr>
                <w:rFonts w:ascii="Cambria" w:hAnsi="Cambria"/>
                <w:i/>
                <w:sz w:val="20"/>
                <w:szCs w:val="20"/>
              </w:rPr>
            </w:pPr>
            <w:r w:rsidRPr="00A80AC7">
              <w:rPr>
                <w:rFonts w:ascii="Cambria" w:hAnsi="Cambria"/>
                <w:i/>
                <w:sz w:val="20"/>
                <w:szCs w:val="20"/>
              </w:rPr>
              <w:t>Personas físicas formato de 9 dígitos</w:t>
            </w:r>
          </w:p>
          <w:p w14:paraId="402ED431" w14:textId="77777777" w:rsidR="008F6600" w:rsidRPr="00A80AC7" w:rsidRDefault="008F6600" w:rsidP="00191A85">
            <w:pPr>
              <w:pStyle w:val="Sangra2detindependiente"/>
              <w:tabs>
                <w:tab w:val="left" w:pos="426"/>
              </w:tabs>
              <w:spacing w:line="240" w:lineRule="auto"/>
              <w:ind w:left="0"/>
              <w:contextualSpacing/>
              <w:jc w:val="center"/>
              <w:rPr>
                <w:rFonts w:ascii="Cambria" w:hAnsi="Cambria"/>
                <w:i/>
                <w:sz w:val="20"/>
                <w:szCs w:val="20"/>
              </w:rPr>
            </w:pPr>
            <w:r w:rsidRPr="00A80AC7">
              <w:rPr>
                <w:rFonts w:ascii="Cambria" w:hAnsi="Cambria"/>
                <w:i/>
                <w:sz w:val="20"/>
                <w:szCs w:val="20"/>
              </w:rPr>
              <w:t>Personas jurídicas formato de 10 dígitos</w:t>
            </w:r>
          </w:p>
          <w:p w14:paraId="5F8F2CB9" w14:textId="77777777" w:rsidR="008F6600" w:rsidRPr="00733425" w:rsidRDefault="008F6600" w:rsidP="00191A85">
            <w:pPr>
              <w:pStyle w:val="Sangra2detindependiente"/>
              <w:tabs>
                <w:tab w:val="left" w:pos="426"/>
              </w:tabs>
              <w:spacing w:line="240" w:lineRule="auto"/>
              <w:ind w:left="0"/>
              <w:contextualSpacing/>
              <w:jc w:val="center"/>
              <w:rPr>
                <w:rFonts w:ascii="Cambria" w:hAnsi="Cambria"/>
                <w:i/>
                <w:sz w:val="20"/>
                <w:szCs w:val="20"/>
              </w:rPr>
            </w:pPr>
            <w:r w:rsidRPr="00A80AC7">
              <w:rPr>
                <w:rFonts w:ascii="Cambria" w:hAnsi="Cambria"/>
                <w:i/>
                <w:sz w:val="20"/>
                <w:szCs w:val="20"/>
              </w:rPr>
              <w:t>No incluir guiones</w:t>
            </w:r>
          </w:p>
        </w:tc>
      </w:tr>
      <w:tr w:rsidR="008F6600" w:rsidRPr="00733425" w14:paraId="148FF8AE" w14:textId="77777777" w:rsidTr="00191A85">
        <w:tc>
          <w:tcPr>
            <w:tcW w:w="3969" w:type="dxa"/>
          </w:tcPr>
          <w:p w14:paraId="0E8085A7" w14:textId="77777777" w:rsidR="008F6600" w:rsidRPr="00733425" w:rsidRDefault="008F6600" w:rsidP="00191A85">
            <w:pPr>
              <w:pStyle w:val="Sangra2detindependiente"/>
              <w:tabs>
                <w:tab w:val="left" w:pos="426"/>
              </w:tabs>
              <w:spacing w:line="240" w:lineRule="auto"/>
              <w:ind w:left="0"/>
              <w:contextualSpacing/>
              <w:jc w:val="both"/>
              <w:rPr>
                <w:rFonts w:ascii="Cambria" w:hAnsi="Cambria"/>
                <w:i/>
                <w:sz w:val="20"/>
                <w:szCs w:val="20"/>
              </w:rPr>
            </w:pPr>
            <w:r>
              <w:rPr>
                <w:rFonts w:ascii="Cambria" w:hAnsi="Cambria"/>
                <w:i/>
                <w:sz w:val="20"/>
                <w:szCs w:val="20"/>
              </w:rPr>
              <w:t>“Tipo de documento”</w:t>
            </w:r>
          </w:p>
        </w:tc>
        <w:tc>
          <w:tcPr>
            <w:tcW w:w="3402" w:type="dxa"/>
          </w:tcPr>
          <w:p w14:paraId="73941FAC" w14:textId="77777777" w:rsidR="008F6600" w:rsidRPr="00733425" w:rsidRDefault="008F6600" w:rsidP="00191A85">
            <w:pPr>
              <w:pStyle w:val="Sangra2detindependiente"/>
              <w:tabs>
                <w:tab w:val="left" w:pos="426"/>
              </w:tabs>
              <w:spacing w:line="240" w:lineRule="auto"/>
              <w:ind w:left="0"/>
              <w:contextualSpacing/>
              <w:jc w:val="center"/>
              <w:rPr>
                <w:rFonts w:ascii="Cambria" w:hAnsi="Cambria"/>
                <w:i/>
                <w:sz w:val="20"/>
                <w:szCs w:val="20"/>
              </w:rPr>
            </w:pPr>
            <w:r>
              <w:rPr>
                <w:rFonts w:ascii="Cambria" w:hAnsi="Cambria"/>
                <w:i/>
                <w:sz w:val="20"/>
                <w:szCs w:val="20"/>
              </w:rPr>
              <w:t>Texto</w:t>
            </w:r>
          </w:p>
        </w:tc>
      </w:tr>
      <w:tr w:rsidR="008F6600" w:rsidRPr="00733425" w14:paraId="13F3CE2A" w14:textId="77777777" w:rsidTr="00191A85">
        <w:tc>
          <w:tcPr>
            <w:tcW w:w="3969" w:type="dxa"/>
          </w:tcPr>
          <w:p w14:paraId="7243F3F7" w14:textId="77777777" w:rsidR="008F6600" w:rsidRPr="00733425" w:rsidRDefault="008F6600" w:rsidP="00191A85">
            <w:pPr>
              <w:pStyle w:val="Sangra2detindependiente"/>
              <w:tabs>
                <w:tab w:val="left" w:pos="426"/>
              </w:tabs>
              <w:spacing w:line="240" w:lineRule="auto"/>
              <w:ind w:left="0"/>
              <w:contextualSpacing/>
              <w:jc w:val="both"/>
              <w:rPr>
                <w:rFonts w:ascii="Cambria" w:hAnsi="Cambria"/>
                <w:i/>
                <w:sz w:val="20"/>
                <w:szCs w:val="20"/>
              </w:rPr>
            </w:pPr>
            <w:r>
              <w:rPr>
                <w:rFonts w:ascii="Cambria" w:hAnsi="Cambria"/>
                <w:i/>
                <w:sz w:val="20"/>
                <w:szCs w:val="20"/>
              </w:rPr>
              <w:t>“Actividad”</w:t>
            </w:r>
          </w:p>
        </w:tc>
        <w:tc>
          <w:tcPr>
            <w:tcW w:w="3402" w:type="dxa"/>
          </w:tcPr>
          <w:p w14:paraId="33F332E2" w14:textId="77777777" w:rsidR="008F6600" w:rsidRPr="00733425" w:rsidRDefault="008F6600" w:rsidP="00191A85">
            <w:pPr>
              <w:pStyle w:val="Sangra2detindependiente"/>
              <w:tabs>
                <w:tab w:val="left" w:pos="426"/>
              </w:tabs>
              <w:spacing w:line="240" w:lineRule="auto"/>
              <w:ind w:left="0"/>
              <w:contextualSpacing/>
              <w:jc w:val="center"/>
              <w:rPr>
                <w:rFonts w:ascii="Cambria" w:hAnsi="Cambria"/>
                <w:i/>
                <w:sz w:val="20"/>
                <w:szCs w:val="20"/>
              </w:rPr>
            </w:pPr>
            <w:r>
              <w:rPr>
                <w:rFonts w:ascii="Cambria" w:hAnsi="Cambria"/>
                <w:i/>
                <w:sz w:val="20"/>
                <w:szCs w:val="20"/>
              </w:rPr>
              <w:t>Texto</w:t>
            </w:r>
          </w:p>
        </w:tc>
      </w:tr>
    </w:tbl>
    <w:p w14:paraId="7446D345" w14:textId="77777777" w:rsidR="007B611D" w:rsidRDefault="007B611D" w:rsidP="008F6600">
      <w:pPr>
        <w:pStyle w:val="Sangra2detindependiente"/>
        <w:tabs>
          <w:tab w:val="left" w:pos="426"/>
        </w:tabs>
        <w:spacing w:line="240" w:lineRule="auto"/>
        <w:ind w:left="720"/>
        <w:contextualSpacing/>
        <w:jc w:val="both"/>
        <w:rPr>
          <w:rFonts w:ascii="Cambria" w:hAnsi="Cambria"/>
        </w:rPr>
      </w:pPr>
    </w:p>
    <w:p w14:paraId="607D56A6" w14:textId="77777777" w:rsidR="008F6600" w:rsidRDefault="008F6600" w:rsidP="008F6600">
      <w:pPr>
        <w:pStyle w:val="Sangra2detindependiente"/>
        <w:tabs>
          <w:tab w:val="left" w:pos="426"/>
        </w:tabs>
        <w:spacing w:line="240" w:lineRule="auto"/>
        <w:ind w:left="720"/>
        <w:contextualSpacing/>
        <w:jc w:val="both"/>
        <w:rPr>
          <w:rFonts w:ascii="Cambria" w:hAnsi="Cambria"/>
        </w:rPr>
      </w:pPr>
      <w:r>
        <w:rPr>
          <w:rFonts w:ascii="Cambria" w:hAnsi="Cambria"/>
        </w:rPr>
        <w:t xml:space="preserve">La información que se incluya en el archivo Excel, no debe contener vínculos a referencias de bases de datos de la entidad, o bien a servicios de alojamientos de archivos como por ejemplo </w:t>
      </w:r>
      <w:r w:rsidRPr="00DB1951">
        <w:rPr>
          <w:rFonts w:ascii="Cambria" w:hAnsi="Cambria"/>
          <w:i/>
        </w:rPr>
        <w:t>OneDrive</w:t>
      </w:r>
      <w:r>
        <w:rPr>
          <w:rFonts w:ascii="Cambria" w:hAnsi="Cambria"/>
        </w:rPr>
        <w:t xml:space="preserve"> o </w:t>
      </w:r>
      <w:r w:rsidRPr="00DB1951">
        <w:rPr>
          <w:rFonts w:ascii="Cambria" w:hAnsi="Cambria"/>
          <w:i/>
        </w:rPr>
        <w:t>Google Drive</w:t>
      </w:r>
      <w:r>
        <w:rPr>
          <w:rFonts w:ascii="Cambria" w:hAnsi="Cambria"/>
        </w:rPr>
        <w:t xml:space="preserve">, entre otros, ya que </w:t>
      </w:r>
      <w:r>
        <w:rPr>
          <w:rFonts w:ascii="Cambria" w:hAnsi="Cambria"/>
        </w:rPr>
        <w:lastRenderedPageBreak/>
        <w:t>esto puede generar valores incorrectos en los cálculos de las fórmulas.</w:t>
      </w:r>
    </w:p>
    <w:p w14:paraId="4371FD17" w14:textId="77777777" w:rsidR="008F6600" w:rsidRDefault="008F6600" w:rsidP="008F6600">
      <w:pPr>
        <w:pStyle w:val="Sangra2detindependiente"/>
        <w:tabs>
          <w:tab w:val="left" w:pos="426"/>
        </w:tabs>
        <w:spacing w:line="240" w:lineRule="auto"/>
        <w:ind w:left="720"/>
        <w:contextualSpacing/>
        <w:jc w:val="both"/>
        <w:rPr>
          <w:rFonts w:ascii="Cambria" w:hAnsi="Cambria"/>
          <w:i/>
        </w:rPr>
      </w:pPr>
    </w:p>
    <w:p w14:paraId="6767885D" w14:textId="77777777" w:rsidR="008F6600" w:rsidRPr="004C1B8A" w:rsidRDefault="008F6600" w:rsidP="008F6600">
      <w:pPr>
        <w:pStyle w:val="Prrafodelista"/>
        <w:numPr>
          <w:ilvl w:val="0"/>
          <w:numId w:val="15"/>
        </w:numPr>
        <w:jc w:val="both"/>
        <w:rPr>
          <w:rFonts w:asciiTheme="majorHAnsi" w:hAnsiTheme="majorHAnsi"/>
        </w:rPr>
      </w:pPr>
      <w:r>
        <w:rPr>
          <w:rFonts w:asciiTheme="majorHAnsi" w:hAnsiTheme="majorHAnsi"/>
        </w:rPr>
        <w:t xml:space="preserve">Requerir a las entidades financieras intensificar esfuerzos de velar por la inscripción ante esta Superintendencia de los clientes que sean sujetos obligados </w:t>
      </w:r>
      <w:r w:rsidRPr="00BF5985">
        <w:rPr>
          <w:rFonts w:asciiTheme="majorHAnsi" w:hAnsiTheme="majorHAnsi"/>
        </w:rPr>
        <w:t>por los artí</w:t>
      </w:r>
      <w:r>
        <w:rPr>
          <w:rFonts w:asciiTheme="majorHAnsi" w:hAnsiTheme="majorHAnsi"/>
        </w:rPr>
        <w:t>culos 15 y 15 bis de la Ley 7786.</w:t>
      </w:r>
    </w:p>
    <w:p w14:paraId="09E74A81" w14:textId="77777777" w:rsidR="007F1723" w:rsidRPr="002E2B0A" w:rsidRDefault="007F1723" w:rsidP="00D26EDE">
      <w:pPr>
        <w:pStyle w:val="CentradoResaltado"/>
        <w:spacing w:before="0" w:after="0" w:line="240" w:lineRule="auto"/>
        <w:rPr>
          <w:sz w:val="24"/>
        </w:rPr>
      </w:pPr>
    </w:p>
    <w:p w14:paraId="57A280D4" w14:textId="4C79375B" w:rsidR="0071134B" w:rsidRPr="002E2B0A" w:rsidRDefault="0071134B" w:rsidP="00D26EDE">
      <w:pPr>
        <w:pStyle w:val="Texto0"/>
        <w:spacing w:before="0" w:after="0" w:line="240" w:lineRule="auto"/>
        <w:rPr>
          <w:sz w:val="24"/>
        </w:rPr>
      </w:pPr>
      <w:r w:rsidRPr="002E2B0A">
        <w:rPr>
          <w:sz w:val="24"/>
        </w:rPr>
        <w:t>Atentamente,</w:t>
      </w:r>
    </w:p>
    <w:p w14:paraId="1B8433A8" w14:textId="614D8801" w:rsidR="00E279ED" w:rsidRDefault="00991528" w:rsidP="00D26EDE">
      <w:pPr>
        <w:spacing w:line="240" w:lineRule="auto"/>
        <w:rPr>
          <w:sz w:val="24"/>
        </w:rPr>
      </w:pPr>
      <w:r>
        <w:rPr>
          <w:noProof/>
          <w:lang w:val="es-CR" w:eastAsia="es-CR"/>
        </w:rPr>
        <w:drawing>
          <wp:anchor distT="0" distB="0" distL="114300" distR="114300" simplePos="0" relativeHeight="251658240" behindDoc="1" locked="0" layoutInCell="1" allowOverlap="1" wp14:anchorId="3F3E4DD7" wp14:editId="5E6099C0">
            <wp:simplePos x="0" y="0"/>
            <wp:positionH relativeFrom="column">
              <wp:posOffset>-163830</wp:posOffset>
            </wp:positionH>
            <wp:positionV relativeFrom="paragraph">
              <wp:posOffset>54610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6075D525" w14:textId="3B2C2188" w:rsidR="00E279ED" w:rsidRDefault="00E279ED" w:rsidP="00D26EDE">
      <w:pPr>
        <w:spacing w:line="240" w:lineRule="auto"/>
        <w:rPr>
          <w:sz w:val="24"/>
        </w:rPr>
      </w:pPr>
    </w:p>
    <w:p w14:paraId="69B4E428" w14:textId="56B8A3AF" w:rsidR="00E279ED" w:rsidRPr="002E2B0A" w:rsidRDefault="00E279ED" w:rsidP="00D26EDE">
      <w:pPr>
        <w:spacing w:line="240" w:lineRule="auto"/>
        <w:rPr>
          <w:sz w:val="24"/>
        </w:rPr>
      </w:pPr>
    </w:p>
    <w:p w14:paraId="62C21426" w14:textId="43AA542A" w:rsidR="0063474B" w:rsidRDefault="0063474B" w:rsidP="0063474B">
      <w:pPr>
        <w:jc w:val="left"/>
        <w:rPr>
          <w:sz w:val="24"/>
        </w:rPr>
      </w:pPr>
      <w:r>
        <w:rPr>
          <w:sz w:val="24"/>
        </w:rPr>
        <w:t>Bernardo Alfaro A.</w:t>
      </w:r>
      <w:r>
        <w:rPr>
          <w:sz w:val="24"/>
        </w:rPr>
        <w:br/>
      </w:r>
      <w:r w:rsidRPr="00072CDB">
        <w:rPr>
          <w:b/>
          <w:sz w:val="24"/>
        </w:rPr>
        <w:t>Superintendente</w:t>
      </w:r>
    </w:p>
    <w:p w14:paraId="4A8BE200" w14:textId="249231DF" w:rsidR="00623AFE" w:rsidRDefault="00623AFE" w:rsidP="00623AFE">
      <w:pPr>
        <w:jc w:val="left"/>
        <w:rPr>
          <w:b/>
          <w:sz w:val="24"/>
        </w:rPr>
      </w:pPr>
    </w:p>
    <w:p w14:paraId="4723ECDA" w14:textId="5B519682" w:rsidR="004C6210" w:rsidRDefault="004C6210" w:rsidP="00623AFE">
      <w:pPr>
        <w:jc w:val="left"/>
        <w:rPr>
          <w:b/>
          <w:sz w:val="24"/>
        </w:rPr>
      </w:pPr>
    </w:p>
    <w:bookmarkStart w:id="1" w:name="_MON_1619251201"/>
    <w:bookmarkEnd w:id="1"/>
    <w:p w14:paraId="62185A6B" w14:textId="341E71BA" w:rsidR="004C6210" w:rsidRDefault="006E3FC2" w:rsidP="00623AFE">
      <w:pPr>
        <w:jc w:val="left"/>
        <w:rPr>
          <w:b/>
          <w:sz w:val="24"/>
        </w:rPr>
      </w:pPr>
      <w:r>
        <w:object w:dxaOrig="1530" w:dyaOrig="990" w14:anchorId="64628F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4" o:title=""/>
          </v:shape>
          <o:OLEObject Type="Embed" ProgID="Excel.Sheet.12" ShapeID="_x0000_i1025" DrawAspect="Icon" ObjectID="_1619507112" r:id="rId15"/>
        </w:object>
      </w:r>
    </w:p>
    <w:p w14:paraId="7369FEED" w14:textId="71446A0F" w:rsidR="00C520E3" w:rsidRDefault="00C520E3" w:rsidP="0085692C">
      <w:pPr>
        <w:pStyle w:val="Negrita"/>
      </w:pPr>
    </w:p>
    <w:p w14:paraId="27A0BBD3" w14:textId="77777777" w:rsidR="006E3FC2" w:rsidRDefault="006E3FC2" w:rsidP="0085692C">
      <w:pPr>
        <w:pStyle w:val="Negrita"/>
      </w:pPr>
    </w:p>
    <w:p w14:paraId="3A5DE59B" w14:textId="51D0F0CE" w:rsidR="00A26E9E" w:rsidRPr="006E3FC2" w:rsidRDefault="00C520E3" w:rsidP="00590F07">
      <w:pPr>
        <w:pStyle w:val="CC"/>
        <w:rPr>
          <w:sz w:val="16"/>
          <w:szCs w:val="16"/>
        </w:rPr>
      </w:pPr>
      <w:r w:rsidRPr="006E3FC2">
        <w:rPr>
          <w:sz w:val="16"/>
          <w:szCs w:val="16"/>
        </w:rPr>
        <w:t>BAA/RCA/CSQ/JCB</w:t>
      </w:r>
    </w:p>
    <w:sectPr w:rsidR="00A26E9E" w:rsidRPr="006E3FC2" w:rsidSect="005739A8">
      <w:headerReference w:type="default" r:id="rId16"/>
      <w:footerReference w:type="default" r:id="rId17"/>
      <w:headerReference w:type="first" r:id="rId18"/>
      <w:footerReference w:type="first" r:id="rId19"/>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76DBD" w14:textId="77777777" w:rsidR="008F6600" w:rsidRDefault="008F6600" w:rsidP="00D43D57">
      <w:r>
        <w:separator/>
      </w:r>
    </w:p>
  </w:endnote>
  <w:endnote w:type="continuationSeparator" w:id="0">
    <w:p w14:paraId="4624E63C" w14:textId="77777777" w:rsidR="008F6600" w:rsidRDefault="008F6600"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09171" w14:textId="77777777"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26A007B9" w14:textId="77777777" w:rsidTr="008F1461">
      <w:trPr>
        <w:trHeight w:val="546"/>
      </w:trPr>
      <w:tc>
        <w:tcPr>
          <w:tcW w:w="3189" w:type="dxa"/>
          <w:shd w:val="clear" w:color="auto" w:fill="FFFFFF"/>
          <w:vAlign w:val="center"/>
        </w:tcPr>
        <w:p w14:paraId="3E288507" w14:textId="77777777" w:rsidR="008F1461" w:rsidRDefault="008F1461" w:rsidP="000C62BB">
          <w:pPr>
            <w:pStyle w:val="Piepagina"/>
          </w:pPr>
          <w:r>
            <w:rPr>
              <w:b/>
              <w:bCs/>
            </w:rPr>
            <w:t>Teléfono</w:t>
          </w:r>
          <w:r>
            <w:t xml:space="preserve">   (506) 2243-4848</w:t>
          </w:r>
        </w:p>
        <w:p w14:paraId="33842361"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6F4DFECD" w14:textId="77777777" w:rsidR="008F1461" w:rsidRDefault="008F1461" w:rsidP="000C62BB">
          <w:pPr>
            <w:pStyle w:val="Piepagina"/>
          </w:pPr>
          <w:r>
            <w:rPr>
              <w:b/>
              <w:bCs/>
            </w:rPr>
            <w:t>Apartado</w:t>
          </w:r>
          <w:r>
            <w:t xml:space="preserve"> 2762-1000</w:t>
          </w:r>
        </w:p>
        <w:p w14:paraId="1E34F204" w14:textId="77777777" w:rsidR="008F1461" w:rsidRDefault="008F1461" w:rsidP="000C62BB">
          <w:pPr>
            <w:pStyle w:val="Piepagina"/>
          </w:pPr>
          <w:r>
            <w:t>San José, Costa Rica</w:t>
          </w:r>
        </w:p>
      </w:tc>
      <w:tc>
        <w:tcPr>
          <w:tcW w:w="2410" w:type="dxa"/>
          <w:shd w:val="clear" w:color="auto" w:fill="FFFFFF"/>
          <w:vAlign w:val="center"/>
        </w:tcPr>
        <w:p w14:paraId="70353A86" w14:textId="77777777" w:rsidR="008F1461" w:rsidRDefault="008F1461" w:rsidP="000C62BB">
          <w:pPr>
            <w:pStyle w:val="Piepagina"/>
          </w:pPr>
          <w:r>
            <w:t>www.sugef.fi.cr</w:t>
          </w:r>
        </w:p>
        <w:p w14:paraId="451313ED" w14:textId="77777777" w:rsidR="008F1461" w:rsidRDefault="008F1461" w:rsidP="000C62BB">
          <w:pPr>
            <w:pStyle w:val="Piepagina"/>
          </w:pPr>
          <w:r>
            <w:t>sugefcr@sugef.fi.cr</w:t>
          </w:r>
        </w:p>
      </w:tc>
      <w:tc>
        <w:tcPr>
          <w:tcW w:w="260" w:type="dxa"/>
          <w:shd w:val="clear" w:color="auto" w:fill="FFFFFF"/>
        </w:tcPr>
        <w:p w14:paraId="07F03EA5" w14:textId="77777777" w:rsidR="008F1461" w:rsidRDefault="008F1461" w:rsidP="000C62BB">
          <w:pPr>
            <w:pStyle w:val="Piepagina"/>
          </w:pPr>
          <w:r>
            <w:fldChar w:fldCharType="begin"/>
          </w:r>
          <w:r>
            <w:instrText>PAGE   \* MERGEFORMAT</w:instrText>
          </w:r>
          <w:r>
            <w:fldChar w:fldCharType="separate"/>
          </w:r>
          <w:r w:rsidR="009C2B52">
            <w:rPr>
              <w:noProof/>
            </w:rPr>
            <w:t>1</w:t>
          </w:r>
          <w:r>
            <w:fldChar w:fldCharType="end"/>
          </w:r>
        </w:p>
      </w:tc>
    </w:tr>
  </w:tbl>
  <w:p w14:paraId="64551E7E" w14:textId="77777777" w:rsidR="00590F07" w:rsidRPr="000C62BB" w:rsidRDefault="00590F07">
    <w:pPr>
      <w:pStyle w:val="Piedepgina"/>
      <w:jc w:val="right"/>
      <w:rPr>
        <w:color w:val="969696"/>
        <w:sz w:val="20"/>
        <w:szCs w:val="20"/>
      </w:rPr>
    </w:pPr>
  </w:p>
  <w:p w14:paraId="307FC342"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53858"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56073449" wp14:editId="6D6DB95F">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256D5E16" wp14:editId="6FBF2D1C">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27114" w14:textId="77777777" w:rsidR="001C075B" w:rsidRPr="00FA54DF" w:rsidRDefault="001C075B">
                          <w:pPr>
                            <w:rPr>
                              <w:color w:val="003A68"/>
                              <w:sz w:val="14"/>
                              <w:szCs w:val="14"/>
                            </w:rPr>
                          </w:pPr>
                          <w:r w:rsidRPr="00FA54DF">
                            <w:rPr>
                              <w:color w:val="003A68"/>
                              <w:sz w:val="14"/>
                              <w:szCs w:val="14"/>
                            </w:rPr>
                            <w:t xml:space="preserve">T. (506) 2243-3631   </w:t>
                          </w:r>
                        </w:p>
                        <w:p w14:paraId="6E28C0F0" w14:textId="77777777" w:rsidR="001C075B" w:rsidRPr="00FA54DF" w:rsidRDefault="001C075B">
                          <w:pPr>
                            <w:rPr>
                              <w:color w:val="003A68"/>
                              <w:sz w:val="14"/>
                              <w:szCs w:val="14"/>
                            </w:rPr>
                          </w:pPr>
                          <w:r w:rsidRPr="00FA54DF">
                            <w:rPr>
                              <w:color w:val="003A68"/>
                              <w:sz w:val="14"/>
                              <w:szCs w:val="14"/>
                            </w:rPr>
                            <w:t xml:space="preserve">F. (506) 2243-4579   </w:t>
                          </w:r>
                        </w:p>
                        <w:p w14:paraId="2C7EABA1" w14:textId="77777777" w:rsidR="001C075B" w:rsidRDefault="001C075B">
                          <w:pPr>
                            <w:rPr>
                              <w:color w:val="003A68"/>
                              <w:sz w:val="14"/>
                              <w:szCs w:val="14"/>
                            </w:rPr>
                          </w:pPr>
                          <w:r w:rsidRPr="00FA54DF">
                            <w:rPr>
                              <w:color w:val="003A68"/>
                              <w:sz w:val="14"/>
                              <w:szCs w:val="14"/>
                            </w:rPr>
                            <w:t>Apdo. 10058-1000</w:t>
                          </w:r>
                        </w:p>
                        <w:p w14:paraId="128AFD75" w14:textId="77777777" w:rsidR="001C075B" w:rsidRDefault="001C075B">
                          <w:pPr>
                            <w:rPr>
                              <w:color w:val="003A68"/>
                              <w:sz w:val="14"/>
                              <w:szCs w:val="14"/>
                            </w:rPr>
                          </w:pPr>
                          <w:r w:rsidRPr="00FA54DF">
                            <w:rPr>
                              <w:color w:val="003A68"/>
                              <w:sz w:val="14"/>
                              <w:szCs w:val="14"/>
                            </w:rPr>
                            <w:t>Av. 1 y Central, Calles 2 y 4</w:t>
                          </w:r>
                        </w:p>
                        <w:p w14:paraId="792A2D4B"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56D5E16">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14327114" w14:textId="77777777">
                    <w:pPr>
                      <w:rPr>
                        <w:color w:val="003A68"/>
                        <w:sz w:val="14"/>
                        <w:szCs w:val="14"/>
                      </w:rPr>
                    </w:pPr>
                    <w:r w:rsidRPr="00FA54DF">
                      <w:rPr>
                        <w:color w:val="003A68"/>
                        <w:sz w:val="14"/>
                        <w:szCs w:val="14"/>
                      </w:rPr>
                      <w:t xml:space="preserve">T. (506) 2243-3631   </w:t>
                    </w:r>
                  </w:p>
                  <w:p w:rsidRPr="00FA54DF" w:rsidR="001C075B" w:rsidRDefault="001C075B" w14:paraId="6E28C0F0" w14:textId="77777777">
                    <w:pPr>
                      <w:rPr>
                        <w:color w:val="003A68"/>
                        <w:sz w:val="14"/>
                        <w:szCs w:val="14"/>
                      </w:rPr>
                    </w:pPr>
                    <w:r w:rsidRPr="00FA54DF">
                      <w:rPr>
                        <w:color w:val="003A68"/>
                        <w:sz w:val="14"/>
                        <w:szCs w:val="14"/>
                      </w:rPr>
                      <w:t xml:space="preserve">F. (506) 2243-4579   </w:t>
                    </w:r>
                  </w:p>
                  <w:p w:rsidR="001C075B" w:rsidRDefault="001C075B" w14:paraId="2C7EABA1" w14:textId="77777777">
                    <w:pPr>
                      <w:rPr>
                        <w:color w:val="003A68"/>
                        <w:sz w:val="14"/>
                        <w:szCs w:val="14"/>
                      </w:rPr>
                    </w:pPr>
                    <w:r w:rsidRPr="00FA54DF">
                      <w:rPr>
                        <w:color w:val="003A68"/>
                        <w:sz w:val="14"/>
                        <w:szCs w:val="14"/>
                      </w:rPr>
                      <w:t>Apdo. 10058-1000</w:t>
                    </w:r>
                  </w:p>
                  <w:p w:rsidR="001C075B" w:rsidRDefault="001C075B" w14:paraId="128AFD75" w14:textId="77777777">
                    <w:pPr>
                      <w:rPr>
                        <w:color w:val="003A68"/>
                        <w:sz w:val="14"/>
                        <w:szCs w:val="14"/>
                      </w:rPr>
                    </w:pPr>
                    <w:r w:rsidRPr="00FA54DF">
                      <w:rPr>
                        <w:color w:val="003A68"/>
                        <w:sz w:val="14"/>
                        <w:szCs w:val="14"/>
                      </w:rPr>
                      <w:t>Av. 1 y Central, Calles 2 y 4</w:t>
                    </w:r>
                  </w:p>
                  <w:p w:rsidRPr="00FA54DF" w:rsidR="001C075B" w:rsidRDefault="001C075B" w14:paraId="792A2D4B" w14:textId="77777777">
                    <w:pPr>
                      <w:rPr>
                        <w:color w:val="003A68"/>
                        <w:sz w:val="14"/>
                        <w:szCs w:val="14"/>
                      </w:rPr>
                    </w:pPr>
                  </w:p>
                </w:txbxContent>
              </v:textbox>
            </v:shape>
          </w:pict>
        </mc:Fallback>
      </mc:AlternateContent>
    </w:r>
  </w:p>
  <w:p w14:paraId="0D8F6602" w14:textId="77777777" w:rsidR="001C075B" w:rsidRPr="00D43D57" w:rsidRDefault="001C075B" w:rsidP="008C0BF0">
    <w:pPr>
      <w:pStyle w:val="Piepagina"/>
      <w:jc w:val="center"/>
    </w:pPr>
  </w:p>
  <w:p w14:paraId="51490CA1"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EF466" w14:textId="77777777" w:rsidR="008F6600" w:rsidRDefault="008F6600" w:rsidP="00D43D57">
      <w:r>
        <w:separator/>
      </w:r>
    </w:p>
  </w:footnote>
  <w:footnote w:type="continuationSeparator" w:id="0">
    <w:p w14:paraId="50AC2062" w14:textId="77777777" w:rsidR="008F6600" w:rsidRDefault="008F6600"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21A6C" w14:textId="77777777" w:rsidR="001C075B" w:rsidRDefault="001327EB" w:rsidP="001327EB">
    <w:pPr>
      <w:pStyle w:val="Piedepgina"/>
      <w:jc w:val="center"/>
    </w:pPr>
    <w:r>
      <w:rPr>
        <w:noProof/>
        <w:lang w:val="es-CR" w:eastAsia="es-CR"/>
      </w:rPr>
      <w:drawing>
        <wp:inline distT="0" distB="0" distL="0" distR="0" wp14:anchorId="5F4C8E5B" wp14:editId="16FE2868">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E130D"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2F60CE1D" wp14:editId="2FCFE815">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582DB6B5"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3EB617EE"/>
    <w:multiLevelType w:val="hybridMultilevel"/>
    <w:tmpl w:val="9A72B824"/>
    <w:lvl w:ilvl="0" w:tplc="140A001B">
      <w:start w:val="1"/>
      <w:numFmt w:val="lowerRoman"/>
      <w:lvlText w:val="%1."/>
      <w:lvlJc w:val="righ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3" w15:restartNumberingAfterBreak="0">
    <w:nsid w:val="59EB54B7"/>
    <w:multiLevelType w:val="hybridMultilevel"/>
    <w:tmpl w:val="A6081F54"/>
    <w:lvl w:ilvl="0" w:tplc="54628496">
      <w:start w:val="1"/>
      <w:numFmt w:val="lowerLetter"/>
      <w:lvlText w:val="%1)"/>
      <w:lvlJc w:val="left"/>
      <w:pPr>
        <w:ind w:left="502" w:hanging="360"/>
      </w:pPr>
      <w:rPr>
        <w:rFonts w:hint="default"/>
        <w:b w:val="0"/>
        <w:sz w:val="24"/>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4" w15:restartNumberingAfterBreak="0">
    <w:nsid w:val="66DA7379"/>
    <w:multiLevelType w:val="hybridMultilevel"/>
    <w:tmpl w:val="4D7AD2F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16" w15:restartNumberingAfterBreak="0">
    <w:nsid w:val="7A130361"/>
    <w:multiLevelType w:val="hybridMultilevel"/>
    <w:tmpl w:val="99E6A63C"/>
    <w:lvl w:ilvl="0" w:tplc="BE5C5318">
      <w:start w:val="1"/>
      <w:numFmt w:val="decimal"/>
      <w:lvlText w:val="%1."/>
      <w:lvlJc w:val="lef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6"/>
  </w:num>
  <w:num w:numId="15">
    <w:abstractNumId w:val="13"/>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600"/>
    <w:rsid w:val="00001468"/>
    <w:rsid w:val="000064A4"/>
    <w:rsid w:val="00016F39"/>
    <w:rsid w:val="000235B5"/>
    <w:rsid w:val="00026C85"/>
    <w:rsid w:val="00030100"/>
    <w:rsid w:val="00041BDD"/>
    <w:rsid w:val="000439A6"/>
    <w:rsid w:val="00060C03"/>
    <w:rsid w:val="000646DD"/>
    <w:rsid w:val="00077397"/>
    <w:rsid w:val="00081865"/>
    <w:rsid w:val="00082968"/>
    <w:rsid w:val="000C62BB"/>
    <w:rsid w:val="000E0AC6"/>
    <w:rsid w:val="000E1009"/>
    <w:rsid w:val="000F34AE"/>
    <w:rsid w:val="00117501"/>
    <w:rsid w:val="001249BA"/>
    <w:rsid w:val="001322B4"/>
    <w:rsid w:val="001327EB"/>
    <w:rsid w:val="0016220C"/>
    <w:rsid w:val="001653C6"/>
    <w:rsid w:val="001946F4"/>
    <w:rsid w:val="001A6574"/>
    <w:rsid w:val="001B70CB"/>
    <w:rsid w:val="001C075B"/>
    <w:rsid w:val="001C1768"/>
    <w:rsid w:val="001C5806"/>
    <w:rsid w:val="001E0448"/>
    <w:rsid w:val="002231A8"/>
    <w:rsid w:val="00230C67"/>
    <w:rsid w:val="002645B7"/>
    <w:rsid w:val="002C56A4"/>
    <w:rsid w:val="002E26C3"/>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4C71"/>
    <w:rsid w:val="003E4EDB"/>
    <w:rsid w:val="00410551"/>
    <w:rsid w:val="00414B77"/>
    <w:rsid w:val="00427002"/>
    <w:rsid w:val="00445881"/>
    <w:rsid w:val="00447A41"/>
    <w:rsid w:val="00455063"/>
    <w:rsid w:val="004822E6"/>
    <w:rsid w:val="00492FE3"/>
    <w:rsid w:val="004C6210"/>
    <w:rsid w:val="004D7F44"/>
    <w:rsid w:val="004F74E7"/>
    <w:rsid w:val="005105C4"/>
    <w:rsid w:val="0053623F"/>
    <w:rsid w:val="00540154"/>
    <w:rsid w:val="00550D78"/>
    <w:rsid w:val="00557369"/>
    <w:rsid w:val="005706D1"/>
    <w:rsid w:val="005739A8"/>
    <w:rsid w:val="005751FC"/>
    <w:rsid w:val="00577A95"/>
    <w:rsid w:val="005852CF"/>
    <w:rsid w:val="00590F07"/>
    <w:rsid w:val="0059392E"/>
    <w:rsid w:val="005B448F"/>
    <w:rsid w:val="005C173B"/>
    <w:rsid w:val="005E07F2"/>
    <w:rsid w:val="005E39BB"/>
    <w:rsid w:val="005F071E"/>
    <w:rsid w:val="006033C4"/>
    <w:rsid w:val="00603B3F"/>
    <w:rsid w:val="00604A3D"/>
    <w:rsid w:val="0060703F"/>
    <w:rsid w:val="00614D68"/>
    <w:rsid w:val="00620B23"/>
    <w:rsid w:val="00623AFE"/>
    <w:rsid w:val="0062633F"/>
    <w:rsid w:val="00630B5C"/>
    <w:rsid w:val="0063474B"/>
    <w:rsid w:val="00635AC4"/>
    <w:rsid w:val="00640202"/>
    <w:rsid w:val="00662901"/>
    <w:rsid w:val="00681F7A"/>
    <w:rsid w:val="00692661"/>
    <w:rsid w:val="006C2059"/>
    <w:rsid w:val="006E3610"/>
    <w:rsid w:val="006E3FC2"/>
    <w:rsid w:val="006E6F58"/>
    <w:rsid w:val="0071134B"/>
    <w:rsid w:val="00714DC4"/>
    <w:rsid w:val="00730990"/>
    <w:rsid w:val="00742018"/>
    <w:rsid w:val="0074397B"/>
    <w:rsid w:val="007455FF"/>
    <w:rsid w:val="00755896"/>
    <w:rsid w:val="00765619"/>
    <w:rsid w:val="007736D4"/>
    <w:rsid w:val="0079518D"/>
    <w:rsid w:val="007B18D6"/>
    <w:rsid w:val="007B391D"/>
    <w:rsid w:val="007B51DD"/>
    <w:rsid w:val="007B611D"/>
    <w:rsid w:val="007D1328"/>
    <w:rsid w:val="007F1723"/>
    <w:rsid w:val="007F327D"/>
    <w:rsid w:val="007F3A44"/>
    <w:rsid w:val="007F5430"/>
    <w:rsid w:val="008202A0"/>
    <w:rsid w:val="008310AB"/>
    <w:rsid w:val="00832753"/>
    <w:rsid w:val="00842773"/>
    <w:rsid w:val="008433AB"/>
    <w:rsid w:val="0085692C"/>
    <w:rsid w:val="00864362"/>
    <w:rsid w:val="00887400"/>
    <w:rsid w:val="00892708"/>
    <w:rsid w:val="00893B0D"/>
    <w:rsid w:val="00895097"/>
    <w:rsid w:val="008A1AA2"/>
    <w:rsid w:val="008A63B7"/>
    <w:rsid w:val="008A69C1"/>
    <w:rsid w:val="008B3838"/>
    <w:rsid w:val="008C0BF0"/>
    <w:rsid w:val="008D0528"/>
    <w:rsid w:val="008E5850"/>
    <w:rsid w:val="008F1461"/>
    <w:rsid w:val="008F33F5"/>
    <w:rsid w:val="008F6600"/>
    <w:rsid w:val="00904CBE"/>
    <w:rsid w:val="00906CC5"/>
    <w:rsid w:val="00936085"/>
    <w:rsid w:val="009475B6"/>
    <w:rsid w:val="00957A11"/>
    <w:rsid w:val="00962265"/>
    <w:rsid w:val="0097235C"/>
    <w:rsid w:val="00977CEE"/>
    <w:rsid w:val="00982147"/>
    <w:rsid w:val="00983CB1"/>
    <w:rsid w:val="00984A65"/>
    <w:rsid w:val="009908DE"/>
    <w:rsid w:val="00991528"/>
    <w:rsid w:val="00994F68"/>
    <w:rsid w:val="009B5E5E"/>
    <w:rsid w:val="009C2B52"/>
    <w:rsid w:val="009C47FE"/>
    <w:rsid w:val="009F54CB"/>
    <w:rsid w:val="00A26E9E"/>
    <w:rsid w:val="00A34523"/>
    <w:rsid w:val="00A76A2E"/>
    <w:rsid w:val="00A84CDB"/>
    <w:rsid w:val="00A906DD"/>
    <w:rsid w:val="00AA5F0A"/>
    <w:rsid w:val="00AB1CD1"/>
    <w:rsid w:val="00AB580B"/>
    <w:rsid w:val="00AC5138"/>
    <w:rsid w:val="00AC5E12"/>
    <w:rsid w:val="00AE3929"/>
    <w:rsid w:val="00AF45B7"/>
    <w:rsid w:val="00AF482D"/>
    <w:rsid w:val="00B079EC"/>
    <w:rsid w:val="00B1318C"/>
    <w:rsid w:val="00B43C40"/>
    <w:rsid w:val="00B464F6"/>
    <w:rsid w:val="00B77CF0"/>
    <w:rsid w:val="00B80284"/>
    <w:rsid w:val="00B84E87"/>
    <w:rsid w:val="00B90216"/>
    <w:rsid w:val="00B94DE2"/>
    <w:rsid w:val="00B96F68"/>
    <w:rsid w:val="00BA112E"/>
    <w:rsid w:val="00BA711C"/>
    <w:rsid w:val="00BB0F2F"/>
    <w:rsid w:val="00BB470C"/>
    <w:rsid w:val="00BB54E1"/>
    <w:rsid w:val="00BC03D6"/>
    <w:rsid w:val="00BD71E9"/>
    <w:rsid w:val="00BE119A"/>
    <w:rsid w:val="00BE6A0B"/>
    <w:rsid w:val="00BE7B10"/>
    <w:rsid w:val="00BF1A95"/>
    <w:rsid w:val="00C039CE"/>
    <w:rsid w:val="00C1795E"/>
    <w:rsid w:val="00C22C6C"/>
    <w:rsid w:val="00C2558D"/>
    <w:rsid w:val="00C36172"/>
    <w:rsid w:val="00C414C9"/>
    <w:rsid w:val="00C42047"/>
    <w:rsid w:val="00C5093E"/>
    <w:rsid w:val="00C520E3"/>
    <w:rsid w:val="00C60480"/>
    <w:rsid w:val="00C64425"/>
    <w:rsid w:val="00C71968"/>
    <w:rsid w:val="00C809BA"/>
    <w:rsid w:val="00C9305E"/>
    <w:rsid w:val="00CA3FA8"/>
    <w:rsid w:val="00CB07CA"/>
    <w:rsid w:val="00CE3B72"/>
    <w:rsid w:val="00D03728"/>
    <w:rsid w:val="00D06E99"/>
    <w:rsid w:val="00D102F8"/>
    <w:rsid w:val="00D10AD8"/>
    <w:rsid w:val="00D179DE"/>
    <w:rsid w:val="00D2424F"/>
    <w:rsid w:val="00D26EDE"/>
    <w:rsid w:val="00D302DC"/>
    <w:rsid w:val="00D32808"/>
    <w:rsid w:val="00D43D57"/>
    <w:rsid w:val="00D44EF3"/>
    <w:rsid w:val="00D45FC0"/>
    <w:rsid w:val="00D54C08"/>
    <w:rsid w:val="00D55CA3"/>
    <w:rsid w:val="00D96D0A"/>
    <w:rsid w:val="00DB3508"/>
    <w:rsid w:val="00DB3E70"/>
    <w:rsid w:val="00DC2193"/>
    <w:rsid w:val="00DC3B8E"/>
    <w:rsid w:val="00DE08C6"/>
    <w:rsid w:val="00DE18D9"/>
    <w:rsid w:val="00E0013C"/>
    <w:rsid w:val="00E11252"/>
    <w:rsid w:val="00E11C48"/>
    <w:rsid w:val="00E13C47"/>
    <w:rsid w:val="00E279ED"/>
    <w:rsid w:val="00E5185D"/>
    <w:rsid w:val="00E75AC8"/>
    <w:rsid w:val="00E82177"/>
    <w:rsid w:val="00EA2CDD"/>
    <w:rsid w:val="00EB4E27"/>
    <w:rsid w:val="00EB71D8"/>
    <w:rsid w:val="00EC2E48"/>
    <w:rsid w:val="00ED0FDD"/>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C0C28"/>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3814876"/>
  <w15:docId w15:val="{19C26FA9-F7FD-49BE-9097-B4AEE3799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3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styleId="Prrafodelista">
    <w:name w:val="List Paragraph"/>
    <w:basedOn w:val="Normal"/>
    <w:link w:val="PrrafodelistaCar"/>
    <w:uiPriority w:val="34"/>
    <w:qFormat/>
    <w:locked/>
    <w:rsid w:val="008F6600"/>
    <w:pPr>
      <w:spacing w:line="240" w:lineRule="auto"/>
      <w:ind w:left="708"/>
      <w:jc w:val="left"/>
    </w:pPr>
    <w:rPr>
      <w:rFonts w:ascii="Times New Roman" w:hAnsi="Times New Roman"/>
      <w:sz w:val="24"/>
      <w:lang w:eastAsia="es-ES"/>
    </w:rPr>
  </w:style>
  <w:style w:type="character" w:customStyle="1" w:styleId="PrrafodelistaCar">
    <w:name w:val="Párrafo de lista Car"/>
    <w:link w:val="Prrafodelista"/>
    <w:uiPriority w:val="34"/>
    <w:locked/>
    <w:rsid w:val="008F6600"/>
    <w:rPr>
      <w:rFonts w:ascii="Times New Roman" w:eastAsia="Times New Roman" w:hAnsi="Times New Roman"/>
      <w:sz w:val="24"/>
      <w:szCs w:val="24"/>
      <w:lang w:val="es-ES" w:eastAsia="es-ES"/>
    </w:rPr>
  </w:style>
  <w:style w:type="paragraph" w:styleId="Sangra2detindependiente">
    <w:name w:val="Body Text Indent 2"/>
    <w:basedOn w:val="Normal"/>
    <w:link w:val="Sangra2detindependienteCar"/>
    <w:locked/>
    <w:rsid w:val="008F6600"/>
    <w:pPr>
      <w:spacing w:after="120" w:line="480" w:lineRule="auto"/>
      <w:ind w:left="283"/>
      <w:jc w:val="left"/>
    </w:pPr>
    <w:rPr>
      <w:rFonts w:ascii="Times New Roman" w:hAnsi="Times New Roman"/>
      <w:sz w:val="24"/>
      <w:lang w:eastAsia="es-ES"/>
    </w:rPr>
  </w:style>
  <w:style w:type="character" w:customStyle="1" w:styleId="Sangra2detindependienteCar">
    <w:name w:val="Sangría 2 de t. independiente Car"/>
    <w:basedOn w:val="Fuentedeprrafopredeter"/>
    <w:link w:val="Sangra2detindependiente"/>
    <w:rsid w:val="008F6600"/>
    <w:rPr>
      <w:rFonts w:ascii="Times New Roman" w:eastAsia="Times New Roman" w:hAnsi="Times New Roman"/>
      <w:sz w:val="24"/>
      <w:szCs w:val="24"/>
      <w:lang w:val="es-ES" w:eastAsia="es-ES"/>
    </w:rPr>
  </w:style>
  <w:style w:type="character" w:styleId="Refdecomentario">
    <w:name w:val="annotation reference"/>
    <w:basedOn w:val="Fuentedeprrafopredeter"/>
    <w:uiPriority w:val="99"/>
    <w:semiHidden/>
    <w:unhideWhenUsed/>
    <w:locked/>
    <w:rsid w:val="001249BA"/>
    <w:rPr>
      <w:sz w:val="16"/>
      <w:szCs w:val="16"/>
    </w:rPr>
  </w:style>
  <w:style w:type="paragraph" w:styleId="Textocomentario">
    <w:name w:val="annotation text"/>
    <w:basedOn w:val="Normal"/>
    <w:link w:val="TextocomentarioCar"/>
    <w:uiPriority w:val="99"/>
    <w:semiHidden/>
    <w:unhideWhenUsed/>
    <w:locked/>
    <w:rsid w:val="001249B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249BA"/>
    <w:rPr>
      <w:rFonts w:ascii="Cambria" w:eastAsia="Times New Roman" w:hAnsi="Cambria"/>
      <w:lang w:val="es-ES" w:eastAsia="en-US"/>
    </w:rPr>
  </w:style>
  <w:style w:type="paragraph" w:styleId="Asuntodelcomentario">
    <w:name w:val="annotation subject"/>
    <w:basedOn w:val="Textocomentario"/>
    <w:next w:val="Textocomentario"/>
    <w:link w:val="AsuntodelcomentarioCar"/>
    <w:uiPriority w:val="99"/>
    <w:semiHidden/>
    <w:unhideWhenUsed/>
    <w:locked/>
    <w:rsid w:val="001249BA"/>
    <w:rPr>
      <w:b/>
      <w:bCs/>
    </w:rPr>
  </w:style>
  <w:style w:type="character" w:customStyle="1" w:styleId="AsuntodelcomentarioCar">
    <w:name w:val="Asunto del comentario Car"/>
    <w:basedOn w:val="TextocomentarioCar"/>
    <w:link w:val="Asuntodelcomentario"/>
    <w:uiPriority w:val="99"/>
    <w:semiHidden/>
    <w:rsid w:val="001249BA"/>
    <w:rPr>
      <w:rFonts w:ascii="Cambria" w:eastAsia="Times New Roman" w:hAnsi="Cambria"/>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Hoja_de_c_lculo_de_Microsoft_Excel1.xlsx"/><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GF-ACL-CAQ-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98B493A840440AA61C12D77159B4FC"/>
        <w:category>
          <w:name w:val="General"/>
          <w:gallery w:val="placeholder"/>
        </w:category>
        <w:types>
          <w:type w:val="bbPlcHdr"/>
        </w:types>
        <w:behaviors>
          <w:behavior w:val="content"/>
        </w:behaviors>
        <w:guid w:val="{7707780C-E594-434A-806C-23AECCB3E2B7}"/>
      </w:docPartPr>
      <w:docPartBody>
        <w:p w:rsidR="00121862" w:rsidRDefault="00121862">
          <w:pPr>
            <w:pStyle w:val="D898B493A840440AA61C12D77159B4FC"/>
          </w:pPr>
          <w:r w:rsidRPr="001E0779">
            <w:rPr>
              <w:rStyle w:val="Textodelmarcadordeposicin"/>
            </w:rPr>
            <w:t>Haga clic aquí para escribir texto.</w:t>
          </w:r>
        </w:p>
      </w:docPartBody>
    </w:docPart>
    <w:docPart>
      <w:docPartPr>
        <w:name w:val="44254A82F9894B778C1DEEF3DF2DC6C8"/>
        <w:category>
          <w:name w:val="General"/>
          <w:gallery w:val="placeholder"/>
        </w:category>
        <w:types>
          <w:type w:val="bbPlcHdr"/>
        </w:types>
        <w:behaviors>
          <w:behavior w:val="content"/>
        </w:behaviors>
        <w:guid w:val="{F405F883-4F27-4FC9-92B0-2637B1D9D628}"/>
      </w:docPartPr>
      <w:docPartBody>
        <w:p w:rsidR="00121862" w:rsidRDefault="00121862">
          <w:pPr>
            <w:pStyle w:val="44254A82F9894B778C1DEEF3DF2DC6C8"/>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862"/>
    <w:rsid w:val="0012186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D898B493A840440AA61C12D77159B4FC">
    <w:name w:val="D898B493A840440AA61C12D77159B4FC"/>
  </w:style>
  <w:style w:type="paragraph" w:customStyle="1" w:styleId="44254A82F9894B778C1DEEF3DF2DC6C8">
    <w:name w:val="44254A82F9894B778C1DEEF3DF2DC6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OW32KJwRHhLSGV360b/SurKLS2kMG4KBoiMF4Rrk5L4=</DigestValue>
    </Reference>
    <Reference Type="http://www.w3.org/2000/09/xmldsig#Object" URI="#idOfficeObject">
      <DigestMethod Algorithm="http://www.w3.org/2001/04/xmlenc#sha256"/>
      <DigestValue>D32n6twDmxtN252ZMHyvEriQl47MC+ENDRGQ5bcLTx0=</DigestValue>
    </Reference>
    <Reference Type="http://uri.etsi.org/01903#SignedProperties" URI="#idSignedProperties">
      <Transforms>
        <Transform Algorithm="http://www.w3.org/TR/2001/REC-xml-c14n-20010315"/>
      </Transforms>
      <DigestMethod Algorithm="http://www.w3.org/2001/04/xmlenc#sha256"/>
      <DigestValue>U7TpPtfm1jedEHvMlYl680vpHs6EYYFpoJ5lUeYzEzw=</DigestValue>
    </Reference>
  </SignedInfo>
  <SignatureValue>XOBVQ7VY2YMi0Bx8gwC8qCUxmLDIDFKfYQYhK8BfVJPb2x4aBm16ea9OslxetEYscq6kZrOaof2U
L1m/jw9AskP2wV9KWqqCFMKJ4LoPHgefX6arJ+Hn3/ObzNJK3e1gwzhabvma/drAh15ujP9jg5Ma
YvlIKB2oanzrNROintNCmCX6/J+wBJvbz0ZBHKogdStKdPscJWAP8B3b2JRDTb6h6Y7BWcHhV7hc
Tc09HzbsutgrHm3NN80q2HIKHXHoCarBpaR+kso9L8z+t7CCwqcPJy/M7DRCeAjo1BtzLdzpL3W+
/Cm4Vbygmg5bhiZSZcWp86xxHjDnmdDtudl2Dg==</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vC12m9bBKMIATdtuW2nsO8pawtAotxARS+SwMfB5+Gk=</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PaIwTLyfl2Rqly7UaKB+Pa1oSZ0Kn9+45LFmHTudVLY=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JpjmlSVvbmpoE6m+LJjlnco+HLgmy6UouAr76cMw3SU=</DigestValue>
      </Reference>
      <Reference URI="/word/document.xml?ContentType=application/vnd.openxmlformats-officedocument.wordprocessingml.document.main+xml">
        <DigestMethod Algorithm="http://www.w3.org/2001/04/xmlenc#sha256"/>
        <DigestValue>kH/p4gdZorU+1BQgzwr752Vry3h9ca+GW0Aux9YUl9A=</DigestValue>
      </Reference>
      <Reference URI="/word/embeddings/Hoja_de_c_lculo_de_Microsoft_Excel1.xlsx?ContentType=application/vnd.openxmlformats-officedocument.spreadsheetml.sheet">
        <DigestMethod Algorithm="http://www.w3.org/2001/04/xmlenc#sha256"/>
        <DigestValue>BjnzYUIL19eHT9B6GTMwBhCc0HZBpNfW3aEJwdSstQE=</DigestValue>
      </Reference>
      <Reference URI="/word/endnotes.xml?ContentType=application/vnd.openxmlformats-officedocument.wordprocessingml.endnotes+xml">
        <DigestMethod Algorithm="http://www.w3.org/2001/04/xmlenc#sha256"/>
        <DigestValue>DGMNV2pGOQn4wSny/VhraBJsbN9wUnnKAb4auvaMatw=</DigestValue>
      </Reference>
      <Reference URI="/word/fontTable.xml?ContentType=application/vnd.openxmlformats-officedocument.wordprocessingml.fontTable+xml">
        <DigestMethod Algorithm="http://www.w3.org/2001/04/xmlenc#sha256"/>
        <DigestValue>3+KqZaTOG/uTKj5ONP+CSanzwYQm6JPDdLBH9LVrX70=</DigestValue>
      </Reference>
      <Reference URI="/word/footer1.xml?ContentType=application/vnd.openxmlformats-officedocument.wordprocessingml.footer+xml">
        <DigestMethod Algorithm="http://www.w3.org/2001/04/xmlenc#sha256"/>
        <DigestValue>LSPQ+Dtu0xxRKVQoBn2Z5m1k+XA6qdxFz6QMyfz744Q=</DigestValue>
      </Reference>
      <Reference URI="/word/footer2.xml?ContentType=application/vnd.openxmlformats-officedocument.wordprocessingml.footer+xml">
        <DigestMethod Algorithm="http://www.w3.org/2001/04/xmlenc#sha256"/>
        <DigestValue>Gj0QX9mEESwYZWhWPmL3AoNKDesw8RPH2MLumAag7m0=</DigestValue>
      </Reference>
      <Reference URI="/word/footnotes.xml?ContentType=application/vnd.openxmlformats-officedocument.wordprocessingml.footnotes+xml">
        <DigestMethod Algorithm="http://www.w3.org/2001/04/xmlenc#sha256"/>
        <DigestValue>OOQi++BgXal7RaocqRcQZfpgIr1SW4FJ7P918wfzVO0=</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Eq4+2jRD7aEytPesnfGJ0BIdAqK8EnlEa4Hr6o3toiE=</DigestValue>
      </Reference>
      <Reference URI="/word/glossary/fontTable.xml?ContentType=application/vnd.openxmlformats-officedocument.wordprocessingml.fontTable+xml">
        <DigestMethod Algorithm="http://www.w3.org/2001/04/xmlenc#sha256"/>
        <DigestValue>N6pw+MPk6LE6Q3MhylhTraJJNoCYm5JZUsPW/m3Vxes=</DigestValue>
      </Reference>
      <Reference URI="/word/glossary/settings.xml?ContentType=application/vnd.openxmlformats-officedocument.wordprocessingml.settings+xml">
        <DigestMethod Algorithm="http://www.w3.org/2001/04/xmlenc#sha256"/>
        <DigestValue>qrFsofbplDBsVM7TuZgLBzjMHnk9EDvdCC+JOcR/PII=</DigestValue>
      </Reference>
      <Reference URI="/word/glossary/styles.xml?ContentType=application/vnd.openxmlformats-officedocument.wordprocessingml.styles+xml">
        <DigestMethod Algorithm="http://www.w3.org/2001/04/xmlenc#sha256"/>
        <DigestValue>Aq02ZEuUYwL3ug6kwauoZo0UwnZV46tb6e7n4xTLNks=</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X9MjClh4gHI3DVePXMnkWdJWPMzFB5I6MC8Clf9F8sU=</DigestValue>
      </Reference>
      <Reference URI="/word/header2.xml?ContentType=application/vnd.openxmlformats-officedocument.wordprocessingml.header+xml">
        <DigestMethod Algorithm="http://www.w3.org/2001/04/xmlenc#sha256"/>
        <DigestValue>z8lnbULuC3wmNcgicBLK1ETvamjCVcOSv0hu48ZfQzg=</DigestValue>
      </Reference>
      <Reference URI="/word/media/image1.jpg?ContentType=image/jpeg">
        <DigestMethod Algorithm="http://www.w3.org/2001/04/xmlenc#sha256"/>
        <DigestValue>zN5VKDa5XMdgPJ6I4/Etb0KUY/2VpqVkpzhmlLjozAY=</DigestValue>
      </Reference>
      <Reference URI="/word/media/image2.emf?ContentType=image/x-emf">
        <DigestMethod Algorithm="http://www.w3.org/2001/04/xmlenc#sha256"/>
        <DigestValue>Oun2X371+V4iLnIBuV9iXU8eOLBmlBhrpVhCU2NXQHM=</DigestValue>
      </Reference>
      <Reference URI="/word/media/image3.png?ContentType=image/png">
        <DigestMethod Algorithm="http://www.w3.org/2001/04/xmlenc#sha256"/>
        <DigestValue>qpOpLv7+AIBBXGXobYzZUmN/7IR83yO/J/JVrvtB94I=</DigestValue>
      </Reference>
      <Reference URI="/word/media/image4.png?ContentType=image/png">
        <DigestMethod Algorithm="http://www.w3.org/2001/04/xmlenc#sha256"/>
        <DigestValue>vGEioF61iBkLUIFyzTOyjq1R/XwtuEdlhHNL4gwrSnc=</DigestValue>
      </Reference>
      <Reference URI="/word/media/image5.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6NRfVjiEAIv8RIS7eGl+NjnjP8s32Oqpwte4hygZ1KI=</DigestValue>
      </Reference>
      <Reference URI="/word/settings.xml?ContentType=application/vnd.openxmlformats-officedocument.wordprocessingml.settings+xml">
        <DigestMethod Algorithm="http://www.w3.org/2001/04/xmlenc#sha256"/>
        <DigestValue>F5HkdgNDix3Fo4I5xVzZHyTnJ1hw5WYmXH1EilKOTSE=</DigestValue>
      </Reference>
      <Reference URI="/word/styles.xml?ContentType=application/vnd.openxmlformats-officedocument.wordprocessingml.styles+xml">
        <DigestMethod Algorithm="http://www.w3.org/2001/04/xmlenc#sha256"/>
        <DigestValue>eMgRJgiZtigkbet1DQgvhywjmAqtp7MuF1Tki/03Oj0=</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2019-05-16T19:53:25Z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2019-05-16T19:53:25Z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TaxCatchAll xmlns="b875e23b-67d9-4b2e-bdec-edacbf90b326">
      <Value>426</Value>
      <Value>3</Value>
      <Value>2</Value>
      <Value>127</Value>
      <Value>63</Value>
    </TaxCatchAll>
    <OtraEntidadExterna xmlns="b875e23b-67d9-4b2e-bdec-edacbf90b326" xsi:nil="true"/>
    <Firmado xmlns="b875e23b-67d9-4b2e-bdec-edacbf90b326">true</Firmado>
    <Responsable xmlns="b875e23b-67d9-4b2e-bdec-edacbf90b326">
      <UserInfo>
        <DisplayName>COTO ALFARO RAFAEL</DisplayName>
        <AccountId>291</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i:0#.w|pdc-atlantida\cotoar</DisplayName>
        <AccountId>291</AccountId>
        <AccountType/>
      </UserInfo>
      <UserInfo>
        <DisplayName>i:0#.w|pdc-atlantida\soleraqc</DisplayName>
        <AccountId>842</AccountId>
        <AccountType/>
      </UserInfo>
      <UserInfo>
        <DisplayName>i:0#.w|pdc-atlantida\cespedesbj</DisplayName>
        <AccountId>914</AccountId>
        <AccountType/>
      </UserInfo>
      <UserInfo>
        <DisplayName>i:0#.w|pdc-atlantida\vargasom</DisplayName>
        <AccountId>913</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Resolutivo</InformativoResolutivo>
    <NoReferencia xmlns="b875e23b-67d9-4b2e-bdec-edacbf90b326">No tiene</NoReferencia>
    <l7effaed12754cb5ac10c41f8d7b4c94 xmlns="b875e23b-67d9-4b2e-bdec-edacbf90b326">
      <Terms xmlns="http://schemas.microsoft.com/office/infopath/2007/PartnerControls">
        <TermInfo xmlns="http://schemas.microsoft.com/office/infopath/2007/PartnerControls">
          <TermName>Circular</TermName>
          <TermId>a95dd0af-ef18-4305-9c8d-aa79141c6059</TermId>
        </TermInfo>
      </Terms>
    </l7effaed12754cb5ac10c41f8d7b4c94>
    <ObservacionesCorrespondencia xmlns="b875e23b-67d9-4b2e-bdec-edacbf90b326">&lt;div class="ExternalClass02E62719FC994088AD3E7A5401A5577A"&gt;Circular Externa Entidades Financieras Inscripción pendiente 
Enviar a las entidades indicadas en la circular&lt;/div&gt;</ObservacionesCorrespondencia>
    <lb0b7da792b243d9bfa96ad7487ad734 xmlns="b875e23b-67d9-4b2e-bdec-edacbf90b326">
      <Terms xmlns="http://schemas.microsoft.com/office/infopath/2007/PartnerControls">
        <TermInfo xmlns="http://schemas.microsoft.com/office/infopath/2007/PartnerControls">
          <TermName>Propietario</TermName>
          <TermId>172cdb65-abed-4947-8339-a6c2477d21bb</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2019-05-06T06:00:00+00:00</FechaDocumento>
    <RemitenteOriginal xmlns="b875e23b-67d9-4b2e-bdec-edacbf90b326">Cumplimiento Art. 15 y Art. 15 bis</RemitenteOriginal>
    <Secretaria xmlns="b875e23b-67d9-4b2e-bdec-edacbf90b326">
      <UserInfo>
        <DisplayName>ARIAS ALFARO ALEJANDRA</DisplayName>
        <AccountId>282</AccountId>
        <AccountType/>
      </UserInfo>
    </Secretaria>
    <e78d451c341b4341be14d5956588aac4 xmlns="b875e23b-67d9-4b2e-bdec-edacbf90b326">
      <Terms xmlns="http://schemas.microsoft.com/office/infopath/2007/PartnerControls"/>
    </e78d451c341b4341be14d5956588aac4>
    <Año xmlns="b875e23b-67d9-4b2e-bdec-edacbf90b326">2019</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Entidades Financieras Inscripción pendiente</Subject1>
    <Entrante_x0020_relacionado xmlns="b875e23b-67d9-4b2e-bdec-edacbf90b326">
      <Url xsi:nil="true"/>
      <Description xsi:nil="true"/>
    </Entrante_x0020_relacionad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9" ma:contentTypeDescription="Crear nuevo documento." ma:contentTypeScope="" ma:versionID="6c274b3f6c42630a817a051bcc9f7f3d">
  <xsd:schema xmlns:xsd="http://www.w3.org/2001/XMLSchema" xmlns:xs="http://www.w3.org/2001/XMLSchema" xmlns:p="http://schemas.microsoft.com/office/2006/metadata/properties" xmlns:ns2="b875e23b-67d9-4b2e-bdec-edacbf90b326" targetNamespace="http://schemas.microsoft.com/office/2006/metadata/properties" ma:root="true" ma:fieldsID="d860af5f71ca2d74983836cfc2e1787b"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Entrante_x0020_relacionado" minOccurs="0"/>
                <xsd:element ref="ns2:Secretaria" minOccurs="0"/>
                <xsd:element ref="ns2:oe70cbf463ba4d19a6203d9e6cd457e4" minOccurs="0"/>
                <xsd:element ref="ns2:OtraEntidadExterna" minOccurs="0"/>
                <xsd:element ref="ns2:RemitenteOriginal" minOccurs="0"/>
                <xsd:element ref="ns2:NoReferenci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Entrante_x0020_relacionado" ma:index="3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7"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39" nillable="true" ma:displayName="Remitente original" ma:internalName="RemitenteOriginal" ma:readOnly="false">
      <xsd:simpleType>
        <xsd:restriction base="dms:Text">
          <xsd:maxLength value="255"/>
        </xsd:restriction>
      </xsd:simpleType>
    </xsd:element>
    <xsd:element name="NoReferencia" ma:index="41" ma:displayName="No. Referencia" ma:internalName="NoReferencia"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BF82E-1A70-4392-8CF2-7DEAFF1953AE}"/>
</file>

<file path=customXml/itemProps2.xml><?xml version="1.0" encoding="utf-8"?>
<ds:datastoreItem xmlns:ds="http://schemas.openxmlformats.org/officeDocument/2006/customXml" ds:itemID="{C8BF7237-7071-47B9-A7EF-78F803F2012F}"/>
</file>

<file path=customXml/itemProps3.xml><?xml version="1.0" encoding="utf-8"?>
<ds:datastoreItem xmlns:ds="http://schemas.openxmlformats.org/officeDocument/2006/customXml" ds:itemID="{89CE0913-C28A-482F-BB12-5706CBE8A9B9}"/>
</file>

<file path=customXml/itemProps4.xml><?xml version="1.0" encoding="utf-8"?>
<ds:datastoreItem xmlns:ds="http://schemas.openxmlformats.org/officeDocument/2006/customXml" ds:itemID="{79767354-C28E-4D3C-AA00-0BFF102B14FC}"/>
</file>

<file path=customXml/itemProps5.xml><?xml version="1.0" encoding="utf-8"?>
<ds:datastoreItem xmlns:ds="http://schemas.openxmlformats.org/officeDocument/2006/customXml" ds:itemID="{9BDD4964-FE18-49DC-BCC7-EE3B8FF5BB4A}"/>
</file>

<file path=customXml/itemProps6.xml><?xml version="1.0" encoding="utf-8"?>
<ds:datastoreItem xmlns:ds="http://schemas.openxmlformats.org/officeDocument/2006/customXml" ds:itemID="{9CA401DE-4844-4E25-89B8-E95EBE6D127E}"/>
</file>

<file path=docProps/app.xml><?xml version="1.0" encoding="utf-8"?>
<Properties xmlns="http://schemas.openxmlformats.org/officeDocument/2006/extended-properties" xmlns:vt="http://schemas.openxmlformats.org/officeDocument/2006/docPropsVTypes">
  <Template>plantilla-SGF-ACL-CAQ-13-E.dotm</Template>
  <TotalTime>128</TotalTime>
  <Pages>4</Pages>
  <Words>1082</Words>
  <Characters>5953</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SOLERA QUESADA CELENIA</dc:creator>
  <cp:lastModifiedBy>Alejandra Arias Alfaro</cp:lastModifiedBy>
  <cp:revision>14</cp:revision>
  <cp:lastPrinted>2015-07-30T22:36:00Z</cp:lastPrinted>
  <dcterms:created xsi:type="dcterms:W3CDTF">2019-05-06T21:52:00Z</dcterms:created>
  <dcterms:modified xsi:type="dcterms:W3CDTF">2019-05-16T16:19:00Z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426;#Circular|a95dd0af-ef18-4305-9c8d-aa79141c6059</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127;#Propietario|172cdb65-abed-4947-8339-a6c2477d21bb</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6100</vt:r8>
  </property>
  <property fmtid="{D5CDD505-2E9C-101B-9397-08002B2CF9AE}" pid="13" name="Confidencialidad">
    <vt:lpwstr>Propietario|172cdb65-abed-4947-8339-a6c2477d21bb</vt:lpwstr>
  </property>
  <property fmtid="{D5CDD505-2E9C-101B-9397-08002B2CF9AE}" pid="14" name="WorkflowChangePath">
    <vt:lpwstr>db02241f-29c2-4291-a3e5-2279928b3947,4;d0e83af1-b0eb-40a2-ba65-b7f8bb3cd533,7;</vt:lpwstr>
  </property>
</Properties>
</file>