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D58" w:rsidP="00181ABF" w:rsidRDefault="00403D58" w14:paraId="55FF6A5A" w14:textId="77777777">
      <w:pPr>
        <w:pStyle w:val="Texto"/>
        <w:spacing w:before="0" w:after="0" w:line="240" w:lineRule="auto"/>
        <w:rPr>
          <w:sz w:val="24"/>
        </w:rPr>
      </w:pPr>
    </w:p>
    <w:p w:rsidR="00403D58" w:rsidP="00181ABF" w:rsidRDefault="00403D58" w14:paraId="429FF156" w14:textId="77777777">
      <w:pPr>
        <w:pStyle w:val="Texto"/>
        <w:spacing w:before="0" w:after="0" w:line="240" w:lineRule="auto"/>
        <w:rPr>
          <w:sz w:val="24"/>
        </w:rPr>
      </w:pPr>
    </w:p>
    <w:p w:rsidRPr="00EE55C8" w:rsidR="00EE55C8" w:rsidP="00EE55C8" w:rsidRDefault="00EE55C8" w14:paraId="197AF567" w14:textId="77777777">
      <w:pPr>
        <w:spacing w:line="240" w:lineRule="auto"/>
        <w:contextualSpacing/>
        <w:jc w:val="center"/>
        <w:rPr>
          <w:b/>
          <w:bCs/>
          <w:sz w:val="24"/>
          <w:lang w:val="es-ES"/>
        </w:rPr>
      </w:pPr>
      <w:r w:rsidRPr="00EE55C8">
        <w:rPr>
          <w:b/>
          <w:bCs/>
          <w:sz w:val="24"/>
          <w:lang w:val="es-ES"/>
        </w:rPr>
        <w:t>Circular Externa</w:t>
      </w:r>
    </w:p>
    <w:p w:rsidRPr="002E2B0A" w:rsidR="00181ABF" w:rsidP="00EE55C8" w:rsidRDefault="00EE55C8" w14:paraId="0CFA46A3" w14:textId="78DC350E">
      <w:pPr>
        <w:pStyle w:val="Texto"/>
        <w:spacing w:before="0" w:after="0" w:line="240" w:lineRule="auto"/>
        <w:jc w:val="center"/>
        <w:rPr>
          <w:sz w:val="24"/>
        </w:rPr>
      </w:pPr>
      <w:r>
        <w:rPr>
          <w:sz w:val="24"/>
        </w:rPr>
        <w:t>0</w:t>
      </w:r>
      <w:r w:rsidR="00415A35">
        <w:rPr>
          <w:sz w:val="24"/>
        </w:rPr>
        <w:t>7</w:t>
      </w:r>
      <w:r w:rsidRPr="002E2B0A" w:rsidR="00181ABF">
        <w:rPr>
          <w:sz w:val="24"/>
        </w:rPr>
        <w:t xml:space="preserve"> de </w:t>
      </w:r>
      <w:r>
        <w:rPr>
          <w:sz w:val="24"/>
        </w:rPr>
        <w:t>marzo</w:t>
      </w:r>
      <w:r w:rsidRPr="002E2B0A" w:rsidR="00181ABF">
        <w:rPr>
          <w:sz w:val="24"/>
        </w:rPr>
        <w:t xml:space="preserve"> de </w:t>
      </w:r>
      <w:r>
        <w:rPr>
          <w:sz w:val="24"/>
        </w:rPr>
        <w:t>2024</w:t>
      </w:r>
    </w:p>
    <w:sdt>
      <w:sdtPr>
        <w:rPr>
          <w:sz w:val="24"/>
        </w:rPr>
        <w:alias w:val="Consecutivo"/>
        <w:tag w:val="Consecutivo"/>
        <w:id w:val="2052717023"/>
        <w:placeholder>
          <w:docPart w:val="3E3656B5F60E401DB712A6367FC4742B"/>
        </w:placeholder>
        <w:text/>
      </w:sdtPr>
      <w:sdtEndPr/>
      <w:sdtContent>
        <w:p w:rsidR="00181ABF" w:rsidP="00EE55C8" w:rsidRDefault="00181ABF" w14:paraId="78749F3F" w14:textId="77777777">
          <w:pPr>
            <w:tabs>
              <w:tab w:val="left" w:pos="2843"/>
            </w:tabs>
            <w:spacing w:line="240" w:lineRule="auto"/>
            <w:jc w:val="center"/>
            <w:rPr>
              <w:sz w:val="24"/>
            </w:rPr>
          </w:pPr>
          <w:r>
            <w:t>SGF-0695-2024</w:t>
          </w:r>
        </w:p>
      </w:sdtContent>
    </w:sdt>
    <w:p w:rsidR="00181ABF" w:rsidP="00EE55C8" w:rsidRDefault="00415A35" w14:paraId="2D0E3165" w14:textId="7F1A7C89">
      <w:pPr>
        <w:tabs>
          <w:tab w:val="left" w:pos="2843"/>
        </w:tabs>
        <w:spacing w:line="240" w:lineRule="auto"/>
        <w:jc w:val="center"/>
        <w:rPr>
          <w:sz w:val="24"/>
        </w:rPr>
      </w:pPr>
      <w:sdt>
        <w:sdtPr>
          <w:rPr>
            <w:sz w:val="24"/>
          </w:rPr>
          <w:alias w:val="Confidencialidad"/>
          <w:tag w:val="Confidencialidad"/>
          <w:id w:val="1447896894"/>
          <w:placeholder>
            <w:docPart w:val="3ABF557C6890491A949CC9D4665D31B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E55C8">
            <w:rPr>
              <w:sz w:val="24"/>
            </w:rPr>
            <w:t>SGF-PUBLICO</w:t>
          </w:r>
        </w:sdtContent>
      </w:sdt>
    </w:p>
    <w:p w:rsidRPr="002E2B0A" w:rsidR="00181ABF" w:rsidP="00181ABF" w:rsidRDefault="00181ABF" w14:paraId="1489ACC3" w14:textId="77777777">
      <w:pPr>
        <w:tabs>
          <w:tab w:val="left" w:pos="2843"/>
        </w:tabs>
        <w:spacing w:line="240" w:lineRule="auto"/>
        <w:rPr>
          <w:sz w:val="24"/>
        </w:rPr>
      </w:pPr>
      <w:r w:rsidRPr="002E2B0A">
        <w:rPr>
          <w:sz w:val="24"/>
        </w:rPr>
        <w:tab/>
      </w:r>
    </w:p>
    <w:p w:rsidRPr="00EE55C8" w:rsidR="00EE55C8" w:rsidP="00EE55C8" w:rsidRDefault="00EE55C8" w14:paraId="535AB9FD" w14:textId="77777777">
      <w:pPr>
        <w:widowControl w:val="0"/>
        <w:spacing w:line="240" w:lineRule="auto"/>
        <w:ind w:left="34" w:right="86"/>
        <w:contextualSpacing/>
        <w:outlineLvl w:val="0"/>
        <w:rPr>
          <w:b/>
          <w:sz w:val="24"/>
        </w:rPr>
      </w:pPr>
      <w:r w:rsidRPr="00EE55C8">
        <w:rPr>
          <w:b/>
          <w:sz w:val="24"/>
        </w:rPr>
        <w:t xml:space="preserve">Dirigida a: </w:t>
      </w:r>
    </w:p>
    <w:p w:rsidRPr="00EE55C8" w:rsidR="00EE55C8" w:rsidP="00EE55C8" w:rsidRDefault="00EE55C8" w14:paraId="5A9E0111" w14:textId="77777777">
      <w:pPr>
        <w:widowControl w:val="0"/>
        <w:spacing w:line="240" w:lineRule="auto"/>
        <w:ind w:left="34" w:right="86"/>
        <w:contextualSpacing/>
        <w:outlineLvl w:val="0"/>
        <w:rPr>
          <w:b/>
          <w:sz w:val="24"/>
        </w:rPr>
      </w:pPr>
    </w:p>
    <w:p w:rsidRPr="00EE55C8" w:rsidR="00EE55C8" w:rsidP="00EE55C8" w:rsidRDefault="00EE55C8" w14:paraId="7A9BC110" w14:textId="77777777">
      <w:pPr>
        <w:widowControl w:val="0"/>
        <w:numPr>
          <w:ilvl w:val="0"/>
          <w:numId w:val="3"/>
        </w:numPr>
        <w:spacing w:after="160" w:line="240" w:lineRule="auto"/>
        <w:ind w:left="567" w:right="86" w:hanging="567"/>
        <w:contextualSpacing/>
        <w:jc w:val="left"/>
        <w:rPr>
          <w:b/>
          <w:sz w:val="24"/>
          <w:lang w:eastAsia="es-ES"/>
        </w:rPr>
      </w:pPr>
      <w:r w:rsidRPr="00EE55C8">
        <w:rPr>
          <w:b/>
          <w:sz w:val="24"/>
          <w:lang w:eastAsia="es-ES"/>
        </w:rPr>
        <w:t>Organizaciones Cooperativas de Ahorro y Crédito</w:t>
      </w:r>
    </w:p>
    <w:p w:rsidRPr="00EE55C8" w:rsidR="00EE55C8" w:rsidP="00EE55C8" w:rsidRDefault="00EE55C8" w14:paraId="444A857D" w14:textId="77777777">
      <w:pPr>
        <w:spacing w:line="240" w:lineRule="auto"/>
        <w:contextualSpacing/>
        <w:rPr>
          <w:b/>
          <w:sz w:val="24"/>
          <w:lang w:eastAsia="es-ES"/>
        </w:rPr>
      </w:pPr>
    </w:p>
    <w:p w:rsidRPr="00EE55C8" w:rsidR="00EE55C8" w:rsidP="00EE55C8" w:rsidRDefault="00EE55C8" w14:paraId="79EFDDDB" w14:textId="77777777">
      <w:pPr>
        <w:spacing w:line="240" w:lineRule="auto"/>
        <w:contextualSpacing/>
        <w:rPr>
          <w:b/>
          <w:sz w:val="24"/>
          <w:lang w:eastAsia="es-ES"/>
        </w:rPr>
      </w:pPr>
    </w:p>
    <w:p w:rsidRPr="00EE55C8" w:rsidR="00EE55C8" w:rsidP="00EE55C8" w:rsidRDefault="00EE55C8" w14:paraId="021F0569" w14:textId="77777777">
      <w:pPr>
        <w:spacing w:line="240" w:lineRule="auto"/>
        <w:contextualSpacing/>
        <w:rPr>
          <w:bCs/>
          <w:sz w:val="24"/>
          <w:lang w:val="es-ES"/>
        </w:rPr>
      </w:pPr>
      <w:r w:rsidRPr="00EE55C8">
        <w:rPr>
          <w:b/>
          <w:sz w:val="24"/>
          <w:lang w:val="es-ES"/>
        </w:rPr>
        <w:t>Asunto:</w:t>
      </w:r>
      <w:r w:rsidRPr="00EE55C8">
        <w:rPr>
          <w:bCs/>
          <w:sz w:val="24"/>
          <w:lang w:val="es-ES"/>
        </w:rPr>
        <w:t xml:space="preserve"> Texto base considerado como vigente para conocer reformas al Estatuto Social en Asamblea General</w:t>
      </w:r>
    </w:p>
    <w:p w:rsidRPr="00EE55C8" w:rsidR="00EE55C8" w:rsidP="00EE55C8" w:rsidRDefault="00EE55C8" w14:paraId="7B1F4184" w14:textId="77777777">
      <w:pPr>
        <w:spacing w:line="240" w:lineRule="auto"/>
        <w:contextualSpacing/>
        <w:rPr>
          <w:rFonts w:cs="Arial"/>
          <w:b/>
          <w:bCs/>
          <w:sz w:val="24"/>
          <w:lang w:val="es-ES"/>
        </w:rPr>
      </w:pPr>
    </w:p>
    <w:p w:rsidRPr="00EE55C8" w:rsidR="00EE55C8" w:rsidP="00EE55C8" w:rsidRDefault="00EE55C8" w14:paraId="792163E1" w14:textId="77777777">
      <w:pPr>
        <w:spacing w:line="240" w:lineRule="auto"/>
        <w:contextualSpacing/>
        <w:rPr>
          <w:rFonts w:cs="Arial"/>
          <w:b/>
          <w:bCs/>
          <w:sz w:val="24"/>
          <w:lang w:val="es-ES"/>
        </w:rPr>
      </w:pPr>
    </w:p>
    <w:p w:rsidRPr="00EE55C8" w:rsidR="00EE55C8" w:rsidP="00EE55C8" w:rsidRDefault="00EE55C8" w14:paraId="1101BA7C" w14:textId="77777777">
      <w:pPr>
        <w:widowControl w:val="0"/>
        <w:spacing w:after="240" w:line="240" w:lineRule="auto"/>
        <w:jc w:val="left"/>
        <w:rPr>
          <w:b/>
          <w:bCs/>
          <w:sz w:val="24"/>
          <w:lang w:val="es-ES"/>
        </w:rPr>
      </w:pPr>
      <w:r w:rsidRPr="00EE55C8">
        <w:rPr>
          <w:b/>
          <w:bCs/>
          <w:sz w:val="24"/>
          <w:lang w:val="es-ES"/>
        </w:rPr>
        <w:t xml:space="preserve">La Superintendencia General de Entidades Financieras, </w:t>
      </w:r>
    </w:p>
    <w:p w:rsidRPr="00EE55C8" w:rsidR="00EE55C8" w:rsidP="00EE55C8" w:rsidRDefault="00EE55C8" w14:paraId="0A5BD163" w14:textId="77777777">
      <w:pPr>
        <w:autoSpaceDE w:val="0"/>
        <w:autoSpaceDN w:val="0"/>
        <w:adjustRightInd w:val="0"/>
        <w:spacing w:line="240" w:lineRule="auto"/>
        <w:ind w:left="993" w:hanging="993"/>
        <w:contextualSpacing/>
        <w:rPr>
          <w:rFonts w:eastAsiaTheme="minorHAnsi"/>
          <w:b/>
          <w:color w:val="000000"/>
          <w:sz w:val="24"/>
        </w:rPr>
      </w:pPr>
      <w:r w:rsidRPr="00EE55C8">
        <w:rPr>
          <w:rFonts w:eastAsiaTheme="minorHAnsi"/>
          <w:b/>
          <w:color w:val="000000"/>
          <w:sz w:val="24"/>
        </w:rPr>
        <w:t>Considerando que:</w:t>
      </w:r>
    </w:p>
    <w:p w:rsidRPr="00EE55C8" w:rsidR="00EE55C8" w:rsidP="00EE55C8" w:rsidRDefault="00EE55C8" w14:paraId="7F7C6820" w14:textId="77777777">
      <w:pPr>
        <w:autoSpaceDE w:val="0"/>
        <w:autoSpaceDN w:val="0"/>
        <w:adjustRightInd w:val="0"/>
        <w:spacing w:line="240" w:lineRule="auto"/>
        <w:ind w:left="993" w:hanging="993"/>
        <w:contextualSpacing/>
        <w:rPr>
          <w:rFonts w:eastAsiaTheme="minorHAnsi"/>
          <w:b/>
          <w:color w:val="000000"/>
          <w:sz w:val="24"/>
        </w:rPr>
      </w:pPr>
    </w:p>
    <w:p w:rsidRPr="00EE55C8" w:rsidR="00EE55C8" w:rsidP="00671123" w:rsidRDefault="00EE55C8" w14:paraId="62B3976C" w14:textId="77777777">
      <w:pPr>
        <w:numPr>
          <w:ilvl w:val="0"/>
          <w:numId w:val="4"/>
        </w:numPr>
        <w:spacing w:before="120" w:after="120" w:line="240" w:lineRule="auto"/>
        <w:contextualSpacing/>
        <w:rPr>
          <w:rFonts w:cs="Calibri" w:eastAsiaTheme="minorHAnsi"/>
          <w:i/>
          <w:iCs/>
          <w:noProof/>
          <w:sz w:val="24"/>
        </w:rPr>
      </w:pPr>
      <w:r w:rsidRPr="00EE55C8">
        <w:rPr>
          <w:rFonts w:cs="Calibri" w:eastAsiaTheme="minorHAnsi"/>
          <w:noProof/>
          <w:sz w:val="24"/>
        </w:rPr>
        <w:t>La “</w:t>
      </w:r>
      <w:r w:rsidRPr="00EE55C8">
        <w:rPr>
          <w:rFonts w:cs="Calibri" w:eastAsiaTheme="minorHAnsi"/>
          <w:i/>
          <w:iCs/>
          <w:noProof/>
          <w:sz w:val="24"/>
        </w:rPr>
        <w:t>Ley Regulación de Intermediación Financiera de Organizaciones Cooperativas</w:t>
      </w:r>
      <w:r w:rsidRPr="00EE55C8">
        <w:rPr>
          <w:rFonts w:cs="Calibri" w:eastAsiaTheme="minorHAnsi"/>
          <w:noProof/>
          <w:sz w:val="24"/>
        </w:rPr>
        <w:t>” (Ley 7391) introduce una modificación sustancial al marco jurídico bajo el cual operaban las cooperativas de ahorro y crédito, puesto que sustituye parte de la competencia que la “</w:t>
      </w:r>
      <w:r w:rsidRPr="00EE55C8">
        <w:rPr>
          <w:rFonts w:cs="Calibri" w:eastAsiaTheme="minorHAnsi"/>
          <w:i/>
          <w:iCs/>
          <w:noProof/>
          <w:sz w:val="24"/>
        </w:rPr>
        <w:t>Ley de Asociaciones Cooperativas</w:t>
      </w:r>
      <w:r w:rsidRPr="00EE55C8">
        <w:rPr>
          <w:rFonts w:cs="Calibri" w:eastAsiaTheme="minorHAnsi"/>
          <w:noProof/>
          <w:sz w:val="24"/>
        </w:rPr>
        <w:t>” asignaba al “</w:t>
      </w:r>
      <w:r w:rsidRPr="00EE55C8">
        <w:rPr>
          <w:rFonts w:cs="Calibri" w:eastAsiaTheme="minorHAnsi"/>
          <w:i/>
          <w:iCs/>
          <w:noProof/>
          <w:sz w:val="24"/>
        </w:rPr>
        <w:t>Instituto de Fomento Cooperativo</w:t>
      </w:r>
      <w:r w:rsidRPr="00EE55C8">
        <w:rPr>
          <w:rFonts w:cs="Calibri" w:eastAsiaTheme="minorHAnsi"/>
          <w:noProof/>
          <w:sz w:val="24"/>
        </w:rPr>
        <w:t>”, atribuyéndoselas a un órgano externo y ajeno a la estructura cooperativa, sea a la “</w:t>
      </w:r>
      <w:r w:rsidRPr="00EE55C8">
        <w:rPr>
          <w:rFonts w:cs="Calibri" w:eastAsiaTheme="minorHAnsi"/>
          <w:i/>
          <w:iCs/>
          <w:noProof/>
          <w:sz w:val="24"/>
        </w:rPr>
        <w:t>Superintendencia General de Entidades Financieras</w:t>
      </w:r>
      <w:r w:rsidRPr="00EE55C8">
        <w:rPr>
          <w:rFonts w:cs="Calibri" w:eastAsiaTheme="minorHAnsi"/>
          <w:noProof/>
          <w:sz w:val="24"/>
        </w:rPr>
        <w:t>”. Por ello el legislador emitió regulaciones especiales en materia de supervisión de la actividad financiera desarrollada por las cooperativas de ahorro y crédito. Se regula una intermediación financiera especial, que se sujeta a una fiscalización también especial, la “</w:t>
      </w:r>
      <w:r w:rsidRPr="00EE55C8">
        <w:rPr>
          <w:rFonts w:cs="Calibri" w:eastAsiaTheme="minorHAnsi"/>
          <w:i/>
          <w:iCs/>
          <w:noProof/>
          <w:sz w:val="24"/>
        </w:rPr>
        <w:t>Ley Regulación de Intermediación Financiera de Organizaciones Cooperativas”.</w:t>
      </w:r>
    </w:p>
    <w:p w:rsidRPr="00EE55C8" w:rsidR="00EE55C8" w:rsidP="00671123" w:rsidRDefault="00EE55C8" w14:paraId="1EC4F78F" w14:textId="77777777">
      <w:pPr>
        <w:spacing w:before="120" w:after="120" w:line="240" w:lineRule="auto"/>
        <w:ind w:left="360"/>
        <w:contextualSpacing/>
        <w:jc w:val="left"/>
        <w:rPr>
          <w:rFonts w:cs="Calibri" w:eastAsiaTheme="minorHAnsi"/>
          <w:i/>
          <w:iCs/>
          <w:noProof/>
          <w:sz w:val="24"/>
        </w:rPr>
      </w:pPr>
    </w:p>
    <w:p w:rsidR="00EE55C8" w:rsidP="00671123" w:rsidRDefault="00EE55C8" w14:paraId="0559DCF4" w14:textId="0456D689">
      <w:pPr>
        <w:numPr>
          <w:ilvl w:val="0"/>
          <w:numId w:val="4"/>
        </w:numPr>
        <w:spacing w:before="120" w:after="120" w:line="240" w:lineRule="auto"/>
        <w:contextualSpacing/>
        <w:rPr>
          <w:rFonts w:cs="Calibri" w:eastAsiaTheme="minorHAnsi"/>
          <w:noProof/>
          <w:sz w:val="24"/>
        </w:rPr>
      </w:pPr>
      <w:r w:rsidRPr="00EE55C8">
        <w:rPr>
          <w:rFonts w:cs="Calibri" w:eastAsiaTheme="minorHAnsi"/>
          <w:noProof/>
          <w:sz w:val="24"/>
        </w:rPr>
        <w:t>Al respecto, los Artículos 10 y 32 de la “</w:t>
      </w:r>
      <w:r w:rsidRPr="00EE55C8">
        <w:rPr>
          <w:rFonts w:cs="Calibri" w:eastAsiaTheme="minorHAnsi"/>
          <w:i/>
          <w:iCs/>
          <w:noProof/>
          <w:sz w:val="24"/>
        </w:rPr>
        <w:t>Ley Regulación de Intermediación Financiera de Organizaciones Cooperativas</w:t>
      </w:r>
      <w:r w:rsidRPr="00EE55C8">
        <w:rPr>
          <w:rFonts w:cs="Calibri" w:eastAsiaTheme="minorHAnsi"/>
          <w:noProof/>
          <w:sz w:val="24"/>
        </w:rPr>
        <w:t>” (Ley 7391), indican respectivamente:</w:t>
      </w:r>
    </w:p>
    <w:p w:rsidRPr="00EE55C8" w:rsidR="00671123" w:rsidP="00671123" w:rsidRDefault="00671123" w14:paraId="127107F0" w14:textId="77777777">
      <w:pPr>
        <w:spacing w:before="120" w:after="120" w:line="240" w:lineRule="auto"/>
        <w:ind w:left="360"/>
        <w:contextualSpacing/>
        <w:rPr>
          <w:rFonts w:cs="Calibri" w:eastAsiaTheme="minorHAnsi"/>
          <w:noProof/>
          <w:sz w:val="24"/>
        </w:rPr>
      </w:pPr>
    </w:p>
    <w:p w:rsidRPr="00EE55C8" w:rsidR="00EE55C8" w:rsidP="00EE55C8" w:rsidRDefault="00EE55C8" w14:paraId="637E325D" w14:textId="77777777">
      <w:pPr>
        <w:spacing w:before="120" w:after="120" w:line="240" w:lineRule="auto"/>
        <w:ind w:left="370" w:hanging="10"/>
        <w:contextualSpacing/>
        <w:rPr>
          <w:rFonts w:cs="Calibri" w:eastAsiaTheme="minorHAnsi"/>
          <w:b/>
          <w:bCs/>
          <w:i/>
          <w:iCs/>
          <w:noProof/>
          <w:szCs w:val="22"/>
        </w:rPr>
      </w:pPr>
      <w:r w:rsidRPr="00EE55C8">
        <w:rPr>
          <w:rFonts w:cs="Calibri" w:eastAsiaTheme="minorHAnsi"/>
          <w:b/>
          <w:bCs/>
          <w:i/>
          <w:iCs/>
          <w:noProof/>
          <w:szCs w:val="22"/>
        </w:rPr>
        <w:t>Artículo 10</w:t>
      </w:r>
    </w:p>
    <w:p w:rsidRPr="00EE55C8" w:rsidR="00EE55C8" w:rsidP="00EE55C8" w:rsidRDefault="00EE55C8" w14:paraId="7B5EFCB0" w14:textId="77777777">
      <w:pPr>
        <w:spacing w:before="120" w:after="120" w:line="240" w:lineRule="auto"/>
        <w:ind w:left="370" w:hanging="10"/>
        <w:contextualSpacing/>
        <w:rPr>
          <w:rFonts w:cs="Calibri" w:eastAsiaTheme="minorHAnsi"/>
          <w:i/>
          <w:iCs/>
          <w:noProof/>
          <w:szCs w:val="22"/>
        </w:rPr>
      </w:pPr>
      <w:r w:rsidRPr="00EE55C8">
        <w:rPr>
          <w:rFonts w:cs="Calibri" w:eastAsiaTheme="minorHAnsi"/>
          <w:i/>
          <w:iCs/>
          <w:noProof/>
          <w:szCs w:val="22"/>
        </w:rPr>
        <w:t>Los estatutos de estas cooperativas y sus modificaciones deberán someterse a la aprobación de la Superintendencia General, antes de su entrada en vigencia, con el propósito de determinar si satisfacen los requisitos legales (…)</w:t>
      </w:r>
    </w:p>
    <w:p w:rsidRPr="00EE55C8" w:rsidR="00EE55C8" w:rsidP="00EE55C8" w:rsidRDefault="00EE55C8" w14:paraId="0610E327" w14:textId="77777777">
      <w:pPr>
        <w:spacing w:before="120" w:after="120" w:line="240" w:lineRule="auto"/>
        <w:ind w:left="370" w:hanging="10"/>
        <w:contextualSpacing/>
        <w:rPr>
          <w:rFonts w:cs="Calibri" w:eastAsiaTheme="minorHAnsi"/>
          <w:noProof/>
          <w:szCs w:val="22"/>
        </w:rPr>
      </w:pPr>
    </w:p>
    <w:p w:rsidRPr="00EE55C8" w:rsidR="00EE55C8" w:rsidP="00EE55C8" w:rsidRDefault="00EE55C8" w14:paraId="50E70258" w14:textId="77777777">
      <w:pPr>
        <w:spacing w:before="120" w:after="120" w:line="240" w:lineRule="auto"/>
        <w:ind w:left="370" w:hanging="10"/>
        <w:contextualSpacing/>
        <w:rPr>
          <w:rFonts w:cs="Calibri" w:eastAsiaTheme="minorHAnsi"/>
          <w:b/>
          <w:bCs/>
          <w:i/>
          <w:iCs/>
          <w:noProof/>
          <w:szCs w:val="22"/>
        </w:rPr>
      </w:pPr>
      <w:r w:rsidRPr="00EE55C8">
        <w:rPr>
          <w:rFonts w:cs="Calibri" w:eastAsiaTheme="minorHAnsi"/>
          <w:b/>
          <w:bCs/>
          <w:i/>
          <w:iCs/>
          <w:noProof/>
          <w:szCs w:val="22"/>
        </w:rPr>
        <w:t>Artículo 32</w:t>
      </w:r>
    </w:p>
    <w:p w:rsidRPr="00EE55C8" w:rsidR="00EE55C8" w:rsidP="00EE55C8" w:rsidRDefault="00EE55C8" w14:paraId="4951C621" w14:textId="77777777">
      <w:pPr>
        <w:spacing w:before="120" w:after="120" w:line="240" w:lineRule="auto"/>
        <w:ind w:left="370" w:hanging="10"/>
        <w:contextualSpacing/>
        <w:rPr>
          <w:rFonts w:cs="Calibri" w:eastAsiaTheme="minorHAnsi"/>
          <w:i/>
          <w:iCs/>
          <w:noProof/>
          <w:szCs w:val="22"/>
        </w:rPr>
      </w:pPr>
      <w:r w:rsidRPr="00EE55C8">
        <w:rPr>
          <w:rFonts w:cs="Calibri" w:eastAsiaTheme="minorHAnsi"/>
          <w:i/>
          <w:iCs/>
          <w:noProof/>
          <w:szCs w:val="22"/>
        </w:rPr>
        <w:t>Además de lo establecido en la Ley Orgánica del Banco Central de Costa Rica, la Superintendencia General de Entidades Financieras tendrá las siguientes potestades y deberes: (…)</w:t>
      </w:r>
    </w:p>
    <w:p w:rsidRPr="00EE55C8" w:rsidR="00EE55C8" w:rsidP="00EE55C8" w:rsidRDefault="00EE55C8" w14:paraId="612AC9DC" w14:textId="77777777">
      <w:pPr>
        <w:spacing w:before="120" w:after="120" w:line="240" w:lineRule="auto"/>
        <w:ind w:left="370" w:hanging="10"/>
        <w:contextualSpacing/>
        <w:rPr>
          <w:rFonts w:cs="Calibri" w:eastAsiaTheme="minorHAnsi"/>
          <w:noProof/>
          <w:szCs w:val="22"/>
        </w:rPr>
      </w:pPr>
      <w:r w:rsidRPr="00EE55C8">
        <w:rPr>
          <w:rFonts w:cs="Calibri" w:eastAsiaTheme="minorHAnsi"/>
          <w:i/>
          <w:iCs/>
          <w:noProof/>
          <w:szCs w:val="22"/>
        </w:rPr>
        <w:t>e) Aprobar cualquier modificación estatutaria para las organizaciones cooperativas de ahorro y crédito de conformidad con el artículo 11 de esta Ley</w:t>
      </w:r>
      <w:r w:rsidRPr="00EE55C8">
        <w:rPr>
          <w:rFonts w:cs="Calibri" w:eastAsiaTheme="minorHAnsi"/>
          <w:noProof/>
          <w:szCs w:val="22"/>
        </w:rPr>
        <w:t>.</w:t>
      </w:r>
    </w:p>
    <w:p w:rsidRPr="00EE55C8" w:rsidR="00EE55C8" w:rsidP="00EE55C8" w:rsidRDefault="00EE55C8" w14:paraId="418EF003" w14:textId="77777777">
      <w:pPr>
        <w:spacing w:before="120" w:after="120" w:line="240" w:lineRule="auto"/>
        <w:contextualSpacing/>
        <w:rPr>
          <w:rFonts w:cs="Calibri" w:eastAsiaTheme="minorHAnsi"/>
          <w:noProof/>
          <w:sz w:val="24"/>
        </w:rPr>
      </w:pPr>
    </w:p>
    <w:p w:rsidRPr="00EE55C8" w:rsidR="00EE55C8" w:rsidP="00671123" w:rsidRDefault="00EE55C8" w14:paraId="239A7CEE" w14:textId="77777777">
      <w:pPr>
        <w:numPr>
          <w:ilvl w:val="0"/>
          <w:numId w:val="4"/>
        </w:numPr>
        <w:spacing w:after="200" w:line="276" w:lineRule="auto"/>
        <w:contextualSpacing/>
        <w:rPr>
          <w:noProof/>
          <w:sz w:val="24"/>
          <w:lang w:val="es-ES"/>
        </w:rPr>
      </w:pPr>
      <w:r w:rsidRPr="00EE55C8">
        <w:rPr>
          <w:sz w:val="24"/>
          <w:lang w:val="es-ES"/>
        </w:rPr>
        <w:lastRenderedPageBreak/>
        <w:t>De lo anterior se desprende que el Ordenamiento Jurídico delegó de manera exclusiva y excluyente en la “</w:t>
      </w:r>
      <w:r w:rsidRPr="00EE55C8">
        <w:rPr>
          <w:i/>
          <w:iCs/>
          <w:sz w:val="24"/>
          <w:lang w:val="es-ES"/>
        </w:rPr>
        <w:t>Superintendencia General de Entidades Financieras</w:t>
      </w:r>
      <w:r w:rsidRPr="00EE55C8">
        <w:rPr>
          <w:sz w:val="24"/>
          <w:lang w:val="es-ES"/>
        </w:rPr>
        <w:t>” (Sugef) el acto administrativo de autorizar la modificación parcial o completa de los estatutos sociales de las cooperativas de ahorro y crédito.</w:t>
      </w:r>
    </w:p>
    <w:p w:rsidRPr="00EE55C8" w:rsidR="00EE55C8" w:rsidP="00EE55C8" w:rsidRDefault="00EE55C8" w14:paraId="78B78821" w14:textId="77777777">
      <w:pPr>
        <w:spacing w:after="200" w:line="276" w:lineRule="auto"/>
        <w:ind w:left="360"/>
        <w:contextualSpacing/>
        <w:rPr>
          <w:noProof/>
          <w:sz w:val="24"/>
          <w:lang w:val="es-ES"/>
        </w:rPr>
      </w:pPr>
    </w:p>
    <w:p w:rsidRPr="00EE55C8" w:rsidR="00EE55C8" w:rsidP="00671123" w:rsidRDefault="00EE55C8" w14:paraId="33EE59BE" w14:textId="63867661">
      <w:pPr>
        <w:numPr>
          <w:ilvl w:val="0"/>
          <w:numId w:val="4"/>
        </w:numPr>
        <w:spacing w:after="200" w:line="276" w:lineRule="auto"/>
        <w:contextualSpacing/>
        <w:rPr>
          <w:noProof/>
          <w:sz w:val="24"/>
          <w:lang w:val="es-ES"/>
        </w:rPr>
      </w:pPr>
      <w:r w:rsidRPr="00EE55C8">
        <w:rPr>
          <w:sz w:val="24"/>
          <w:lang w:val="es-ES"/>
        </w:rPr>
        <w:t>En consecuencia, la necesidad de inscribir el estatuto social de la entidad cooperativa en el “</w:t>
      </w:r>
      <w:r w:rsidRPr="00EE55C8">
        <w:rPr>
          <w:i/>
          <w:iCs/>
          <w:sz w:val="24"/>
          <w:lang w:val="es-ES"/>
        </w:rPr>
        <w:t>Ministerio de Trabajo y Seguridad Social</w:t>
      </w:r>
      <w:r w:rsidRPr="00EE55C8">
        <w:rPr>
          <w:sz w:val="24"/>
          <w:lang w:val="es-ES"/>
        </w:rPr>
        <w:t xml:space="preserve">” (MTSS) resulta ser un </w:t>
      </w:r>
      <w:r w:rsidR="00981413">
        <w:rPr>
          <w:sz w:val="24"/>
          <w:lang w:val="es-ES"/>
        </w:rPr>
        <w:t xml:space="preserve">requisito de </w:t>
      </w:r>
      <w:r w:rsidRPr="00EE55C8">
        <w:rPr>
          <w:sz w:val="24"/>
          <w:lang w:val="es-ES"/>
        </w:rPr>
        <w:t>eficacia ante terceros; no obstante, el estatuto y/o su modificación parcial o total es válido una vez que cumple con los requisitos legales establecidos por el órgano de supervisión especializado (Sugef) y en el momento en que la entidad cooperativa cuente con una resolución administrativa que valide el acto de aprobación dispuesto por los cuerpos normativos especializados antes mencionados.</w:t>
      </w:r>
    </w:p>
    <w:p w:rsidRPr="00EE55C8" w:rsidR="00EE55C8" w:rsidP="00EE55C8" w:rsidRDefault="00EE55C8" w14:paraId="59F59C52" w14:textId="77777777">
      <w:pPr>
        <w:spacing w:before="120" w:after="120" w:line="240" w:lineRule="auto"/>
        <w:ind w:hanging="10"/>
        <w:contextualSpacing/>
        <w:rPr>
          <w:rFonts w:cs="Calibri" w:eastAsiaTheme="minorHAnsi"/>
          <w:noProof/>
          <w:sz w:val="24"/>
          <w:lang w:val="es-ES"/>
        </w:rPr>
      </w:pPr>
    </w:p>
    <w:p w:rsidRPr="00EE55C8" w:rsidR="00EE55C8" w:rsidP="00EE55C8" w:rsidRDefault="00EE55C8" w14:paraId="3E7AEEE0" w14:textId="77777777">
      <w:pPr>
        <w:spacing w:before="120" w:after="120" w:line="240" w:lineRule="auto"/>
        <w:ind w:hanging="10"/>
        <w:contextualSpacing/>
        <w:rPr>
          <w:rFonts w:cs="Calibri" w:eastAsiaTheme="minorHAnsi"/>
          <w:noProof/>
          <w:sz w:val="24"/>
        </w:rPr>
      </w:pPr>
    </w:p>
    <w:p w:rsidRPr="00EE55C8" w:rsidR="00EE55C8" w:rsidP="00EE55C8" w:rsidRDefault="00EE55C8" w14:paraId="0D2ACF3C" w14:textId="77777777">
      <w:pPr>
        <w:spacing w:before="120" w:after="120" w:line="240" w:lineRule="auto"/>
        <w:ind w:hanging="10"/>
        <w:contextualSpacing/>
        <w:rPr>
          <w:b/>
          <w:sz w:val="24"/>
          <w:lang w:val="es-ES"/>
        </w:rPr>
      </w:pPr>
      <w:r w:rsidRPr="00EE55C8">
        <w:rPr>
          <w:b/>
          <w:sz w:val="24"/>
        </w:rPr>
        <w:t>Recuerda que</w:t>
      </w:r>
      <w:r w:rsidRPr="00EE55C8">
        <w:rPr>
          <w:b/>
          <w:sz w:val="24"/>
          <w:lang w:val="es-ES"/>
        </w:rPr>
        <w:t>:</w:t>
      </w:r>
    </w:p>
    <w:p w:rsidRPr="00EE55C8" w:rsidR="00EE55C8" w:rsidP="00EE55C8" w:rsidRDefault="00EE55C8" w14:paraId="3E5CEBB1" w14:textId="77777777">
      <w:pPr>
        <w:spacing w:line="240" w:lineRule="auto"/>
        <w:rPr>
          <w:rFonts w:cs="Calibri" w:eastAsiaTheme="minorHAnsi"/>
          <w:sz w:val="24"/>
        </w:rPr>
      </w:pPr>
    </w:p>
    <w:p w:rsidRPr="00EE55C8" w:rsidR="00EE55C8" w:rsidP="00EE55C8" w:rsidRDefault="00EE55C8" w14:paraId="0DCAB64D" w14:textId="77777777">
      <w:pPr>
        <w:spacing w:after="200" w:line="276" w:lineRule="auto"/>
        <w:contextualSpacing/>
        <w:rPr>
          <w:sz w:val="24"/>
          <w:lang w:val="es-ES"/>
        </w:rPr>
      </w:pPr>
      <w:r w:rsidRPr="00EE55C8">
        <w:rPr>
          <w:sz w:val="24"/>
          <w:lang w:val="es-ES"/>
        </w:rPr>
        <w:t>El texto base considerado como vigente que debe ser conocido en Asamblea General para valorar posibles reformas al Estatuto Social de la Cooperativa debe ser el último ya aprobado por la “</w:t>
      </w:r>
      <w:r w:rsidRPr="00EE55C8">
        <w:rPr>
          <w:i/>
          <w:iCs/>
          <w:sz w:val="24"/>
          <w:lang w:val="es-ES"/>
        </w:rPr>
        <w:t>Superintendencia General de Entidades Financieras</w:t>
      </w:r>
      <w:r w:rsidRPr="00EE55C8">
        <w:rPr>
          <w:sz w:val="24"/>
          <w:lang w:val="es-ES"/>
        </w:rPr>
        <w:t>” (Sugef) mediante resolución administrativa, aun cuando éste todavía no haya sido inscrito por el “</w:t>
      </w:r>
      <w:r w:rsidRPr="00EE55C8">
        <w:rPr>
          <w:i/>
          <w:iCs/>
          <w:sz w:val="24"/>
          <w:lang w:val="es-ES"/>
        </w:rPr>
        <w:t>Ministerio de Trabajo y Seguridad Social</w:t>
      </w:r>
      <w:r w:rsidRPr="00EE55C8">
        <w:rPr>
          <w:sz w:val="24"/>
          <w:lang w:val="es-ES"/>
        </w:rPr>
        <w:t>” (MTSS) ya que la carencia de dicha inscripción no invalida la aprobación del órgano supervisor competente.</w:t>
      </w:r>
    </w:p>
    <w:p w:rsidRPr="002E2B0A" w:rsidR="00181ABF" w:rsidP="00181ABF" w:rsidRDefault="00181ABF" w14:paraId="417E3A3E" w14:textId="77777777">
      <w:pPr>
        <w:pStyle w:val="Texto"/>
        <w:spacing w:before="0" w:after="0" w:line="240" w:lineRule="auto"/>
        <w:rPr>
          <w:sz w:val="24"/>
        </w:rPr>
      </w:pPr>
      <w:r w:rsidRPr="002E2B0A">
        <w:rPr>
          <w:sz w:val="24"/>
        </w:rPr>
        <w:t>Atentamente,</w:t>
      </w:r>
    </w:p>
    <w:p w:rsidR="00181ABF" w:rsidP="00181ABF" w:rsidRDefault="003720A6" w14:paraId="228D3DB5" w14:textId="61263075">
      <w:pPr>
        <w:spacing w:line="240" w:lineRule="auto"/>
        <w:rPr>
          <w:sz w:val="24"/>
        </w:rPr>
      </w:pPr>
      <w:r>
        <w:rPr>
          <w:noProof/>
          <w:lang w:eastAsia="es-CR"/>
        </w:rPr>
        <w:drawing>
          <wp:anchor distT="0" distB="0" distL="114300" distR="114300" simplePos="0" relativeHeight="251659264" behindDoc="1" locked="0" layoutInCell="1" allowOverlap="1" wp14:editId="50EF6EB8" wp14:anchorId="097A799A">
            <wp:simplePos x="0" y="0"/>
            <wp:positionH relativeFrom="column">
              <wp:posOffset>17145</wp:posOffset>
            </wp:positionH>
            <wp:positionV relativeFrom="paragraph">
              <wp:posOffset>88265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181ABF" w:rsidP="00181ABF" w:rsidRDefault="00181ABF" w14:paraId="1F8512C9" w14:textId="77777777">
      <w:pPr>
        <w:spacing w:line="240" w:lineRule="auto"/>
        <w:rPr>
          <w:sz w:val="24"/>
        </w:rPr>
      </w:pPr>
    </w:p>
    <w:p w:rsidR="00D67CC3" w:rsidP="00181ABF" w:rsidRDefault="00D67CC3" w14:paraId="4345A74A" w14:textId="343EC084">
      <w:pPr>
        <w:pStyle w:val="Negrita"/>
        <w:spacing w:line="240" w:lineRule="auto"/>
        <w:jc w:val="left"/>
        <w:rPr>
          <w:b w:val="0"/>
          <w:sz w:val="24"/>
        </w:rPr>
      </w:pPr>
    </w:p>
    <w:p w:rsidRPr="002733E1" w:rsidR="00181ABF" w:rsidP="00181ABF" w:rsidRDefault="00181ABF" w14:paraId="622F8DC9" w14:textId="77777777">
      <w:pPr>
        <w:pStyle w:val="Negrita"/>
        <w:spacing w:line="240" w:lineRule="auto"/>
        <w:jc w:val="left"/>
        <w:rPr>
          <w:b w:val="0"/>
          <w:sz w:val="24"/>
        </w:rPr>
      </w:pPr>
      <w:r w:rsidRPr="002733E1">
        <w:rPr>
          <w:b w:val="0"/>
          <w:sz w:val="24"/>
        </w:rPr>
        <w:t>José Armando Fallas Martínez</w:t>
      </w:r>
    </w:p>
    <w:p w:rsidR="00181ABF" w:rsidP="00181ABF" w:rsidRDefault="00181ABF" w14:paraId="555F31EF" w14:textId="4577BF21">
      <w:pPr>
        <w:pStyle w:val="Negrita"/>
        <w:spacing w:line="240" w:lineRule="auto"/>
        <w:jc w:val="left"/>
        <w:rPr>
          <w:noProof/>
          <w:lang w:eastAsia="es-CR"/>
        </w:rPr>
      </w:pPr>
      <w:r>
        <w:rPr>
          <w:sz w:val="24"/>
        </w:rPr>
        <w:t>Intendente General</w:t>
      </w:r>
      <w:r w:rsidRPr="00A35D0A">
        <w:rPr>
          <w:sz w:val="24"/>
        </w:rPr>
        <w:t xml:space="preserve"> </w:t>
      </w:r>
      <w:r>
        <w:rPr>
          <w:noProof/>
          <w:lang w:eastAsia="es-CR"/>
        </w:rPr>
        <w:t xml:space="preserve"> </w:t>
      </w:r>
    </w:p>
    <w:p w:rsidR="00D67CC3" w:rsidP="00181ABF" w:rsidRDefault="00D67CC3" w14:paraId="400B7677" w14:textId="77777777">
      <w:pPr>
        <w:pStyle w:val="Negrita"/>
        <w:spacing w:line="240" w:lineRule="auto"/>
        <w:jc w:val="left"/>
        <w:rPr>
          <w:noProof/>
          <w:lang w:eastAsia="es-CR"/>
        </w:rPr>
      </w:pPr>
    </w:p>
    <w:p w:rsidRPr="00A963BF" w:rsidR="003720A6" w:rsidP="003720A6" w:rsidRDefault="00A963BF" w14:paraId="486D33C5" w14:textId="4AD04036">
      <w:pPr>
        <w:spacing w:line="240" w:lineRule="auto"/>
        <w:contextualSpacing/>
        <w:rPr>
          <w:b/>
          <w:bCs/>
          <w:i/>
          <w:iCs/>
          <w:sz w:val="18"/>
          <w:szCs w:val="18"/>
          <w:lang w:val="en-US"/>
        </w:rPr>
      </w:pPr>
      <w:r>
        <w:rPr>
          <w:b/>
          <w:bCs/>
          <w:i/>
          <w:iCs/>
          <w:sz w:val="18"/>
          <w:szCs w:val="18"/>
          <w:lang w:val="en-US"/>
        </w:rPr>
        <w:t>JSC</w:t>
      </w:r>
      <w:r w:rsidRPr="00A963BF">
        <w:rPr>
          <w:b/>
          <w:bCs/>
          <w:i/>
          <w:iCs/>
          <w:sz w:val="18"/>
          <w:szCs w:val="18"/>
          <w:lang w:val="en-US"/>
        </w:rPr>
        <w:t>/</w:t>
      </w:r>
      <w:r w:rsidRPr="00A963BF" w:rsidR="003720A6">
        <w:rPr>
          <w:b/>
          <w:bCs/>
          <w:i/>
          <w:iCs/>
          <w:sz w:val="18"/>
          <w:szCs w:val="18"/>
          <w:lang w:val="en-US"/>
        </w:rPr>
        <w:t>PSD/CVC/ELS/krfm*</w:t>
      </w:r>
    </w:p>
    <w:p w:rsidRPr="00A963BF" w:rsidR="00D67CC3" w:rsidP="00D67CC3" w:rsidRDefault="00D67CC3" w14:paraId="12CC8880" w14:textId="77777777">
      <w:pPr>
        <w:jc w:val="left"/>
        <w:rPr>
          <w:lang w:val="en-US"/>
        </w:rPr>
      </w:pPr>
    </w:p>
    <w:sectPr w:rsidRPr="00A963BF" w:rsidR="00D67CC3">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207E" w14:textId="77777777" w:rsidR="00C33846" w:rsidRDefault="00C33846" w:rsidP="00181ABF">
      <w:pPr>
        <w:spacing w:line="240" w:lineRule="auto"/>
      </w:pPr>
      <w:r>
        <w:separator/>
      </w:r>
    </w:p>
  </w:endnote>
  <w:endnote w:type="continuationSeparator" w:id="0">
    <w:p w14:paraId="679C700A" w14:textId="77777777" w:rsidR="00C33846" w:rsidRDefault="00C33846"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5352D3" w:rsidTr="005352D3" w14:paraId="5E290292" w14:textId="77777777">
      <w:tc>
        <w:tcPr>
          <w:tcW w:w="7356" w:type="dxa"/>
        </w:tcPr>
        <w:p w:rsidRPr="00637782" w:rsidR="00641717" w:rsidP="00641717" w:rsidRDefault="00641717" w14:paraId="0F99AE10" w14:textId="77777777">
          <w:pPr>
            <w:pStyle w:val="Piedepgina"/>
            <w:jc w:val="center"/>
          </w:pPr>
          <w:r>
            <w:rPr>
              <w:b/>
              <w:noProof/>
              <w:sz w:val="18"/>
            </w:rPr>
            <mc:AlternateContent>
              <mc:Choice Requires="wps">
                <w:drawing>
                  <wp:anchor distT="0" distB="0" distL="114300" distR="114300" simplePos="0" relativeHeight="251663360" behindDoc="0" locked="0" layoutInCell="0" allowOverlap="1" wp14:editId="58F96ACF" wp14:anchorId="1748A548">
                    <wp:simplePos x="0" y="0"/>
                    <wp:positionH relativeFrom="page">
                      <wp:posOffset>0</wp:posOffset>
                    </wp:positionH>
                    <wp:positionV relativeFrom="page">
                      <wp:posOffset>9594215</wp:posOffset>
                    </wp:positionV>
                    <wp:extent cx="7772400" cy="273050"/>
                    <wp:effectExtent l="0" t="0" r="0" b="12700"/>
                    <wp:wrapNone/>
                    <wp:docPr id="4" name="MSIPCM1ab747df9f17c3f36dfb4cc2"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41717" w:rsidR="00641717" w:rsidP="00641717" w:rsidRDefault="00641717" w14:paraId="10CCFA94" w14:textId="77777777">
                                <w:pPr>
                                  <w:jc w:val="center"/>
                                  <w:rPr>
                                    <w:rFonts w:ascii="Calibri" w:hAnsi="Calibri" w:cs="Calibri"/>
                                    <w:color w:val="000000"/>
                                    <w:sz w:val="20"/>
                                  </w:rPr>
                                </w:pPr>
                                <w:r w:rsidRPr="00641717">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748A548">
                    <v:stroke joinstyle="miter"/>
                    <v:path gradientshapeok="t" o:connecttype="rect"/>
                  </v:shapetype>
                  <v:shape id="MSIPCM1ab747df9f17c3f36dfb4cc2"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641717" w:rsidR="00641717" w:rsidP="00641717" w:rsidRDefault="00641717" w14:paraId="10CCFA94" w14:textId="77777777">
                          <w:pPr>
                            <w:jc w:val="center"/>
                            <w:rPr>
                              <w:rFonts w:ascii="Calibri" w:hAnsi="Calibri" w:cs="Calibri"/>
                              <w:color w:val="000000"/>
                              <w:sz w:val="20"/>
                            </w:rPr>
                          </w:pPr>
                          <w:r w:rsidRPr="00641717">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2">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5352D3" w:rsidP="00641717" w:rsidRDefault="005352D3" w14:paraId="15B755BC" w14:textId="77777777">
          <w:pPr>
            <w:pStyle w:val="Piedepgina"/>
            <w:rPr>
              <w:b/>
              <w:color w:val="7F7F7F" w:themeColor="text1" w:themeTint="80"/>
              <w:sz w:val="16"/>
              <w:szCs w:val="16"/>
            </w:rPr>
          </w:pPr>
        </w:p>
      </w:tc>
      <w:tc>
        <w:tcPr>
          <w:tcW w:w="1472" w:type="dxa"/>
        </w:tcPr>
        <w:p w:rsidRPr="009349F3" w:rsidR="005352D3" w:rsidP="00181ABF" w:rsidRDefault="005352D3" w14:paraId="3560D06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5352D3" w14:paraId="6654897B" w14:textId="77777777">
    <w:pPr>
      <w:pStyle w:val="Piedepgina"/>
    </w:pPr>
    <w:r>
      <w:rPr>
        <w:noProof/>
      </w:rPr>
      <w:drawing>
        <wp:anchor distT="0" distB="0" distL="114300" distR="114300" simplePos="0" relativeHeight="251659264" behindDoc="1" locked="0" layoutInCell="1" allowOverlap="1" wp14:editId="1530EBA6" wp14:anchorId="7383751E">
          <wp:simplePos x="0" y="0"/>
          <wp:positionH relativeFrom="page">
            <wp:align>right</wp:align>
          </wp:positionH>
          <wp:positionV relativeFrom="paragraph">
            <wp:posOffset>-304800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C535" w14:textId="77777777" w:rsidR="00C33846" w:rsidRDefault="00C33846" w:rsidP="00181ABF">
      <w:pPr>
        <w:spacing w:line="240" w:lineRule="auto"/>
      </w:pPr>
      <w:r>
        <w:separator/>
      </w:r>
    </w:p>
  </w:footnote>
  <w:footnote w:type="continuationSeparator" w:id="0">
    <w:p w14:paraId="3C1333CA" w14:textId="77777777" w:rsidR="00C33846" w:rsidRDefault="00C33846"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403D58" w14:paraId="368B3582" w14:textId="77777777">
    <w:pPr>
      <w:pStyle w:val="Encabezado"/>
    </w:pPr>
    <w:r>
      <w:rPr>
        <w:noProof/>
      </w:rPr>
      <w:drawing>
        <wp:anchor distT="0" distB="0" distL="114300" distR="114300" simplePos="0" relativeHeight="251662336" behindDoc="1" locked="0" layoutInCell="1" allowOverlap="1" wp14:editId="18C9F855" wp14:anchorId="6A45F4B7">
          <wp:simplePos x="0" y="0"/>
          <wp:positionH relativeFrom="page">
            <wp:align>right</wp:align>
          </wp:positionH>
          <wp:positionV relativeFrom="paragraph">
            <wp:posOffset>-449055</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5352D3" w:rsidRDefault="00181ABF" w14:paraId="15909E16"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525360349">
    <w:abstractNumId w:val="0"/>
  </w:num>
  <w:num w:numId="2" w16cid:durableId="2042389941">
    <w:abstractNumId w:val="2"/>
  </w:num>
  <w:num w:numId="3" w16cid:durableId="641884318">
    <w:abstractNumId w:val="3"/>
  </w:num>
  <w:num w:numId="4" w16cid:durableId="248543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46"/>
    <w:rsid w:val="000202E3"/>
    <w:rsid w:val="00181ABF"/>
    <w:rsid w:val="00264711"/>
    <w:rsid w:val="003172BE"/>
    <w:rsid w:val="003720A6"/>
    <w:rsid w:val="00403D58"/>
    <w:rsid w:val="00415A35"/>
    <w:rsid w:val="004E07CA"/>
    <w:rsid w:val="004F21C2"/>
    <w:rsid w:val="005352D3"/>
    <w:rsid w:val="00641717"/>
    <w:rsid w:val="00671123"/>
    <w:rsid w:val="00937EF0"/>
    <w:rsid w:val="00981413"/>
    <w:rsid w:val="00A963BF"/>
    <w:rsid w:val="00C33846"/>
    <w:rsid w:val="00CF141B"/>
    <w:rsid w:val="00CF7655"/>
    <w:rsid w:val="00D2422E"/>
    <w:rsid w:val="00D67CC3"/>
    <w:rsid w:val="00D90222"/>
    <w:rsid w:val="00E42AAC"/>
    <w:rsid w:val="00E77993"/>
    <w:rsid w:val="00EE55C8"/>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C7A5A"/>
  <w15:chartTrackingRefBased/>
  <w15:docId w15:val="{852EFB33-F9F7-456A-812D-9810A90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535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BorradoresInfCrediticia/Forms/Correspondencia%20Externa%20SUGEF/plantilla-SGF-DST-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656B5F60E401DB712A6367FC4742B"/>
        <w:category>
          <w:name w:val="General"/>
          <w:gallery w:val="placeholder"/>
        </w:category>
        <w:types>
          <w:type w:val="bbPlcHdr"/>
        </w:types>
        <w:behaviors>
          <w:behavior w:val="content"/>
        </w:behaviors>
        <w:guid w:val="{BEBE7815-23A8-4549-94ED-31BB2624340A}"/>
      </w:docPartPr>
      <w:docPartBody>
        <w:p w:rsidR="00BD478B" w:rsidRDefault="00BD478B">
          <w:pPr>
            <w:pStyle w:val="3E3656B5F60E401DB712A6367FC4742B"/>
          </w:pPr>
          <w:r w:rsidRPr="001E0779">
            <w:rPr>
              <w:rStyle w:val="Textodelmarcadordeposicin"/>
            </w:rPr>
            <w:t>Haga clic aquí para escribir texto.</w:t>
          </w:r>
        </w:p>
      </w:docPartBody>
    </w:docPart>
    <w:docPart>
      <w:docPartPr>
        <w:name w:val="3ABF557C6890491A949CC9D4665D31B6"/>
        <w:category>
          <w:name w:val="General"/>
          <w:gallery w:val="placeholder"/>
        </w:category>
        <w:types>
          <w:type w:val="bbPlcHdr"/>
        </w:types>
        <w:behaviors>
          <w:behavior w:val="content"/>
        </w:behaviors>
        <w:guid w:val="{A0885022-7C64-4F75-B504-A777D3D82BA5}"/>
      </w:docPartPr>
      <w:docPartBody>
        <w:p w:rsidR="00BD478B" w:rsidRDefault="00BD478B">
          <w:pPr>
            <w:pStyle w:val="3ABF557C6890491A949CC9D4665D31B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8B"/>
    <w:rsid w:val="00BD47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E3656B5F60E401DB712A6367FC4742B">
    <w:name w:val="3E3656B5F60E401DB712A6367FC4742B"/>
  </w:style>
  <w:style w:type="paragraph" w:customStyle="1" w:styleId="3ABF557C6890491A949CC9D4665D31B6">
    <w:name w:val="3ABF557C6890491A949CC9D4665D3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FGpJPLb2p72d27nEemCyxK7k2sZ9HquUYsFxH8EJKi0=</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gaN7Tj8BcuAI027dNQR+JQn4iROO3p4toJXkFdAjq1k=</DigestValue>
    </Reference>
  </SignedInfo>
  <SignatureValue>nCXOOf8CPFFW9j/AeTLvKoggBrekeLdWvn71Zls8YydPh6H1LL2jVcH3+xU9aDhKQt13Fobrd78x
5+n86xvjQ+BY5vBJImgUA0U62mta2vrr0vgIkSXI9Xw9M0SYxiHc8dDAU+N7rx7CGcqjO8DYXIKH
M0ic7SvuokYFJE0V8/o08NcFNRb9TdcwFHNyKUOv9WWAz7eqM2Zh0d4XuIxJtv3Du1zNWDdNao03
AKLn1IyLULGuPIMxVGMjj3kWtVJ/5+9xPGCjJRnKTYk6/ckCQWDwp/Lfm+XDe3VGTtBLD2f2DyE1
tHRNGkRAHwgOeHMOlAQhkw/oXKb0/dd2Wvd+pQ==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Transform>
          <Transform Algorithm="http://www.w3.org/TR/2001/REC-xml-c14n-20010315"/>
        </Transforms>
        <DigestMethod Algorithm="http://www.w3.org/2001/04/xmlenc#sha256"/>
        <DigestValue>JUTecEzEMoVsjYc+Uya5HQamGuAnUz+hL1d8GLhxc5Q=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6JYfDzsDjIglkzQ4gDMKmcOIA4XkneqDVrIKrCAgK4I=</DigestValue>
      </Reference>
      <Reference URI="/word/document.xml?ContentType=application/vnd.openxmlformats-officedocument.wordprocessingml.document.main+xml">
        <DigestMethod Algorithm="http://www.w3.org/2001/04/xmlenc#sha256"/>
        <DigestValue>TlUTwBh/tA4RzU1HtH/LBnm7CsRk/XIfZFmleLEXAm0=</DigestValue>
      </Reference>
      <Reference URI="/word/endnotes.xml?ContentType=application/vnd.openxmlformats-officedocument.wordprocessingml.endnotes+xml">
        <DigestMethod Algorithm="http://www.w3.org/2001/04/xmlenc#sha256"/>
        <DigestValue>YoMhdk+PrYCoTIoJWfqwG1lxDAFBSB6hJvwmR2QC/xI=</DigestValue>
      </Reference>
      <Reference URI="/word/fontTable.xml?ContentType=application/vnd.openxmlformats-officedocument.wordprocessingml.fontTable+xml">
        <DigestMethod Algorithm="http://www.w3.org/2001/04/xmlenc#sha256"/>
        <DigestValue>FmK+anorUjtJkYiVRUz5x0W75qtU5WdjEaGJK+0pBeM=</DigestValue>
      </Reference>
      <Reference URI="/word/footer1.xml?ContentType=application/vnd.openxmlformats-officedocument.wordprocessingml.footer+xml">
        <DigestMethod Algorithm="http://www.w3.org/2001/04/xmlenc#sha256"/>
        <DigestValue>gFLDRiwNhSt3ma11Q9SoiJbbgyHsWqBq1udTiLMJrYE=</DigestValue>
      </Reference>
      <Reference URI="/word/footnotes.xml?ContentType=application/vnd.openxmlformats-officedocument.wordprocessingml.footnotes+xml">
        <DigestMethod Algorithm="http://www.w3.org/2001/04/xmlenc#sha256"/>
        <DigestValue>oL+CA7mZqvWaKYmCe7nHEmrAPvxJ4YVxJOYzavthZbk=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i9hI/y5ItukmtYu0xHnfmuxgiqzrebOq6vmJPVmSsG4=</DigestValue>
      </Reference>
      <Reference URI="/word/glossary/fontTable.xml?ContentType=application/vnd.openxmlformats-officedocument.wordprocessingml.fontTable+xml">
        <DigestMethod Algorithm="http://www.w3.org/2001/04/xmlenc#sha256"/>
        <DigestValue>FmK+anorUjtJkYiVRUz5x0W75qtU5WdjEaGJK+0pBeM=</DigestValue>
      </Reference>
      <Reference URI="/word/glossary/settings.xml?ContentType=application/vnd.openxmlformats-officedocument.wordprocessingml.settings+xml">
        <DigestMethod Algorithm="http://www.w3.org/2001/04/xmlenc#sha256"/>
        <DigestValue>G8rxptGLaqykINQQRRrjkKI8aMdH8RjB7KSnwh7E6Lw=</DigestValue>
      </Reference>
      <Reference URI="/word/glossary/styles.xml?ContentType=application/vnd.openxmlformats-officedocument.wordprocessingml.styles+xml">
        <DigestMethod Algorithm="http://www.w3.org/2001/04/xmlenc#sha256"/>
        <DigestValue>acwdvL4gjS/wfka4PGByL0sCNvyIRJLifIyi7n07eXo=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fWLwae+M0n8NZCVmbb+5jwipRscOZgnzpKnmI+SD78M=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/1eWI7nQQjeN3Z8UOjDekQY+XE+vGansB3tZvnyDyn0=</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FOoivUb4JCqir6hbl4aAVZ2s877D1Fi1RNnfz0BWbPM=</DigestValue>
      </Reference>
      <Reference URI="/word/settings.xml?ContentType=application/vnd.openxmlformats-officedocument.wordprocessingml.settings+xml">
        <DigestMethod Algorithm="http://www.w3.org/2001/04/xmlenc#sha256"/>
        <DigestValue>zZBbkiJQIUyBG9/wio4FUyleKPWhyk5aSg+2hGoYJHs=</DigestValue>
      </Reference>
      <Reference URI="/word/styles.xml?ContentType=application/vnd.openxmlformats-officedocument.wordprocessingml.styles+xml">
        <DigestMethod Algorithm="http://www.w3.org/2001/04/xmlenc#sha256"/>
        <DigestValue>+nzcQrJOIIXWNrQNjOldG219u8fKe0wQZzEMe9UUSRU=</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2024-03-07T18:16:23Z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2024-03-07T18:16:23Z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c0wKJfQtGT95DZD2cYpsiP0zLWj0hJoszYTjt2OSjkCBBljgi4YDzIwMjQwMzA3MTgxNj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PGbmM6tZF5X4+qQXoxGV6v8D4Q4=</xd:ByKey>
                  </xd:ResponderID>
                  <xd:ProducedAt>2024-03-06T18:09:25Z</xd:ProducedAt>
                </xd:OCSPIdentifier>
                <xd:DigestAlgAndValue>
                  <DigestMethod Algorithm="http://www.w3.org/2001/04/xmlenc#sha256"/>
                  <DigestValue>Bg1AdGsh4S7Y10GzTOX2Gm8e28bJWRbcCKcbnuStzIM=</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</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souxbt8Pr9kP29jK7SmwLiZGHUXc0E29toU1V5uGsECBBljgjEYDzIwMjQwMzA3MTgxNj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SEQUEIRA DITTEL PABLO</DisplayName>
        <AccountId>422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DEPARTAMENTO INFORMACIÓN CREDITICIA</DisplayName>
        <AccountId>3335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Texto base para conocer reformas al Estatuto Social en Asamblea General
Copiar a Saliente Departamento Información Crediticia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FALLAS MUNOZ KAREN ROCIO</DisplayName>
        <AccountId>3888</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Subject1>
  </documentManagement>
</p:propertie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EFEE3096-B77A-42A8-8A2C-48E34BBA8001}"/>
</file>

<file path=customXml/itemProps2.xml><?xml version="1.0" encoding="utf-8"?>
<ds:datastoreItem xmlns:ds="http://schemas.openxmlformats.org/officeDocument/2006/customXml" ds:itemID="{A31051DE-D14E-405A-AEC9-7BC496174E64}"/>
</file>

<file path=customXml/itemProps3.xml><?xml version="1.0" encoding="utf-8"?>
<ds:datastoreItem xmlns:ds="http://schemas.openxmlformats.org/officeDocument/2006/customXml" ds:itemID="{910BEB21-E65C-4CBE-8609-12838B8D0CCC}"/>
</file>

<file path=customXml/itemProps4.xml><?xml version="1.0" encoding="utf-8"?>
<ds:datastoreItem xmlns:ds="http://schemas.openxmlformats.org/officeDocument/2006/customXml" ds:itemID="{501C443D-85E8-4581-AABA-5620A66C15B9}"/>
</file>

<file path=customXml/itemProps5.xml><?xml version="1.0" encoding="utf-8"?>
<ds:datastoreItem xmlns:ds="http://schemas.openxmlformats.org/officeDocument/2006/customXml" ds:itemID="{068C5E37-641F-4ADA-A5AD-E52456C0FFAB}"/>
</file>

<file path=customXml/itemProps6.xml><?xml version="1.0" encoding="utf-8"?>
<ds:datastoreItem xmlns:ds="http://schemas.openxmlformats.org/officeDocument/2006/customXml" ds:itemID="{CD55892C-0DDC-4530-A0B2-0C0870CF21B0}"/>
</file>

<file path=docProps/app.xml><?xml version="1.0" encoding="utf-8"?>
<Properties xmlns="http://schemas.openxmlformats.org/officeDocument/2006/extended-properties" xmlns:vt="http://schemas.openxmlformats.org/officeDocument/2006/docPropsVTypes">
  <Template>plantilla-SGF-DST-22</Template>
  <TotalTime>143</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SEQUEIRA EVELYN</dc:creator>
  <cp:keywords/>
  <dc:description/>
  <cp:lastModifiedBy>FALLAS MUNOZ KAREN ROCIO</cp:lastModifiedBy>
  <cp:revision>6</cp:revision>
  <dcterms:created xsi:type="dcterms:W3CDTF">2024-03-01T17:34:00Z</dcterms:created>
  <dcterms:modified xsi:type="dcterms:W3CDTF">2024-03-07T14:43:00Z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707900</vt:r8>
  </property>
  <property fmtid="{D5CDD505-2E9C-101B-9397-08002B2CF9AE}" pid="12" name="MSIP_Label_b8b4be34-365a-4a68-b9fb-75c1b6874315_Enabled">
    <vt:lpwstr>true</vt:lpwstr>
  </property>
  <property fmtid="{D5CDD505-2E9C-101B-9397-08002B2CF9AE}" pid="13" name="MSIP_Label_b8b4be34-365a-4a68-b9fb-75c1b6874315_SetDate">
    <vt:lpwstr>2024-03-06T22:45:43Z</vt:lpwstr>
  </property>
  <property fmtid="{D5CDD505-2E9C-101B-9397-08002B2CF9AE}" pid="14" name="MSIP_Label_b8b4be34-365a-4a68-b9fb-75c1b6874315_Method">
    <vt:lpwstr>Standard</vt:lpwstr>
  </property>
  <property fmtid="{D5CDD505-2E9C-101B-9397-08002B2CF9AE}" pid="15" name="MSIP_Label_b8b4be34-365a-4a68-b9fb-75c1b6874315_Name">
    <vt:lpwstr>b8b4be34-365a-4a68-b9fb-75c1b6874315</vt:lpwstr>
  </property>
  <property fmtid="{D5CDD505-2E9C-101B-9397-08002B2CF9AE}" pid="16" name="MSIP_Label_b8b4be34-365a-4a68-b9fb-75c1b6874315_SiteId">
    <vt:lpwstr>618d0a45-25a6-4618-9f80-8f70a435ee52</vt:lpwstr>
  </property>
  <property fmtid="{D5CDD505-2E9C-101B-9397-08002B2CF9AE}" pid="17" name="MSIP_Label_b8b4be34-365a-4a68-b9fb-75c1b6874315_ActionId">
    <vt:lpwstr>d163bbed-c604-4cbd-9468-56d5dccf0292</vt:lpwstr>
  </property>
  <property fmtid="{D5CDD505-2E9C-101B-9397-08002B2CF9AE}" pid="18" name="MSIP_Label_b8b4be34-365a-4a68-b9fb-75c1b6874315_ContentBits">
    <vt:lpwstr>2</vt:lpwstr>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f1fd9d7f-da86-405a-9476-87cbb240632e,7;36e1af0c-2eec-499f-b304-a394df1aa266,10;</vt:lpwstr>
  </property>
</Properties>
</file>