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3956" w14:textId="1D642B0D" w:rsidR="008D0A93" w:rsidRPr="00814104" w:rsidRDefault="008D0A93" w:rsidP="008D0A93">
      <w:pPr>
        <w:pStyle w:val="Texto"/>
        <w:spacing w:before="0" w:after="0" w:line="240" w:lineRule="auto"/>
        <w:jc w:val="center"/>
        <w:rPr>
          <w:b/>
          <w:bCs/>
          <w:sz w:val="24"/>
        </w:rPr>
      </w:pPr>
      <w:r w:rsidRPr="00814104">
        <w:rPr>
          <w:b/>
          <w:bCs/>
          <w:sz w:val="24"/>
        </w:rPr>
        <w:t xml:space="preserve">Circular </w:t>
      </w:r>
      <w:r w:rsidR="00814104" w:rsidRPr="00814104">
        <w:rPr>
          <w:b/>
          <w:bCs/>
          <w:sz w:val="24"/>
        </w:rPr>
        <w:t>E</w:t>
      </w:r>
      <w:r w:rsidRPr="00814104">
        <w:rPr>
          <w:b/>
          <w:bCs/>
          <w:sz w:val="24"/>
        </w:rPr>
        <w:t>xterna</w:t>
      </w:r>
    </w:p>
    <w:p w14:paraId="685F455E" w14:textId="2D3F7753" w:rsidR="00181ABF" w:rsidRPr="00964DDB" w:rsidRDefault="00814104" w:rsidP="008D0A93">
      <w:pPr>
        <w:pStyle w:val="Texto"/>
        <w:spacing w:before="0" w:after="0" w:line="240" w:lineRule="auto"/>
        <w:jc w:val="center"/>
        <w:rPr>
          <w:sz w:val="24"/>
        </w:rPr>
      </w:pPr>
      <w:r>
        <w:rPr>
          <w:sz w:val="24"/>
        </w:rPr>
        <w:t>10 de marzo del 2023</w:t>
      </w:r>
    </w:p>
    <w:sdt>
      <w:sdtPr>
        <w:rPr>
          <w:sz w:val="24"/>
        </w:rPr>
        <w:alias w:val="Consecutivo"/>
        <w:tag w:val="Consecutivo"/>
        <w:id w:val="2052717023"/>
        <w:placeholder>
          <w:docPart w:val="92099032F12E4850B1513BB36AF2B25F"/>
        </w:placeholder>
        <w:text/>
      </w:sdtPr>
      <w:sdtEndPr/>
      <w:sdtContent>
        <w:p w14:paraId="29F515DB" w14:textId="77777777" w:rsidR="00181ABF" w:rsidRPr="00A7729F" w:rsidRDefault="00181ABF" w:rsidP="008D0A93">
          <w:pPr>
            <w:tabs>
              <w:tab w:val="left" w:pos="2843"/>
            </w:tabs>
            <w:spacing w:line="240" w:lineRule="auto"/>
            <w:jc w:val="center"/>
            <w:rPr>
              <w:sz w:val="24"/>
            </w:rPr>
          </w:pPr>
          <w:r w:rsidRPr="00A7729F">
            <w:rPr>
              <w:sz w:val="24"/>
            </w:rPr>
            <w:t>SGF-0666-2023</w:t>
          </w:r>
        </w:p>
      </w:sdtContent>
    </w:sdt>
    <w:p w14:paraId="3A544787" w14:textId="5120902B" w:rsidR="00181ABF" w:rsidRPr="00964DDB" w:rsidRDefault="00A7729F" w:rsidP="008D0A93">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D0A93" w:rsidRPr="00964DDB">
            <w:rPr>
              <w:sz w:val="24"/>
            </w:rPr>
            <w:t>SGF-PUBLICO</w:t>
          </w:r>
        </w:sdtContent>
      </w:sdt>
    </w:p>
    <w:p w14:paraId="4E48DF22" w14:textId="77777777" w:rsidR="00181ABF" w:rsidRPr="00964DDB" w:rsidRDefault="00181ABF" w:rsidP="00181ABF">
      <w:pPr>
        <w:tabs>
          <w:tab w:val="left" w:pos="2843"/>
        </w:tabs>
        <w:spacing w:line="240" w:lineRule="auto"/>
        <w:rPr>
          <w:sz w:val="24"/>
        </w:rPr>
      </w:pPr>
      <w:r w:rsidRPr="00964DDB">
        <w:rPr>
          <w:sz w:val="24"/>
        </w:rPr>
        <w:tab/>
      </w:r>
    </w:p>
    <w:p w14:paraId="20C066CA" w14:textId="77777777" w:rsidR="008D0A93" w:rsidRPr="00964DDB" w:rsidRDefault="008D0A93" w:rsidP="008D0A93">
      <w:pPr>
        <w:ind w:left="34" w:right="86"/>
        <w:contextualSpacing/>
        <w:rPr>
          <w:b/>
          <w:bCs/>
          <w:sz w:val="24"/>
        </w:rPr>
      </w:pPr>
      <w:r w:rsidRPr="00964DDB">
        <w:rPr>
          <w:b/>
          <w:bCs/>
          <w:sz w:val="24"/>
        </w:rPr>
        <w:t xml:space="preserve">Dirigida a: </w:t>
      </w:r>
    </w:p>
    <w:p w14:paraId="10342821" w14:textId="77777777" w:rsidR="008D0A93" w:rsidRPr="00964DDB" w:rsidRDefault="008D0A93" w:rsidP="008D0A93">
      <w:pPr>
        <w:ind w:left="34" w:right="86"/>
        <w:contextualSpacing/>
        <w:rPr>
          <w:b/>
          <w:bCs/>
          <w:sz w:val="24"/>
        </w:rPr>
      </w:pPr>
    </w:p>
    <w:p w14:paraId="3BF43E2C" w14:textId="5C66D2C9"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w:t>
      </w:r>
      <w:r w:rsidR="00814104">
        <w:rPr>
          <w:b/>
          <w:bCs/>
          <w:sz w:val="24"/>
          <w:lang w:eastAsia="es-ES"/>
        </w:rPr>
        <w:t>C</w:t>
      </w:r>
      <w:r w:rsidRPr="00964DDB">
        <w:rPr>
          <w:b/>
          <w:bCs/>
          <w:sz w:val="24"/>
          <w:lang w:eastAsia="es-ES"/>
        </w:rPr>
        <w:t>omerciales del Estado</w:t>
      </w:r>
    </w:p>
    <w:p w14:paraId="24020311" w14:textId="0FE0640A"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Creados por </w:t>
      </w:r>
      <w:r w:rsidR="00814104">
        <w:rPr>
          <w:b/>
          <w:bCs/>
          <w:sz w:val="24"/>
          <w:lang w:eastAsia="es-ES"/>
        </w:rPr>
        <w:t>L</w:t>
      </w:r>
      <w:r w:rsidRPr="00964DDB">
        <w:rPr>
          <w:b/>
          <w:bCs/>
          <w:sz w:val="24"/>
          <w:lang w:eastAsia="es-ES"/>
        </w:rPr>
        <w:t xml:space="preserve">eyes </w:t>
      </w:r>
      <w:r w:rsidR="00814104">
        <w:rPr>
          <w:b/>
          <w:bCs/>
          <w:sz w:val="24"/>
          <w:lang w:eastAsia="es-ES"/>
        </w:rPr>
        <w:t>E</w:t>
      </w:r>
      <w:r w:rsidRPr="00964DDB">
        <w:rPr>
          <w:b/>
          <w:bCs/>
          <w:sz w:val="24"/>
          <w:lang w:eastAsia="es-ES"/>
        </w:rPr>
        <w:t>speciales</w:t>
      </w:r>
    </w:p>
    <w:p w14:paraId="7C3C57EC" w14:textId="48C82398"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Bancos </w:t>
      </w:r>
      <w:r w:rsidR="00814104">
        <w:rPr>
          <w:b/>
          <w:bCs/>
          <w:sz w:val="24"/>
          <w:lang w:eastAsia="es-ES"/>
        </w:rPr>
        <w:t>P</w:t>
      </w:r>
      <w:r w:rsidRPr="00964DDB">
        <w:rPr>
          <w:b/>
          <w:bCs/>
          <w:sz w:val="24"/>
          <w:lang w:eastAsia="es-ES"/>
        </w:rPr>
        <w:t>rivados</w:t>
      </w:r>
    </w:p>
    <w:p w14:paraId="3205F424" w14:textId="1CFC56CA"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Empresas </w:t>
      </w:r>
      <w:r w:rsidR="00814104">
        <w:rPr>
          <w:b/>
          <w:bCs/>
          <w:sz w:val="24"/>
          <w:lang w:eastAsia="es-ES"/>
        </w:rPr>
        <w:t>F</w:t>
      </w:r>
      <w:r w:rsidRPr="00964DDB">
        <w:rPr>
          <w:b/>
          <w:bCs/>
          <w:sz w:val="24"/>
          <w:lang w:eastAsia="es-ES"/>
        </w:rPr>
        <w:t xml:space="preserve">inancieras no </w:t>
      </w:r>
      <w:r w:rsidR="00814104">
        <w:rPr>
          <w:b/>
          <w:bCs/>
          <w:sz w:val="24"/>
          <w:lang w:eastAsia="es-ES"/>
        </w:rPr>
        <w:t>B</w:t>
      </w:r>
      <w:r w:rsidRPr="00964DDB">
        <w:rPr>
          <w:b/>
          <w:bCs/>
          <w:sz w:val="24"/>
          <w:lang w:eastAsia="es-ES"/>
        </w:rPr>
        <w:t>ancarias</w:t>
      </w:r>
    </w:p>
    <w:p w14:paraId="2973E936" w14:textId="1D3A1101"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Organizaciones </w:t>
      </w:r>
      <w:r w:rsidR="00814104">
        <w:rPr>
          <w:b/>
          <w:bCs/>
          <w:sz w:val="24"/>
          <w:lang w:eastAsia="es-ES"/>
        </w:rPr>
        <w:t>C</w:t>
      </w:r>
      <w:r w:rsidRPr="00964DDB">
        <w:rPr>
          <w:b/>
          <w:bCs/>
          <w:sz w:val="24"/>
          <w:lang w:eastAsia="es-ES"/>
        </w:rPr>
        <w:t xml:space="preserve">ooperativas de </w:t>
      </w:r>
      <w:r w:rsidR="00814104">
        <w:rPr>
          <w:b/>
          <w:bCs/>
          <w:sz w:val="24"/>
          <w:lang w:eastAsia="es-ES"/>
        </w:rPr>
        <w:t>A</w:t>
      </w:r>
      <w:r w:rsidRPr="00964DDB">
        <w:rPr>
          <w:b/>
          <w:bCs/>
          <w:sz w:val="24"/>
          <w:lang w:eastAsia="es-ES"/>
        </w:rPr>
        <w:t xml:space="preserve">horro y </w:t>
      </w:r>
      <w:r w:rsidR="00814104">
        <w:rPr>
          <w:b/>
          <w:bCs/>
          <w:sz w:val="24"/>
          <w:lang w:eastAsia="es-ES"/>
        </w:rPr>
        <w:t>C</w:t>
      </w:r>
      <w:r w:rsidRPr="00964DDB">
        <w:rPr>
          <w:b/>
          <w:bCs/>
          <w:sz w:val="24"/>
          <w:lang w:eastAsia="es-ES"/>
        </w:rPr>
        <w:t>rédito</w:t>
      </w:r>
    </w:p>
    <w:p w14:paraId="5EC6982E" w14:textId="77777777"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Entidades autorizadas del Sistema Financiero Nacional para la Vivienda</w:t>
      </w:r>
    </w:p>
    <w:p w14:paraId="03C8F535" w14:textId="3631432A"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 xml:space="preserve">Otras </w:t>
      </w:r>
      <w:r w:rsidR="00814104">
        <w:rPr>
          <w:b/>
          <w:bCs/>
          <w:sz w:val="24"/>
          <w:lang w:eastAsia="es-ES"/>
        </w:rPr>
        <w:t>E</w:t>
      </w:r>
      <w:r w:rsidRPr="00964DDB">
        <w:rPr>
          <w:b/>
          <w:bCs/>
          <w:sz w:val="24"/>
          <w:lang w:eastAsia="es-ES"/>
        </w:rPr>
        <w:t xml:space="preserve">ntidades </w:t>
      </w:r>
      <w:r w:rsidR="00814104">
        <w:rPr>
          <w:b/>
          <w:bCs/>
          <w:sz w:val="24"/>
          <w:lang w:eastAsia="es-ES"/>
        </w:rPr>
        <w:t>F</w:t>
      </w:r>
      <w:r w:rsidRPr="00964DDB">
        <w:rPr>
          <w:b/>
          <w:bCs/>
          <w:sz w:val="24"/>
          <w:lang w:eastAsia="es-ES"/>
        </w:rPr>
        <w:t>inancieras</w:t>
      </w:r>
    </w:p>
    <w:p w14:paraId="4F739339" w14:textId="77777777" w:rsidR="008D0A93" w:rsidRPr="00964DDB" w:rsidRDefault="008D0A93" w:rsidP="008D0A93">
      <w:pPr>
        <w:numPr>
          <w:ilvl w:val="0"/>
          <w:numId w:val="3"/>
        </w:numPr>
        <w:spacing w:line="240" w:lineRule="auto"/>
        <w:ind w:left="567" w:right="86" w:hanging="567"/>
        <w:contextualSpacing/>
        <w:rPr>
          <w:b/>
          <w:bCs/>
          <w:sz w:val="24"/>
          <w:lang w:eastAsia="es-ES"/>
        </w:rPr>
      </w:pPr>
      <w:r w:rsidRPr="00964DDB">
        <w:rPr>
          <w:b/>
          <w:bCs/>
          <w:sz w:val="24"/>
          <w:lang w:eastAsia="es-ES"/>
        </w:rPr>
        <w:t>Secretaría Técnica de Banca para el Desarrollo</w:t>
      </w:r>
    </w:p>
    <w:p w14:paraId="1FE3C88D" w14:textId="77777777" w:rsidR="008D0A93" w:rsidRPr="00964DDB" w:rsidRDefault="008D0A93" w:rsidP="008D0A93">
      <w:pPr>
        <w:spacing w:line="240" w:lineRule="auto"/>
        <w:ind w:right="86"/>
        <w:contextualSpacing/>
        <w:rPr>
          <w:b/>
          <w:bCs/>
          <w:sz w:val="24"/>
          <w:lang w:eastAsia="es-ES"/>
        </w:rPr>
      </w:pPr>
    </w:p>
    <w:p w14:paraId="009190B5" w14:textId="77777777" w:rsidR="008D0A93" w:rsidRPr="00964DDB" w:rsidRDefault="008D0A93" w:rsidP="008D0A93">
      <w:pPr>
        <w:spacing w:line="240" w:lineRule="auto"/>
        <w:ind w:right="86"/>
        <w:contextualSpacing/>
        <w:rPr>
          <w:b/>
          <w:bCs/>
          <w:sz w:val="24"/>
          <w:lang w:eastAsia="es-ES"/>
        </w:rPr>
      </w:pPr>
    </w:p>
    <w:p w14:paraId="6B692E2B" w14:textId="1AEA756E" w:rsidR="008D0A93" w:rsidRPr="00964DDB" w:rsidRDefault="008D0A93" w:rsidP="008D0A93">
      <w:pPr>
        <w:autoSpaceDE w:val="0"/>
        <w:autoSpaceDN w:val="0"/>
        <w:adjustRightInd w:val="0"/>
        <w:spacing w:line="240" w:lineRule="auto"/>
        <w:ind w:left="851" w:hanging="851"/>
        <w:rPr>
          <w:bCs/>
          <w:sz w:val="24"/>
          <w:lang w:val="es-CR"/>
        </w:rPr>
      </w:pPr>
      <w:r w:rsidRPr="00964DDB">
        <w:rPr>
          <w:b/>
          <w:sz w:val="24"/>
          <w:lang w:val="es-CR"/>
        </w:rPr>
        <w:t xml:space="preserve">Asunto: </w:t>
      </w:r>
      <w:r w:rsidRPr="00964DDB">
        <w:rPr>
          <w:bCs/>
          <w:sz w:val="24"/>
          <w:lang w:val="es-CR"/>
        </w:rPr>
        <w:t>Sobre</w:t>
      </w:r>
      <w:r w:rsidRPr="00964DDB">
        <w:rPr>
          <w:b/>
          <w:sz w:val="24"/>
          <w:lang w:val="es-CR"/>
        </w:rPr>
        <w:t xml:space="preserve"> </w:t>
      </w:r>
      <w:r w:rsidRPr="00964DDB">
        <w:rPr>
          <w:bCs/>
          <w:sz w:val="24"/>
          <w:lang w:val="es-CR"/>
        </w:rPr>
        <w:t xml:space="preserve">el campo </w:t>
      </w:r>
      <w:r w:rsidRPr="0042556A">
        <w:rPr>
          <w:bCs/>
          <w:i/>
          <w:iCs/>
          <w:sz w:val="24"/>
          <w:lang w:val="es-CR"/>
        </w:rPr>
        <w:t>TasaLey7472</w:t>
      </w:r>
      <w:r w:rsidRPr="00964DDB">
        <w:rPr>
          <w:bCs/>
          <w:sz w:val="24"/>
          <w:lang w:val="es-CR"/>
        </w:rPr>
        <w:t xml:space="preserve"> </w:t>
      </w:r>
    </w:p>
    <w:p w14:paraId="3D1D0D3A" w14:textId="77777777" w:rsidR="008D0A93" w:rsidRPr="00964DDB" w:rsidRDefault="008D0A93" w:rsidP="008D0A93">
      <w:pPr>
        <w:spacing w:line="240" w:lineRule="auto"/>
        <w:ind w:left="851" w:hanging="851"/>
        <w:contextualSpacing/>
        <w:rPr>
          <w:bCs/>
          <w:sz w:val="24"/>
          <w:lang w:val="es-CR"/>
        </w:rPr>
      </w:pPr>
    </w:p>
    <w:p w14:paraId="1E9134C7" w14:textId="77777777" w:rsidR="008D0A93" w:rsidRPr="00964DDB" w:rsidRDefault="008D0A93" w:rsidP="008D0A93">
      <w:pPr>
        <w:spacing w:line="240" w:lineRule="auto"/>
        <w:contextualSpacing/>
        <w:rPr>
          <w:rFonts w:eastAsiaTheme="minorHAnsi" w:cs="Calibri"/>
          <w:sz w:val="24"/>
          <w:lang w:val="es-CR" w:eastAsia="es-CR"/>
        </w:rPr>
      </w:pPr>
    </w:p>
    <w:p w14:paraId="43A26D71" w14:textId="77777777" w:rsidR="008D0A93" w:rsidRPr="00964DDB" w:rsidRDefault="008D0A93" w:rsidP="008D0A93">
      <w:pPr>
        <w:spacing w:line="240" w:lineRule="auto"/>
        <w:contextualSpacing/>
        <w:rPr>
          <w:rFonts w:eastAsiaTheme="minorHAnsi" w:cs="Calibri"/>
          <w:b/>
          <w:bCs/>
          <w:sz w:val="24"/>
          <w:lang w:eastAsia="es-CR"/>
        </w:rPr>
      </w:pPr>
      <w:r w:rsidRPr="00964DDB">
        <w:rPr>
          <w:rFonts w:eastAsiaTheme="minorHAnsi" w:cs="Calibri"/>
          <w:b/>
          <w:bCs/>
          <w:sz w:val="24"/>
          <w:lang w:eastAsia="es-CR"/>
        </w:rPr>
        <w:t>La Superintendencia General de Entidades Financieras:</w:t>
      </w:r>
    </w:p>
    <w:p w14:paraId="494D55E7" w14:textId="77777777" w:rsidR="008D0A93" w:rsidRPr="00964DDB" w:rsidRDefault="008D0A93" w:rsidP="008D0A93">
      <w:pPr>
        <w:spacing w:line="240" w:lineRule="auto"/>
        <w:contextualSpacing/>
        <w:rPr>
          <w:rFonts w:eastAsiaTheme="minorHAnsi" w:cs="Calibri"/>
          <w:sz w:val="24"/>
          <w:lang w:eastAsia="es-CR"/>
        </w:rPr>
      </w:pPr>
    </w:p>
    <w:p w14:paraId="36E54E31" w14:textId="77777777" w:rsidR="008D0A93" w:rsidRPr="00964DDB" w:rsidRDefault="008D0A93" w:rsidP="008D0A93">
      <w:pPr>
        <w:spacing w:after="120"/>
        <w:ind w:left="33"/>
        <w:contextualSpacing/>
        <w:rPr>
          <w:sz w:val="24"/>
          <w:lang w:val="es-CR"/>
        </w:rPr>
      </w:pPr>
      <w:r w:rsidRPr="00964DDB">
        <w:rPr>
          <w:sz w:val="24"/>
        </w:rPr>
        <w:t>Considerando que:</w:t>
      </w:r>
    </w:p>
    <w:p w14:paraId="15F58E63" w14:textId="77777777" w:rsidR="008D0A93" w:rsidRPr="00964DDB" w:rsidRDefault="008D0A93" w:rsidP="008D0A93">
      <w:pPr>
        <w:autoSpaceDE w:val="0"/>
        <w:autoSpaceDN w:val="0"/>
        <w:adjustRightInd w:val="0"/>
        <w:spacing w:line="240" w:lineRule="auto"/>
        <w:contextualSpacing/>
        <w:rPr>
          <w:rFonts w:eastAsiaTheme="minorHAnsi" w:cstheme="minorBidi"/>
          <w:sz w:val="24"/>
          <w:lang w:val="es-CR"/>
        </w:rPr>
      </w:pPr>
    </w:p>
    <w:p w14:paraId="3F72E6DC" w14:textId="1E564494" w:rsidR="001A2FCE" w:rsidRPr="00964DDB" w:rsidRDefault="00543DBB" w:rsidP="001A2FCE">
      <w:pPr>
        <w:numPr>
          <w:ilvl w:val="0"/>
          <w:numId w:val="4"/>
        </w:numPr>
        <w:autoSpaceDE w:val="0"/>
        <w:autoSpaceDN w:val="0"/>
        <w:adjustRightInd w:val="0"/>
        <w:spacing w:line="240" w:lineRule="auto"/>
        <w:ind w:left="425" w:hanging="425"/>
        <w:contextualSpacing/>
        <w:rPr>
          <w:rFonts w:eastAsiaTheme="minorHAnsi" w:cstheme="minorBidi"/>
          <w:sz w:val="24"/>
          <w:lang w:val="es-CR"/>
        </w:rPr>
      </w:pPr>
      <w:r w:rsidRPr="00964DDB">
        <w:rPr>
          <w:sz w:val="24"/>
        </w:rPr>
        <w:t xml:space="preserve">Por medio de </w:t>
      </w:r>
      <w:r w:rsidR="00814104">
        <w:rPr>
          <w:sz w:val="24"/>
        </w:rPr>
        <w:t>C</w:t>
      </w:r>
      <w:r w:rsidRPr="00964DDB">
        <w:rPr>
          <w:sz w:val="24"/>
        </w:rPr>
        <w:t xml:space="preserve">ircular </w:t>
      </w:r>
      <w:r w:rsidR="00814104">
        <w:rPr>
          <w:sz w:val="24"/>
        </w:rPr>
        <w:t>E</w:t>
      </w:r>
      <w:r w:rsidRPr="00964DDB">
        <w:rPr>
          <w:sz w:val="24"/>
        </w:rPr>
        <w:t xml:space="preserve">xterna SGF-0488-2023 del 24 de febrero de 2023, se solicitó a todas las entidades supervisadas reportar </w:t>
      </w:r>
      <w:r w:rsidR="00561420" w:rsidRPr="00964DDB">
        <w:rPr>
          <w:sz w:val="24"/>
        </w:rPr>
        <w:t xml:space="preserve">el </w:t>
      </w:r>
      <w:r w:rsidRPr="00964DDB">
        <w:rPr>
          <w:sz w:val="24"/>
        </w:rPr>
        <w:t>dato</w:t>
      </w:r>
      <w:r w:rsidR="00561420" w:rsidRPr="00964DDB">
        <w:rPr>
          <w:sz w:val="24"/>
        </w:rPr>
        <w:t xml:space="preserve"> de </w:t>
      </w:r>
      <w:r w:rsidR="001A2FCE" w:rsidRPr="00964DDB">
        <w:rPr>
          <w:sz w:val="24"/>
        </w:rPr>
        <w:t>la tasa de interés total anual (TITA), calculada conforme a la metodología establecida en el artículo 7bis del Reglamento de las Operaciones Financieras, Comerciales y Microcréditos (</w:t>
      </w:r>
      <w:bookmarkStart w:id="0" w:name="_Hlk129344092"/>
      <w:r w:rsidR="001A2FCE" w:rsidRPr="00964DDB">
        <w:rPr>
          <w:sz w:val="24"/>
        </w:rPr>
        <w:t>Decreto Ejecutivo N°43270-MEIC</w:t>
      </w:r>
      <w:bookmarkEnd w:id="0"/>
      <w:r w:rsidR="001A2FCE" w:rsidRPr="00964DDB">
        <w:rPr>
          <w:sz w:val="24"/>
        </w:rPr>
        <w:t xml:space="preserve"> del 22 de octubre </w:t>
      </w:r>
      <w:r w:rsidR="00814104">
        <w:rPr>
          <w:sz w:val="24"/>
        </w:rPr>
        <w:t xml:space="preserve">de </w:t>
      </w:r>
      <w:r w:rsidR="001A2FCE" w:rsidRPr="00964DDB">
        <w:rPr>
          <w:sz w:val="24"/>
        </w:rPr>
        <w:t xml:space="preserve">2021 reformado el por el Decreto Ejecutivo 43855-MEIC publicado en el Alcance N°12 de la Gaceta N°12 del 23 de enero </w:t>
      </w:r>
      <w:r w:rsidR="00814104">
        <w:rPr>
          <w:sz w:val="24"/>
        </w:rPr>
        <w:t xml:space="preserve">de </w:t>
      </w:r>
      <w:r w:rsidR="001A2FCE" w:rsidRPr="00964DDB">
        <w:rPr>
          <w:sz w:val="24"/>
        </w:rPr>
        <w:t>2023).</w:t>
      </w:r>
    </w:p>
    <w:p w14:paraId="0791853D" w14:textId="77777777" w:rsidR="001A2FCE" w:rsidRPr="00964DDB" w:rsidRDefault="001A2FCE" w:rsidP="001A2FCE">
      <w:pPr>
        <w:autoSpaceDE w:val="0"/>
        <w:autoSpaceDN w:val="0"/>
        <w:adjustRightInd w:val="0"/>
        <w:spacing w:line="240" w:lineRule="auto"/>
        <w:ind w:left="425"/>
        <w:contextualSpacing/>
        <w:rPr>
          <w:rFonts w:eastAsiaTheme="minorHAnsi" w:cstheme="minorBidi"/>
          <w:sz w:val="24"/>
          <w:lang w:val="es-CR"/>
        </w:rPr>
      </w:pPr>
    </w:p>
    <w:p w14:paraId="3A1410F2" w14:textId="77777777" w:rsidR="00BD575F" w:rsidRPr="00964DDB" w:rsidRDefault="001A2FCE" w:rsidP="00BD575F">
      <w:pPr>
        <w:numPr>
          <w:ilvl w:val="0"/>
          <w:numId w:val="4"/>
        </w:numPr>
        <w:autoSpaceDE w:val="0"/>
        <w:autoSpaceDN w:val="0"/>
        <w:adjustRightInd w:val="0"/>
        <w:spacing w:line="240" w:lineRule="auto"/>
        <w:ind w:left="425" w:hanging="425"/>
        <w:contextualSpacing/>
        <w:rPr>
          <w:rFonts w:eastAsiaTheme="minorHAnsi" w:cstheme="minorBidi"/>
          <w:sz w:val="24"/>
          <w:lang w:val="es-CR"/>
        </w:rPr>
      </w:pPr>
      <w:r w:rsidRPr="00964DDB">
        <w:rPr>
          <w:sz w:val="24"/>
        </w:rPr>
        <w:t xml:space="preserve">Ese requerimiento fue formulado con el propósito de que este Órgano Supervisor cumpla efectivamente con el mandamiento legal de velar mensualmente porque en ningún crédito, que exceda el monto correspondiente a un microcrédito, se cobre una tasa superior a la tasa anual máxima de interés para todo tipo de crédito (artículo 36bis </w:t>
      </w:r>
      <w:r w:rsidR="00BD575F" w:rsidRPr="00964DDB">
        <w:rPr>
          <w:sz w:val="24"/>
        </w:rPr>
        <w:t>de la Ley de Promoción de la Competencia y Defensa Efectiva del Consumidor N°7472).</w:t>
      </w:r>
    </w:p>
    <w:p w14:paraId="2EDAE463" w14:textId="77777777" w:rsidR="00BD575F" w:rsidRPr="00964DDB" w:rsidRDefault="00BD575F" w:rsidP="00BD575F">
      <w:pPr>
        <w:pStyle w:val="Prrafodelista"/>
        <w:rPr>
          <w:sz w:val="24"/>
        </w:rPr>
      </w:pPr>
    </w:p>
    <w:p w14:paraId="44F4B2A5" w14:textId="5F3FF3BD" w:rsidR="00BD575F" w:rsidRPr="00964DDB" w:rsidRDefault="00BD575F" w:rsidP="00BD575F">
      <w:pPr>
        <w:numPr>
          <w:ilvl w:val="0"/>
          <w:numId w:val="4"/>
        </w:numPr>
        <w:autoSpaceDE w:val="0"/>
        <w:autoSpaceDN w:val="0"/>
        <w:adjustRightInd w:val="0"/>
        <w:spacing w:line="240" w:lineRule="auto"/>
        <w:ind w:left="425" w:hanging="425"/>
        <w:contextualSpacing/>
        <w:rPr>
          <w:rFonts w:eastAsiaTheme="minorHAnsi" w:cstheme="minorBidi"/>
          <w:sz w:val="24"/>
          <w:lang w:val="es-CR"/>
        </w:rPr>
      </w:pPr>
      <w:r w:rsidRPr="00964DDB">
        <w:rPr>
          <w:sz w:val="24"/>
        </w:rPr>
        <w:t xml:space="preserve">Las entidades supervisadas han manifestado </w:t>
      </w:r>
      <w:r w:rsidR="008D0A93" w:rsidRPr="00964DDB">
        <w:rPr>
          <w:sz w:val="24"/>
        </w:rPr>
        <w:t>su imposibilidad técnica para cumplir con dicho requerimiento</w:t>
      </w:r>
      <w:r w:rsidRPr="00964DDB">
        <w:rPr>
          <w:sz w:val="24"/>
        </w:rPr>
        <w:t xml:space="preserve"> en el plazo solicitado, por lo que han solicitado una ampliación acorde con lo que indica con el plazo máximo que establece el transitorio III de la reforma efectuada al Reglamento </w:t>
      </w:r>
      <w:r w:rsidR="00964DDB" w:rsidRPr="00964DDB">
        <w:rPr>
          <w:sz w:val="24"/>
        </w:rPr>
        <w:t>aludido</w:t>
      </w:r>
      <w:r w:rsidRPr="00964DDB">
        <w:rPr>
          <w:sz w:val="24"/>
        </w:rPr>
        <w:t xml:space="preserve"> mediante el Decreto </w:t>
      </w:r>
      <w:r w:rsidRPr="00964DDB">
        <w:rPr>
          <w:sz w:val="24"/>
        </w:rPr>
        <w:lastRenderedPageBreak/>
        <w:t xml:space="preserve">Ejecutivo N°43270-MEIC aludido, para incluir el dato de la TITA en los estados de cuenta de los diversos productos de crédito de sus clientes. </w:t>
      </w:r>
    </w:p>
    <w:p w14:paraId="4767BECA" w14:textId="77777777" w:rsidR="00BD575F" w:rsidRPr="00964DDB" w:rsidRDefault="00BD575F" w:rsidP="00BD575F">
      <w:pPr>
        <w:pStyle w:val="Prrafodelista"/>
        <w:rPr>
          <w:rFonts w:eastAsiaTheme="minorHAnsi" w:cstheme="minorBidi"/>
          <w:sz w:val="24"/>
          <w:lang w:val="es-CR"/>
        </w:rPr>
      </w:pPr>
    </w:p>
    <w:p w14:paraId="444287FD" w14:textId="093F33E5" w:rsidR="00BD575F" w:rsidRPr="00964DDB" w:rsidRDefault="00964DDB" w:rsidP="00BD575F">
      <w:pPr>
        <w:numPr>
          <w:ilvl w:val="0"/>
          <w:numId w:val="4"/>
        </w:numPr>
        <w:autoSpaceDE w:val="0"/>
        <w:autoSpaceDN w:val="0"/>
        <w:adjustRightInd w:val="0"/>
        <w:spacing w:line="240" w:lineRule="auto"/>
        <w:ind w:left="425" w:hanging="425"/>
        <w:contextualSpacing/>
        <w:rPr>
          <w:sz w:val="24"/>
        </w:rPr>
      </w:pPr>
      <w:r w:rsidRPr="00964DDB">
        <w:rPr>
          <w:sz w:val="24"/>
        </w:rPr>
        <w:t>Este Organismo de Supervisión carece de facultades para autorizar una ampliación de ese tipo porque existe una Ley y una reglamentación vigente que le obliga requerir el cálculo de la TITA para cumplir con el deber supracitado.</w:t>
      </w:r>
    </w:p>
    <w:p w14:paraId="6F71E145" w14:textId="77777777" w:rsidR="00964DDB" w:rsidRPr="00964DDB" w:rsidRDefault="00964DDB" w:rsidP="00964DDB">
      <w:pPr>
        <w:pStyle w:val="Prrafodelista"/>
        <w:rPr>
          <w:rFonts w:eastAsiaTheme="minorHAnsi" w:cstheme="minorBidi"/>
          <w:sz w:val="24"/>
          <w:lang w:val="es-CR"/>
        </w:rPr>
      </w:pPr>
    </w:p>
    <w:p w14:paraId="58B694A8" w14:textId="1E85DE78" w:rsidR="00964DDB" w:rsidRPr="00964DDB" w:rsidRDefault="00964DDB" w:rsidP="00BD575F">
      <w:pPr>
        <w:numPr>
          <w:ilvl w:val="0"/>
          <w:numId w:val="4"/>
        </w:numPr>
        <w:autoSpaceDE w:val="0"/>
        <w:autoSpaceDN w:val="0"/>
        <w:adjustRightInd w:val="0"/>
        <w:spacing w:line="240" w:lineRule="auto"/>
        <w:ind w:left="425" w:hanging="425"/>
        <w:contextualSpacing/>
        <w:rPr>
          <w:sz w:val="24"/>
        </w:rPr>
      </w:pPr>
      <w:r w:rsidRPr="00964DDB">
        <w:rPr>
          <w:sz w:val="24"/>
        </w:rPr>
        <w:t>Para mejor resolver, esta Superintendencia efectuó una consulta al Ministerio de Economía, Industria y Comercio (MEIC) sobre si el transitorio dicho implica que el Reglamento, en torno al cómputo de la TITA, aplicaría efectivamente después del plazo máximo estipulado en esa norma temporal.</w:t>
      </w:r>
    </w:p>
    <w:p w14:paraId="7C943C5E" w14:textId="77777777" w:rsidR="008D0A93" w:rsidRPr="00964DDB" w:rsidRDefault="008D0A93" w:rsidP="008D0A93">
      <w:pPr>
        <w:autoSpaceDE w:val="0"/>
        <w:autoSpaceDN w:val="0"/>
        <w:adjustRightInd w:val="0"/>
        <w:spacing w:line="240" w:lineRule="auto"/>
        <w:rPr>
          <w:sz w:val="24"/>
          <w:lang w:val="es-CR"/>
        </w:rPr>
      </w:pPr>
    </w:p>
    <w:p w14:paraId="5DDCD28A" w14:textId="77777777" w:rsidR="008D0A93" w:rsidRPr="00964DDB" w:rsidRDefault="008D0A93" w:rsidP="008D0A93">
      <w:pPr>
        <w:rPr>
          <w:rFonts w:eastAsiaTheme="minorHAnsi"/>
          <w:sz w:val="24"/>
        </w:rPr>
      </w:pPr>
      <w:r w:rsidRPr="00964DDB">
        <w:rPr>
          <w:sz w:val="24"/>
        </w:rPr>
        <w:t>Dispone:</w:t>
      </w:r>
    </w:p>
    <w:p w14:paraId="7B85E3A7" w14:textId="77777777" w:rsidR="008D0A93" w:rsidRPr="00964DDB" w:rsidRDefault="008D0A93" w:rsidP="008D0A93">
      <w:pPr>
        <w:rPr>
          <w:rFonts w:ascii="Calibri" w:hAnsi="Calibri"/>
          <w:sz w:val="24"/>
        </w:rPr>
      </w:pPr>
    </w:p>
    <w:p w14:paraId="202A6EAE" w14:textId="1550B680" w:rsidR="004F2071" w:rsidRDefault="00964DDB" w:rsidP="004F2071">
      <w:pPr>
        <w:numPr>
          <w:ilvl w:val="0"/>
          <w:numId w:val="8"/>
        </w:numPr>
        <w:autoSpaceDE w:val="0"/>
        <w:autoSpaceDN w:val="0"/>
        <w:adjustRightInd w:val="0"/>
        <w:spacing w:line="240" w:lineRule="auto"/>
        <w:contextualSpacing/>
        <w:rPr>
          <w:sz w:val="24"/>
        </w:rPr>
      </w:pPr>
      <w:r w:rsidRPr="004F2071">
        <w:rPr>
          <w:sz w:val="24"/>
        </w:rPr>
        <w:t xml:space="preserve">Mientras tanto se recibe la respuesta del MEIC, el campo </w:t>
      </w:r>
      <w:r w:rsidRPr="004F2071">
        <w:rPr>
          <w:i/>
          <w:iCs/>
          <w:sz w:val="24"/>
        </w:rPr>
        <w:t>TasaLey7472</w:t>
      </w:r>
      <w:r w:rsidRPr="004F2071">
        <w:rPr>
          <w:sz w:val="24"/>
        </w:rPr>
        <w:t xml:space="preserve"> no se eliminará de la estructura del XML crediticio, pero no será exigible que se llene</w:t>
      </w:r>
      <w:r w:rsidR="004F2071">
        <w:rPr>
          <w:sz w:val="24"/>
        </w:rPr>
        <w:t xml:space="preserve"> para la información al cierre de febrero de 2023</w:t>
      </w:r>
      <w:r w:rsidRPr="004F2071">
        <w:rPr>
          <w:sz w:val="24"/>
        </w:rPr>
        <w:t>.</w:t>
      </w:r>
    </w:p>
    <w:p w14:paraId="648B6B0B" w14:textId="77777777" w:rsidR="004F2071" w:rsidRDefault="004F2071" w:rsidP="004F2071">
      <w:pPr>
        <w:autoSpaceDE w:val="0"/>
        <w:autoSpaceDN w:val="0"/>
        <w:adjustRightInd w:val="0"/>
        <w:spacing w:line="240" w:lineRule="auto"/>
        <w:ind w:left="360"/>
        <w:contextualSpacing/>
        <w:rPr>
          <w:sz w:val="24"/>
        </w:rPr>
      </w:pPr>
    </w:p>
    <w:p w14:paraId="338E82DA" w14:textId="1CA31EF7" w:rsidR="008D0A93" w:rsidRPr="004F2071" w:rsidRDefault="008D0A93" w:rsidP="004F2071">
      <w:pPr>
        <w:numPr>
          <w:ilvl w:val="0"/>
          <w:numId w:val="8"/>
        </w:numPr>
        <w:autoSpaceDE w:val="0"/>
        <w:autoSpaceDN w:val="0"/>
        <w:adjustRightInd w:val="0"/>
        <w:spacing w:line="240" w:lineRule="auto"/>
        <w:contextualSpacing/>
        <w:rPr>
          <w:sz w:val="24"/>
        </w:rPr>
      </w:pPr>
      <w:r w:rsidRPr="004F2071">
        <w:rPr>
          <w:rFonts w:eastAsiaTheme="minorHAnsi" w:cstheme="minorBidi"/>
          <w:color w:val="000000" w:themeColor="text1"/>
          <w:sz w:val="24"/>
          <w:lang w:val="es-CR"/>
        </w:rPr>
        <w:t>Las consultas técnicas</w:t>
      </w:r>
      <w:r w:rsidR="004F2071">
        <w:rPr>
          <w:rFonts w:eastAsiaTheme="minorHAnsi" w:cstheme="minorBidi"/>
          <w:color w:val="000000" w:themeColor="text1"/>
          <w:sz w:val="24"/>
          <w:lang w:val="es-CR"/>
        </w:rPr>
        <w:t xml:space="preserve"> asociadas con dicho campo</w:t>
      </w:r>
      <w:r w:rsidRPr="004F2071">
        <w:rPr>
          <w:rFonts w:eastAsiaTheme="minorHAnsi" w:cstheme="minorBidi"/>
          <w:color w:val="000000" w:themeColor="text1"/>
          <w:sz w:val="24"/>
          <w:lang w:val="es-CR"/>
        </w:rPr>
        <w:t xml:space="preserve"> deben realizarse únicamente a la dirección</w:t>
      </w:r>
      <w:r w:rsidR="004F2071">
        <w:rPr>
          <w:rFonts w:eastAsiaTheme="minorHAnsi" w:cstheme="minorBidi"/>
          <w:color w:val="000000" w:themeColor="text1"/>
          <w:sz w:val="24"/>
          <w:lang w:val="es-CR"/>
        </w:rPr>
        <w:t xml:space="preserve"> electrónica</w:t>
      </w:r>
      <w:r w:rsidRPr="004F2071">
        <w:rPr>
          <w:rFonts w:eastAsiaTheme="minorHAnsi" w:cstheme="minorBidi"/>
          <w:color w:val="000000" w:themeColor="text1"/>
          <w:sz w:val="24"/>
          <w:lang w:val="es-CR"/>
        </w:rPr>
        <w:t xml:space="preserve">: </w:t>
      </w:r>
      <w:hyperlink r:id="rId13" w:history="1">
        <w:r w:rsidRPr="004F2071">
          <w:rPr>
            <w:rFonts w:eastAsiaTheme="minorHAnsi" w:cstheme="minorBidi"/>
            <w:b/>
            <w:bCs/>
            <w:color w:val="0070C0"/>
            <w:sz w:val="24"/>
            <w:lang w:val="es-CR"/>
          </w:rPr>
          <w:t>consultassicvecacredito@sugef.fi.cr</w:t>
        </w:r>
      </w:hyperlink>
    </w:p>
    <w:p w14:paraId="0D116AA6" w14:textId="77777777" w:rsidR="00964DDB" w:rsidRDefault="00964DDB" w:rsidP="00181ABF">
      <w:pPr>
        <w:pStyle w:val="Texto"/>
        <w:spacing w:before="0" w:after="0" w:line="240" w:lineRule="auto"/>
        <w:rPr>
          <w:sz w:val="24"/>
        </w:rPr>
      </w:pPr>
    </w:p>
    <w:p w14:paraId="42ECE4A9" w14:textId="284087A4" w:rsidR="00964DDB" w:rsidRDefault="00964DDB" w:rsidP="00181ABF">
      <w:pPr>
        <w:pStyle w:val="Texto"/>
        <w:spacing w:before="0" w:after="0" w:line="240" w:lineRule="auto"/>
        <w:rPr>
          <w:sz w:val="24"/>
        </w:rPr>
      </w:pPr>
    </w:p>
    <w:p w14:paraId="05434816" w14:textId="4EA064EF" w:rsidR="00181ABF" w:rsidRPr="002E2B0A" w:rsidRDefault="004F2071" w:rsidP="00181ABF">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5644C754" wp14:editId="0DA909A3">
            <wp:simplePos x="0" y="0"/>
            <wp:positionH relativeFrom="column">
              <wp:posOffset>-163830</wp:posOffset>
            </wp:positionH>
            <wp:positionV relativeFrom="paragraph">
              <wp:posOffset>172085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2E2B0A">
        <w:rPr>
          <w:sz w:val="24"/>
        </w:rPr>
        <w:t>Atentamente,</w:t>
      </w:r>
    </w:p>
    <w:p w14:paraId="0131174A" w14:textId="2E085AE2" w:rsidR="00181ABF" w:rsidRDefault="00181ABF" w:rsidP="00181ABF">
      <w:pPr>
        <w:spacing w:line="240" w:lineRule="auto"/>
        <w:rPr>
          <w:sz w:val="24"/>
        </w:rPr>
      </w:pPr>
    </w:p>
    <w:p w14:paraId="53571433" w14:textId="60EAA51F" w:rsidR="00181ABF" w:rsidRPr="002E2B0A" w:rsidRDefault="00181ABF" w:rsidP="00181ABF">
      <w:pPr>
        <w:spacing w:line="240" w:lineRule="auto"/>
        <w:rPr>
          <w:sz w:val="24"/>
        </w:rPr>
      </w:pPr>
    </w:p>
    <w:p w14:paraId="4EAEC9B6" w14:textId="581B3C45" w:rsidR="00181ABF" w:rsidRPr="00111293" w:rsidRDefault="00181ABF" w:rsidP="00181ABF">
      <w:pPr>
        <w:spacing w:after="160" w:line="259" w:lineRule="auto"/>
        <w:jc w:val="left"/>
        <w:rPr>
          <w:sz w:val="24"/>
        </w:rPr>
      </w:pPr>
      <w:bookmarkStart w:id="1" w:name="_Hlk53758837"/>
      <w:r w:rsidRPr="00111293">
        <w:rPr>
          <w:sz w:val="24"/>
        </w:rPr>
        <w:t>Rocío Aguilar Montoya</w:t>
      </w:r>
      <w:r w:rsidRPr="00111293">
        <w:rPr>
          <w:sz w:val="24"/>
        </w:rPr>
        <w:br/>
      </w:r>
      <w:r w:rsidRPr="00111293">
        <w:rPr>
          <w:b/>
          <w:bCs/>
          <w:sz w:val="24"/>
        </w:rPr>
        <w:t>Superintendente General</w:t>
      </w:r>
    </w:p>
    <w:bookmarkEnd w:id="1"/>
    <w:p w14:paraId="227D209D" w14:textId="18EB7C83" w:rsidR="00181ABF" w:rsidRDefault="00181ABF" w:rsidP="00181ABF">
      <w:pPr>
        <w:pStyle w:val="Negrita"/>
        <w:spacing w:line="240" w:lineRule="auto"/>
        <w:jc w:val="left"/>
        <w:rPr>
          <w:b w:val="0"/>
          <w:sz w:val="24"/>
        </w:rPr>
      </w:pPr>
    </w:p>
    <w:p w14:paraId="70D50CDA" w14:textId="560965C3" w:rsidR="00181ABF" w:rsidRDefault="00181ABF" w:rsidP="00181ABF">
      <w:pPr>
        <w:pStyle w:val="Negrita"/>
        <w:spacing w:line="240" w:lineRule="auto"/>
      </w:pPr>
    </w:p>
    <w:p w14:paraId="385AFA70" w14:textId="1A43677B" w:rsidR="00181ABF" w:rsidRPr="004F2071" w:rsidRDefault="004F2071" w:rsidP="00181ABF">
      <w:pPr>
        <w:pStyle w:val="Negrita"/>
        <w:spacing w:line="240" w:lineRule="auto"/>
        <w:rPr>
          <w:b w:val="0"/>
          <w:bCs/>
          <w:sz w:val="18"/>
          <w:szCs w:val="18"/>
        </w:rPr>
      </w:pPr>
      <w:r w:rsidRPr="004F2071">
        <w:rPr>
          <w:b w:val="0"/>
          <w:bCs/>
          <w:sz w:val="18"/>
          <w:szCs w:val="18"/>
        </w:rPr>
        <w:t>MHA/PSD/pjp</w:t>
      </w:r>
    </w:p>
    <w:p w14:paraId="15465C41" w14:textId="77777777" w:rsidR="00181ABF" w:rsidRDefault="00181ABF" w:rsidP="00181ABF">
      <w:pPr>
        <w:pStyle w:val="Negrita"/>
        <w:spacing w:line="240" w:lineRule="auto"/>
      </w:pPr>
    </w:p>
    <w:p w14:paraId="474DDA9E" w14:textId="77777777" w:rsidR="00D2422E" w:rsidRDefault="00D2422E" w:rsidP="00181ABF">
      <w:pPr>
        <w:pStyle w:val="Negrita"/>
        <w:spacing w:line="240" w:lineRule="auto"/>
      </w:pPr>
    </w:p>
    <w:p w14:paraId="10C8B14C" w14:textId="77777777" w:rsidR="00D2422E" w:rsidRDefault="00D2422E" w:rsidP="00181ABF">
      <w:pPr>
        <w:pStyle w:val="Negrita"/>
        <w:spacing w:line="240" w:lineRule="auto"/>
      </w:pPr>
    </w:p>
    <w:p w14:paraId="7E467889" w14:textId="77777777" w:rsidR="00181ABF" w:rsidRDefault="00181ABF" w:rsidP="00181ABF">
      <w:pPr>
        <w:pStyle w:val="Negrita"/>
        <w:spacing w:line="240" w:lineRule="auto"/>
      </w:pPr>
    </w:p>
    <w:sectPr w:rsidR="00181ABF">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BE48" w14:textId="77777777" w:rsidR="000C45A4" w:rsidRDefault="000C45A4" w:rsidP="00181ABF">
      <w:pPr>
        <w:spacing w:line="240" w:lineRule="auto"/>
      </w:pPr>
      <w:r>
        <w:separator/>
      </w:r>
    </w:p>
  </w:endnote>
  <w:endnote w:type="continuationSeparator" w:id="0">
    <w:p w14:paraId="32A3164A" w14:textId="77777777" w:rsidR="000C45A4" w:rsidRDefault="000C45A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1ABA" w14:textId="77777777" w:rsidR="00A7729F" w:rsidRDefault="00A772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55287640" w14:textId="77777777" w:rsidTr="00123A91">
      <w:tc>
        <w:tcPr>
          <w:tcW w:w="2942" w:type="dxa"/>
        </w:tcPr>
        <w:p w14:paraId="5149BD05" w14:textId="77777777" w:rsidR="00181ABF" w:rsidRDefault="00320936"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1E71621E" wp14:editId="7ECDD0F1">
                    <wp:simplePos x="0" y="0"/>
                    <wp:positionH relativeFrom="page">
                      <wp:posOffset>0</wp:posOffset>
                    </wp:positionH>
                    <wp:positionV relativeFrom="page">
                      <wp:posOffset>9594215</wp:posOffset>
                    </wp:positionV>
                    <wp:extent cx="7772400" cy="273050"/>
                    <wp:effectExtent l="0" t="0" r="0" b="12700"/>
                    <wp:wrapNone/>
                    <wp:docPr id="2" name="MSIPCM24d74406a832f3580e6b2f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5A8A9" w14:textId="77777777" w:rsidR="00320936" w:rsidRPr="00320936" w:rsidRDefault="00320936" w:rsidP="00320936">
                                <w:pPr>
                                  <w:jc w:val="center"/>
                                  <w:rPr>
                                    <w:rFonts w:ascii="Calibri" w:hAnsi="Calibri" w:cs="Calibri"/>
                                    <w:color w:val="000000"/>
                                    <w:sz w:val="20"/>
                                  </w:rPr>
                                </w:pPr>
                                <w:r w:rsidRPr="0032093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E71621E">
                    <v:stroke joinstyle="miter"/>
                    <v:path gradientshapeok="t" o:connecttype="rect"/>
                  </v:shapetype>
                  <v:shape id="MSIPCM24d74406a832f3580e6b2f65"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320936" w:rsidR="00320936" w:rsidP="00320936" w:rsidRDefault="00320936" w14:paraId="38D5A8A9" w14:textId="77777777">
                          <w:pPr>
                            <w:jc w:val="center"/>
                            <w:rPr>
                              <w:rFonts w:ascii="Calibri" w:hAnsi="Calibri" w:cs="Calibri"/>
                              <w:color w:val="000000"/>
                              <w:sz w:val="20"/>
                            </w:rPr>
                          </w:pPr>
                          <w:r w:rsidRPr="00320936">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14E5407C"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39E79C74" w14:textId="77777777" w:rsidR="00181ABF" w:rsidRPr="009349F3" w:rsidRDefault="00181ABF" w:rsidP="00181ABF">
          <w:pPr>
            <w:pStyle w:val="Piedepgina"/>
            <w:rPr>
              <w:b/>
              <w:color w:val="7F7F7F" w:themeColor="text1" w:themeTint="80"/>
              <w:sz w:val="16"/>
              <w:szCs w:val="16"/>
            </w:rPr>
          </w:pPr>
        </w:p>
      </w:tc>
      <w:tc>
        <w:tcPr>
          <w:tcW w:w="2943" w:type="dxa"/>
        </w:tcPr>
        <w:p w14:paraId="0569EBF4"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B8DB300"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1618EC28"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0C4D462D"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DC51" w14:textId="77777777" w:rsidR="00A7729F" w:rsidRDefault="00A77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D8ED" w14:textId="77777777" w:rsidR="000C45A4" w:rsidRDefault="000C45A4" w:rsidP="00181ABF">
      <w:pPr>
        <w:spacing w:line="240" w:lineRule="auto"/>
      </w:pPr>
      <w:r>
        <w:separator/>
      </w:r>
    </w:p>
  </w:footnote>
  <w:footnote w:type="continuationSeparator" w:id="0">
    <w:p w14:paraId="5A57AF7E" w14:textId="77777777" w:rsidR="000C45A4" w:rsidRDefault="000C45A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0CAF" w14:textId="77777777" w:rsidR="00A7729F" w:rsidRDefault="00A772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1F6C" w14:textId="77777777" w:rsidR="00181ABF" w:rsidRDefault="00181ABF">
    <w:pPr>
      <w:pStyle w:val="Encabezado"/>
    </w:pPr>
  </w:p>
  <w:p w14:paraId="02C46DA5" w14:textId="77777777" w:rsidR="00181ABF" w:rsidRDefault="00181ABF" w:rsidP="00181ABF">
    <w:pPr>
      <w:pStyle w:val="Encabezado"/>
      <w:jc w:val="center"/>
    </w:pPr>
    <w:r>
      <w:rPr>
        <w:noProof/>
        <w:lang w:val="es-CR" w:eastAsia="es-CR"/>
      </w:rPr>
      <w:drawing>
        <wp:inline distT="0" distB="0" distL="0" distR="0" wp14:anchorId="0DE66199" wp14:editId="5A3AD7B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5AF" w14:textId="77777777" w:rsidR="00A7729F" w:rsidRDefault="00A77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2352971"/>
    <w:multiLevelType w:val="hybridMultilevel"/>
    <w:tmpl w:val="0E0E991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F7D0FED"/>
    <w:multiLevelType w:val="hybridMultilevel"/>
    <w:tmpl w:val="96361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65AA6B47"/>
    <w:multiLevelType w:val="hybridMultilevel"/>
    <w:tmpl w:val="36C22286"/>
    <w:lvl w:ilvl="0" w:tplc="BB74CA66">
      <w:start w:val="1"/>
      <w:numFmt w:val="decimal"/>
      <w:lvlText w:val="%1."/>
      <w:lvlJc w:val="left"/>
      <w:pPr>
        <w:ind w:left="785" w:hanging="360"/>
      </w:pPr>
      <w:rPr>
        <w:rFonts w:hint="default"/>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6" w15:restartNumberingAfterBreak="0">
    <w:nsid w:val="71343481"/>
    <w:multiLevelType w:val="hybridMultilevel"/>
    <w:tmpl w:val="8BC6CB3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356"/>
    <w:rsid w:val="000C45A4"/>
    <w:rsid w:val="00181ABF"/>
    <w:rsid w:val="001A2FCE"/>
    <w:rsid w:val="003172BE"/>
    <w:rsid w:val="00320936"/>
    <w:rsid w:val="0036189A"/>
    <w:rsid w:val="0042556A"/>
    <w:rsid w:val="004F2071"/>
    <w:rsid w:val="00543DBB"/>
    <w:rsid w:val="00561420"/>
    <w:rsid w:val="00814104"/>
    <w:rsid w:val="008D0A93"/>
    <w:rsid w:val="00937EF0"/>
    <w:rsid w:val="00964DDB"/>
    <w:rsid w:val="00A7729F"/>
    <w:rsid w:val="00BD575F"/>
    <w:rsid w:val="00BF67C2"/>
    <w:rsid w:val="00CF2E13"/>
    <w:rsid w:val="00D2422E"/>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AB1D"/>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uiPriority w:val="34"/>
    <w:qFormat/>
    <w:rsid w:val="008D0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7626">
      <w:bodyDiv w:val="1"/>
      <w:marLeft w:val="0"/>
      <w:marRight w:val="0"/>
      <w:marTop w:val="0"/>
      <w:marBottom w:val="0"/>
      <w:divBdr>
        <w:top w:val="none" w:sz="0" w:space="0" w:color="auto"/>
        <w:left w:val="none" w:sz="0" w:space="0" w:color="auto"/>
        <w:bottom w:val="none" w:sz="0" w:space="0" w:color="auto"/>
        <w:right w:val="none" w:sz="0" w:space="0" w:color="auto"/>
      </w:divBdr>
    </w:div>
    <w:div w:id="863053076">
      <w:bodyDiv w:val="1"/>
      <w:marLeft w:val="0"/>
      <w:marRight w:val="0"/>
      <w:marTop w:val="0"/>
      <w:marBottom w:val="0"/>
      <w:divBdr>
        <w:top w:val="none" w:sz="0" w:space="0" w:color="auto"/>
        <w:left w:val="none" w:sz="0" w:space="0" w:color="auto"/>
        <w:bottom w:val="none" w:sz="0" w:space="0" w:color="auto"/>
        <w:right w:val="none" w:sz="0" w:space="0" w:color="auto"/>
      </w:divBdr>
    </w:div>
    <w:div w:id="12580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4F1373"/>
    <w:rsid w:val="00981874"/>
    <w:rsid w:val="009F7D41"/>
    <w:rsid w:val="00A67E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+IoJos8OdyYDLdoKleMbWxFegycaZlgdIRoNRaPH4QY=</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D2DAuf/CWxHjKOfz9KwbMC8cRIjG4BdTD//VWUVo9jI=</DigestValue>
    </Reference>
  </SignedInfo>
  <SignatureValue>hz4UpDa/eivWkkBMRXGAgOESRzlUdtaH+ycC+eYfCtOPEZNORLVnYzM0QLws8wFZana8PWPrgDUC
CXewlFF6H1t6aTP+inmGVAP+fOfc+3Mua4xbRUcuGOTORFckNCU08oBLixXmYsuxk0Q28f/p1KO7
ZGp5eayRQ5Q7t5YSHv2JVHlp2IEQ05HvOX19UiOy0+/GrzhscjchAx8EgD68HU3NHkPMZdo5AjJF
ScIWM8/xGTk75b6Jg2y6NHgCzMq1LaK4zuIET8NTCpYqKAAKjfRpqYi7M3m3w5A5DeT3x7oi4ZHI
F2PKUWYTW3jLzFTI9xoyu9vgLVjIjtJewHNK6A==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nm0tVxD931Qg8WXmskNGu9+qYkPjSvMiSr3uXJ1hX7E=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a+ppX5dl910cgIBLySCOgf2UdknU8L/EpheM0KvmCEE=</DigestValue>
      </Reference>
      <Reference URI="/word/endnotes.xml?ContentType=application/vnd.openxmlformats-officedocument.wordprocessingml.endnotes+xml">
        <DigestMethod Algorithm="http://www.w3.org/2001/04/xmlenc#sha256"/>
        <DigestValue>I7XuUyhoweswzZ4isrRVF5qmJxahgvD2u6FlT18utGY=</DigestValue>
      </Reference>
      <Reference URI="/word/fontTable.xml?ContentType=application/vnd.openxmlformats-officedocument.wordprocessingml.fontTable+xml">
        <DigestMethod Algorithm="http://www.w3.org/2001/04/xmlenc#sha256"/>
        <DigestValue>Z/yUN6+UhSqaWMrV5GmfVr7TnjdhYvs//cYfV0NgYgo=</DigestValue>
      </Reference>
      <Reference URI="/word/footer1.xml?ContentType=application/vnd.openxmlformats-officedocument.wordprocessingml.footer+xml">
        <DigestMethod Algorithm="http://www.w3.org/2001/04/xmlenc#sha256"/>
        <DigestValue>6uz+MxPUBzx0gXQ9F5Kb01sFYZj335uTv1e4Cq9et8w=</DigestValue>
      </Reference>
      <Reference URI="/word/footer2.xml?ContentType=application/vnd.openxmlformats-officedocument.wordprocessingml.footer+xml">
        <DigestMethod Algorithm="http://www.w3.org/2001/04/xmlenc#sha256"/>
        <DigestValue>lnaZAcXw/t0LQvFhyijEUWCZmoJva0PLE3eL8/lVBNA=</DigestValue>
      </Reference>
      <Reference URI="/word/footer3.xml?ContentType=application/vnd.openxmlformats-officedocument.wordprocessingml.footer+xml">
        <DigestMethod Algorithm="http://www.w3.org/2001/04/xmlenc#sha256"/>
        <DigestValue>M8oS6PxmiU7aURkWKHZw2TZtUADs6TQWKnSUvPyHg1I=</DigestValue>
      </Reference>
      <Reference URI="/word/footnotes.xml?ContentType=application/vnd.openxmlformats-officedocument.wordprocessingml.footnotes+xml">
        <DigestMethod Algorithm="http://www.w3.org/2001/04/xmlenc#sha256"/>
        <DigestValue>zhiQDAcXOIlLc32pMhY40MdwXilSPK0AVAASBXC8saM=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Z/yUN6+UhSqaWMrV5GmfVr7TnjdhYvs//cYfV0NgYgo=</DigestValue>
      </Reference>
      <Reference URI="/word/glossary/settings.xml?ContentType=application/vnd.openxmlformats-officedocument.wordprocessingml.settings+xml">
        <DigestMethod Algorithm="http://www.w3.org/2001/04/xmlenc#sha256"/>
        <DigestValue>5/6AU6p04d5HupgB/qoDqfvoXsQMLqAKWYewNf+EQP0=</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cmfyq1EQGWXvagUbVY6hjyagDf2TgknNFep9lDU0c50=</DigestValue>
      </Reference>
      <Reference URI="/word/header2.xml?ContentType=application/vnd.openxmlformats-officedocument.wordprocessingml.header+xml">
        <DigestMethod Algorithm="http://www.w3.org/2001/04/xmlenc#sha256"/>
        <DigestValue>FmN+X5d1WIvt3TfJhWG0orJRiK71+bUy8FX9/guGooI=</DigestValue>
      </Reference>
      <Reference URI="/word/header3.xml?ContentType=application/vnd.openxmlformats-officedocument.wordprocessingml.header+xml">
        <DigestMethod Algorithm="http://www.w3.org/2001/04/xmlenc#sha256"/>
        <DigestValue>1BnH7/UiiSBFKfGQnBN4VnVwYjX3ITlSzCHM8Vj7oN4=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4MgdeaB7mXHR0RFjKzGzA0bd8G8KZqMLQvWRunaMOZU=</DigestValue>
      </Reference>
      <Reference URI="/word/settings.xml?ContentType=application/vnd.openxmlformats-officedocument.wordprocessingml.settings+xml">
        <DigestMethod Algorithm="http://www.w3.org/2001/04/xmlenc#sha256"/>
        <DigestValue>7Q4ixIk3tgUEGhf9ZNfkMI/PDnbTL4dl53Wl/xbGb54=</DigestValue>
      </Reference>
      <Reference URI="/word/styles.xml?ContentType=application/vnd.openxmlformats-officedocument.wordprocessingml.styles+xml">
        <DigestMethod Algorithm="http://www.w3.org/2001/04/xmlenc#sha256"/>
        <DigestValue>LXOvoU3xXii6Tx8LOge3/m0Hj6Y6iYQhW/gm5HNQVuo=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VO/fSbtWKSZukSkmYxFmCbp2txG42S3rGdVa5xa0Cs8=</DigestValue>
      </Reference>
    </Manifest>
    <SignatureProperties>
      <SignatureProperty Id="idSignatureTime" Target="#idPackageSignature">
        <mdssi:SignatureTime xmlns:mdssi="http://schemas.openxmlformats.org/package/2006/digital-signature">
          <mdssi:Format>YYYY-MM-DDThh:mm:ssTZD</mdssi:Format>
          <mdssi:Value>2023-03-10T21:59:33Z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2023-03-10T21:59:33Z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eWXZRcyRcEc/pMGjBJqRWZTeE5r89neJxri059ZLHoCBBMn5V4YDzIwMjMwMzEwMjE1O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mZeZU932r525Xst8hqPcFW4DRwU=</xd:ByKey>
                  </xd:ResponderID>
                  <xd:ProducedAt>2023-03-10T21:54:39Z</xd:ProducedAt>
                </xd:OCSPIdentifier>
                <xd:DigestAlgAndValue>
                  <DigestMethod Algorithm="http://www.w3.org/2001/04/xmlenc#sha256"/>
                  <DigestValue>gCCcozEe4xgn5Kz3vfUrMK6l9/fo0QPFl3Kkcz3McFY=</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IJOx+GPNrtc5tyu77ist/ozyhCYtIT9aA3DBe2hUMgCBBMn5V8YDzIwMjMwMzEwMjE1OTM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2023-03-10T06:00:00+00:00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aclarar sobre el llenado del campo TasaLey 7472</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841303CF-A2AD-49F5-B11C-DAF6B00E4A53}">
  <ds:schemaRefs>
    <ds:schemaRef ds:uri="b875e23b-67d9-4b2e-bdec-edacbf90b326"/>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D13F2564-94B9-476A-ABBA-08C5A34F00B8}">
  <ds:schemaRefs>
    <ds:schemaRef ds:uri="Microsoft.SharePoint.Taxonomy.ContentTypeSync"/>
  </ds:schemaRefs>
</ds:datastoreItem>
</file>

<file path=customXml/itemProps3.xml><?xml version="1.0" encoding="utf-8"?>
<ds:datastoreItem xmlns:ds="http://schemas.openxmlformats.org/officeDocument/2006/customXml" ds:itemID="{D4FBDA95-69BC-4259-96DF-DCBBEAE88A8B}">
  <ds:schemaRefs>
    <ds:schemaRef ds:uri="http://schemas.microsoft.com/sharepoint/v3/contenttype/forms"/>
  </ds:schemaRefs>
</ds:datastoreItem>
</file>

<file path=customXml/itemProps4.xml><?xml version="1.0" encoding="utf-8"?>
<ds:datastoreItem xmlns:ds="http://schemas.openxmlformats.org/officeDocument/2006/customXml" ds:itemID="{F6211DFA-5318-4741-B756-ACC968E20822}">
  <ds:schemaRefs>
    <ds:schemaRef ds:uri="http://schemas.microsoft.com/sharepoint/events"/>
  </ds:schemaRefs>
</ds:datastoreItem>
</file>

<file path=customXml/itemProps5.xml><?xml version="1.0" encoding="utf-8"?>
<ds:datastoreItem xmlns:ds="http://schemas.openxmlformats.org/officeDocument/2006/customXml" ds:itemID="{3C4DC7C2-5667-49E7-B88B-48609694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5E152D-AE83-4D3F-887C-D22845C0CCA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cp:lastModifiedBy>
  <cp:revision>6</cp:revision>
  <dcterms:created xsi:type="dcterms:W3CDTF">2023-03-10T16:41:00Z</dcterms:created>
  <dcterms:modified xsi:type="dcterms:W3CDTF">2023-03-10T21:57:00Z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ConfidencialidadNueva">
    <vt:lpwstr>1;#Público|99c2402f-8ec3-4ca8-8024-be52e4e7f629</vt:lpwstr>
  </property>
  <property fmtid="{D5CDD505-2E9C-101B-9397-08002B2CF9AE}" pid="5" name="Disponibilidad">
    <vt:lpwstr>161;#Alta|7fca731c-4c62-4f1c-9061-e9f164c964b2</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2022-12-29T22:05:52Z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1ffe67c9-98b1-49ac-ba87-000005ed7bdc</vt:lpwstr>
  </property>
  <property fmtid="{D5CDD505-2E9C-101B-9397-08002B2CF9AE}" pid="17" name="MSIP_Label_b8b4be34-365a-4a68-b9fb-75c1b6874315_ContentBits">
    <vt:lpwstr>2</vt:lpwstr>
  </property>
  <property fmtid="{D5CDD505-2E9C-101B-9397-08002B2CF9AE}" pid="18" name="Order">
    <vt:r8>253900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f1fd9d7f-da86-405a-9476-87cbb240632e,4;769919c7-9da3-41ff-b395-8ac0bca7c92c,7;</vt:lpwstr>
  </property>
</Properties>
</file>