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0C2" w:rsidR="00153958" w:rsidP="00153958" w:rsidRDefault="00153958" w14:paraId="72C9F8B8" w14:textId="7104B27C">
      <w:pPr>
        <w:pStyle w:val="Texto"/>
        <w:spacing w:before="0" w:after="0" w:line="240" w:lineRule="auto"/>
        <w:jc w:val="center"/>
        <w:rPr>
          <w:b/>
          <w:bCs/>
          <w:szCs w:val="22"/>
        </w:rPr>
      </w:pPr>
      <w:r w:rsidRPr="007820C2">
        <w:rPr>
          <w:b/>
          <w:bCs/>
          <w:szCs w:val="22"/>
        </w:rPr>
        <w:t>Circular externa</w:t>
      </w:r>
    </w:p>
    <w:p w:rsidRPr="007820C2" w:rsidR="00181ABF" w:rsidP="00153958" w:rsidRDefault="00153958" w14:paraId="56F21158" w14:textId="498AF446">
      <w:pPr>
        <w:pStyle w:val="Texto"/>
        <w:spacing w:before="0" w:after="0" w:line="240" w:lineRule="auto"/>
        <w:jc w:val="center"/>
        <w:rPr>
          <w:szCs w:val="22"/>
        </w:rPr>
      </w:pPr>
      <w:r w:rsidRPr="007820C2">
        <w:rPr>
          <w:szCs w:val="22"/>
        </w:rPr>
        <w:t>24</w:t>
      </w:r>
      <w:r w:rsidRPr="007820C2" w:rsidR="00181ABF">
        <w:rPr>
          <w:szCs w:val="22"/>
        </w:rPr>
        <w:t xml:space="preserve"> de </w:t>
      </w:r>
      <w:r w:rsidRPr="007820C2">
        <w:rPr>
          <w:szCs w:val="22"/>
        </w:rPr>
        <w:t>febrero</w:t>
      </w:r>
      <w:r w:rsidRPr="007820C2" w:rsidR="00181ABF">
        <w:rPr>
          <w:szCs w:val="22"/>
        </w:rPr>
        <w:t xml:space="preserve"> de </w:t>
      </w:r>
      <w:r w:rsidRPr="007820C2">
        <w:rPr>
          <w:szCs w:val="22"/>
        </w:rPr>
        <w:t>2023</w:t>
      </w:r>
    </w:p>
    <w:sdt>
      <w:sdtPr>
        <w:rPr>
          <w:szCs w:val="22"/>
        </w:rPr>
        <w:alias w:val="Consecutivo"/>
        <w:tag w:val="Consecutivo"/>
        <w:id w:val="2052717023"/>
        <w:placeholder>
          <w:docPart w:val="92099032F12E4850B1513BB36AF2B25F"/>
        </w:placeholder>
        <w:text/>
      </w:sdtPr>
      <w:sdtEndPr/>
      <w:sdtContent>
        <w:p w:rsidRPr="007820C2" w:rsidR="00181ABF" w:rsidP="00153958" w:rsidRDefault="00181ABF" w14:paraId="1F904EB6" w14:textId="77777777">
          <w:pPr>
            <w:tabs>
              <w:tab w:val="left" w:pos="2843"/>
            </w:tabs>
            <w:spacing w:line="240" w:lineRule="auto"/>
            <w:jc w:val="center"/>
            <w:rPr>
              <w:szCs w:val="22"/>
            </w:rPr>
          </w:pPr>
          <w:r>
            <w:t>SGF-0488-2023</w:t>
          </w:r>
        </w:p>
      </w:sdtContent>
    </w:sdt>
    <w:p w:rsidRPr="007820C2" w:rsidR="00181ABF" w:rsidP="00153958" w:rsidRDefault="00E3519E" w14:paraId="7E286B9D" w14:textId="6159B53E">
      <w:pPr>
        <w:tabs>
          <w:tab w:val="left" w:pos="2843"/>
        </w:tabs>
        <w:spacing w:line="240" w:lineRule="auto"/>
        <w:jc w:val="center"/>
        <w:rPr>
          <w:szCs w:val="22"/>
        </w:rPr>
      </w:pPr>
      <w:sdt>
        <w:sdtPr>
          <w:rPr>
            <w:szCs w:val="22"/>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820C2" w:rsidR="00153958">
            <w:rPr>
              <w:szCs w:val="22"/>
            </w:rPr>
            <w:t>SGF-PUBLICO</w:t>
          </w:r>
        </w:sdtContent>
      </w:sdt>
    </w:p>
    <w:p w:rsidRPr="007820C2" w:rsidR="00181ABF" w:rsidP="00181ABF" w:rsidRDefault="00181ABF" w14:paraId="6FB55B85" w14:textId="77777777">
      <w:pPr>
        <w:tabs>
          <w:tab w:val="left" w:pos="2843"/>
        </w:tabs>
        <w:spacing w:line="240" w:lineRule="auto"/>
        <w:rPr>
          <w:szCs w:val="22"/>
        </w:rPr>
      </w:pPr>
      <w:r w:rsidRPr="007820C2">
        <w:rPr>
          <w:szCs w:val="22"/>
        </w:rPr>
        <w:tab/>
      </w:r>
    </w:p>
    <w:p w:rsidRPr="00153958" w:rsidR="00153958" w:rsidP="00153958" w:rsidRDefault="00153958" w14:paraId="7E3AF5C9" w14:textId="77777777">
      <w:pPr>
        <w:ind w:left="34" w:right="86"/>
        <w:contextualSpacing/>
        <w:rPr>
          <w:b/>
          <w:bCs/>
          <w:szCs w:val="22"/>
        </w:rPr>
      </w:pPr>
      <w:r w:rsidRPr="00153958">
        <w:rPr>
          <w:b/>
          <w:bCs/>
          <w:szCs w:val="22"/>
        </w:rPr>
        <w:t xml:space="preserve">Dirigida a: </w:t>
      </w:r>
    </w:p>
    <w:p w:rsidRPr="00153958" w:rsidR="00153958" w:rsidP="00153958" w:rsidRDefault="00153958" w14:paraId="36F429D0" w14:textId="77777777">
      <w:pPr>
        <w:ind w:left="34" w:right="86"/>
        <w:contextualSpacing/>
        <w:rPr>
          <w:b/>
          <w:bCs/>
          <w:szCs w:val="22"/>
        </w:rPr>
      </w:pPr>
    </w:p>
    <w:p w:rsidRPr="00153958" w:rsidR="00153958" w:rsidP="00153958" w:rsidRDefault="00153958" w14:paraId="4FF4EBE6" w14:textId="1430938C">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w:t>
      </w:r>
      <w:r w:rsidRPr="007820C2">
        <w:rPr>
          <w:b/>
          <w:bCs/>
          <w:szCs w:val="22"/>
          <w:lang w:eastAsia="es-ES"/>
        </w:rPr>
        <w:t>c</w:t>
      </w:r>
      <w:r w:rsidRPr="00153958">
        <w:rPr>
          <w:b/>
          <w:bCs/>
          <w:szCs w:val="22"/>
          <w:lang w:eastAsia="es-ES"/>
        </w:rPr>
        <w:t>omerciales del Estado</w:t>
      </w:r>
    </w:p>
    <w:p w:rsidRPr="00153958" w:rsidR="00153958" w:rsidP="00153958" w:rsidRDefault="00153958" w14:paraId="020AC082" w14:textId="4307751A">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Creados por </w:t>
      </w:r>
      <w:r w:rsidRPr="007820C2">
        <w:rPr>
          <w:b/>
          <w:bCs/>
          <w:szCs w:val="22"/>
          <w:lang w:eastAsia="es-ES"/>
        </w:rPr>
        <w:t>l</w:t>
      </w:r>
      <w:r w:rsidRPr="00153958">
        <w:rPr>
          <w:b/>
          <w:bCs/>
          <w:szCs w:val="22"/>
          <w:lang w:eastAsia="es-ES"/>
        </w:rPr>
        <w:t xml:space="preserve">eyes </w:t>
      </w:r>
      <w:r w:rsidRPr="007820C2">
        <w:rPr>
          <w:b/>
          <w:bCs/>
          <w:szCs w:val="22"/>
          <w:lang w:eastAsia="es-ES"/>
        </w:rPr>
        <w:t>e</w:t>
      </w:r>
      <w:r w:rsidRPr="00153958">
        <w:rPr>
          <w:b/>
          <w:bCs/>
          <w:szCs w:val="22"/>
          <w:lang w:eastAsia="es-ES"/>
        </w:rPr>
        <w:t>speciales</w:t>
      </w:r>
    </w:p>
    <w:p w:rsidRPr="00153958" w:rsidR="00153958" w:rsidP="00153958" w:rsidRDefault="00153958" w14:paraId="7187E88E" w14:textId="57EB9766">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w:t>
      </w:r>
      <w:r w:rsidRPr="007820C2">
        <w:rPr>
          <w:b/>
          <w:bCs/>
          <w:szCs w:val="22"/>
          <w:lang w:eastAsia="es-ES"/>
        </w:rPr>
        <w:t>p</w:t>
      </w:r>
      <w:r w:rsidRPr="00153958">
        <w:rPr>
          <w:b/>
          <w:bCs/>
          <w:szCs w:val="22"/>
          <w:lang w:eastAsia="es-ES"/>
        </w:rPr>
        <w:t>rivados</w:t>
      </w:r>
    </w:p>
    <w:p w:rsidRPr="00153958" w:rsidR="00153958" w:rsidP="00153958" w:rsidRDefault="00153958" w14:paraId="05F18BAC" w14:textId="473C37EE">
      <w:pPr>
        <w:numPr>
          <w:ilvl w:val="0"/>
          <w:numId w:val="3"/>
        </w:numPr>
        <w:spacing w:line="240" w:lineRule="auto"/>
        <w:ind w:left="567" w:right="86" w:hanging="567"/>
        <w:contextualSpacing/>
        <w:rPr>
          <w:b/>
          <w:bCs/>
          <w:szCs w:val="22"/>
          <w:lang w:eastAsia="es-ES"/>
        </w:rPr>
      </w:pPr>
      <w:r w:rsidRPr="00153958">
        <w:rPr>
          <w:b/>
          <w:bCs/>
          <w:szCs w:val="22"/>
          <w:lang w:eastAsia="es-ES"/>
        </w:rPr>
        <w:t xml:space="preserve">Empresas </w:t>
      </w:r>
      <w:r w:rsidRPr="007820C2">
        <w:rPr>
          <w:b/>
          <w:bCs/>
          <w:szCs w:val="22"/>
          <w:lang w:eastAsia="es-ES"/>
        </w:rPr>
        <w:t>f</w:t>
      </w:r>
      <w:r w:rsidRPr="00153958">
        <w:rPr>
          <w:b/>
          <w:bCs/>
          <w:szCs w:val="22"/>
          <w:lang w:eastAsia="es-ES"/>
        </w:rPr>
        <w:t xml:space="preserve">inancieras no </w:t>
      </w:r>
      <w:r w:rsidRPr="007820C2">
        <w:rPr>
          <w:b/>
          <w:bCs/>
          <w:szCs w:val="22"/>
          <w:lang w:eastAsia="es-ES"/>
        </w:rPr>
        <w:t>b</w:t>
      </w:r>
      <w:r w:rsidRPr="00153958">
        <w:rPr>
          <w:b/>
          <w:bCs/>
          <w:szCs w:val="22"/>
          <w:lang w:eastAsia="es-ES"/>
        </w:rPr>
        <w:t>ancarias</w:t>
      </w:r>
    </w:p>
    <w:p w:rsidRPr="00153958" w:rsidR="00153958" w:rsidP="00153958" w:rsidRDefault="00153958" w14:paraId="1E88083F" w14:textId="0C49E0DF">
      <w:pPr>
        <w:numPr>
          <w:ilvl w:val="0"/>
          <w:numId w:val="3"/>
        </w:numPr>
        <w:spacing w:line="240" w:lineRule="auto"/>
        <w:ind w:left="567" w:right="86" w:hanging="567"/>
        <w:contextualSpacing/>
        <w:rPr>
          <w:b/>
          <w:bCs/>
          <w:szCs w:val="22"/>
          <w:lang w:eastAsia="es-ES"/>
        </w:rPr>
      </w:pPr>
      <w:r w:rsidRPr="00153958">
        <w:rPr>
          <w:b/>
          <w:bCs/>
          <w:szCs w:val="22"/>
          <w:lang w:eastAsia="es-ES"/>
        </w:rPr>
        <w:t xml:space="preserve">Organizaciones </w:t>
      </w:r>
      <w:r w:rsidRPr="007820C2">
        <w:rPr>
          <w:b/>
          <w:bCs/>
          <w:szCs w:val="22"/>
          <w:lang w:eastAsia="es-ES"/>
        </w:rPr>
        <w:t>c</w:t>
      </w:r>
      <w:r w:rsidRPr="00153958">
        <w:rPr>
          <w:b/>
          <w:bCs/>
          <w:szCs w:val="22"/>
          <w:lang w:eastAsia="es-ES"/>
        </w:rPr>
        <w:t xml:space="preserve">ooperativas de </w:t>
      </w:r>
      <w:r w:rsidRPr="007820C2">
        <w:rPr>
          <w:b/>
          <w:bCs/>
          <w:szCs w:val="22"/>
          <w:lang w:eastAsia="es-ES"/>
        </w:rPr>
        <w:t>a</w:t>
      </w:r>
      <w:r w:rsidRPr="00153958">
        <w:rPr>
          <w:b/>
          <w:bCs/>
          <w:szCs w:val="22"/>
          <w:lang w:eastAsia="es-ES"/>
        </w:rPr>
        <w:t xml:space="preserve">horro y </w:t>
      </w:r>
      <w:r w:rsidRPr="007820C2">
        <w:rPr>
          <w:b/>
          <w:bCs/>
          <w:szCs w:val="22"/>
          <w:lang w:eastAsia="es-ES"/>
        </w:rPr>
        <w:t>c</w:t>
      </w:r>
      <w:r w:rsidRPr="00153958">
        <w:rPr>
          <w:b/>
          <w:bCs/>
          <w:szCs w:val="22"/>
          <w:lang w:eastAsia="es-ES"/>
        </w:rPr>
        <w:t>rédito</w:t>
      </w:r>
    </w:p>
    <w:p w:rsidRPr="00153958" w:rsidR="00153958" w:rsidP="00153958" w:rsidRDefault="00153958" w14:paraId="63B12CA8" w14:textId="7499180F">
      <w:pPr>
        <w:numPr>
          <w:ilvl w:val="0"/>
          <w:numId w:val="3"/>
        </w:numPr>
        <w:spacing w:line="240" w:lineRule="auto"/>
        <w:ind w:left="567" w:right="86" w:hanging="567"/>
        <w:contextualSpacing/>
        <w:rPr>
          <w:b/>
          <w:bCs/>
          <w:szCs w:val="22"/>
          <w:lang w:eastAsia="es-ES"/>
        </w:rPr>
      </w:pPr>
      <w:r w:rsidRPr="00153958">
        <w:rPr>
          <w:b/>
          <w:bCs/>
          <w:szCs w:val="22"/>
          <w:lang w:eastAsia="es-ES"/>
        </w:rPr>
        <w:t xml:space="preserve">Entidades </w:t>
      </w:r>
      <w:r w:rsidRPr="007820C2">
        <w:rPr>
          <w:b/>
          <w:bCs/>
          <w:szCs w:val="22"/>
          <w:lang w:eastAsia="es-ES"/>
        </w:rPr>
        <w:t>a</w:t>
      </w:r>
      <w:r w:rsidRPr="00153958">
        <w:rPr>
          <w:b/>
          <w:bCs/>
          <w:szCs w:val="22"/>
          <w:lang w:eastAsia="es-ES"/>
        </w:rPr>
        <w:t>utorizadas del Sistema Financier</w:t>
      </w:r>
      <w:r w:rsidRPr="007820C2">
        <w:rPr>
          <w:b/>
          <w:bCs/>
          <w:szCs w:val="22"/>
          <w:lang w:eastAsia="es-ES"/>
        </w:rPr>
        <w:t>o</w:t>
      </w:r>
      <w:r w:rsidRPr="00153958">
        <w:rPr>
          <w:b/>
          <w:bCs/>
          <w:szCs w:val="22"/>
          <w:lang w:eastAsia="es-ES"/>
        </w:rPr>
        <w:t xml:space="preserve"> Nacional para la Vivienda</w:t>
      </w:r>
    </w:p>
    <w:p w:rsidRPr="00153958" w:rsidR="00153958" w:rsidP="00153958" w:rsidRDefault="00153958" w14:paraId="1F0B05B8" w14:textId="488B1D64">
      <w:pPr>
        <w:numPr>
          <w:ilvl w:val="0"/>
          <w:numId w:val="3"/>
        </w:numPr>
        <w:spacing w:line="240" w:lineRule="auto"/>
        <w:ind w:left="567" w:right="86" w:hanging="567"/>
        <w:contextualSpacing/>
        <w:rPr>
          <w:b/>
          <w:bCs/>
          <w:szCs w:val="22"/>
          <w:lang w:eastAsia="es-ES"/>
        </w:rPr>
      </w:pPr>
      <w:r w:rsidRPr="00153958">
        <w:rPr>
          <w:b/>
          <w:bCs/>
          <w:szCs w:val="22"/>
          <w:lang w:eastAsia="es-ES"/>
        </w:rPr>
        <w:t xml:space="preserve">Otras </w:t>
      </w:r>
      <w:r w:rsidRPr="007820C2">
        <w:rPr>
          <w:b/>
          <w:bCs/>
          <w:szCs w:val="22"/>
          <w:lang w:eastAsia="es-ES"/>
        </w:rPr>
        <w:t>e</w:t>
      </w:r>
      <w:r w:rsidRPr="00153958">
        <w:rPr>
          <w:b/>
          <w:bCs/>
          <w:szCs w:val="22"/>
          <w:lang w:eastAsia="es-ES"/>
        </w:rPr>
        <w:t xml:space="preserve">ntidades </w:t>
      </w:r>
      <w:r w:rsidRPr="007820C2" w:rsidR="003125D2">
        <w:rPr>
          <w:b/>
          <w:bCs/>
          <w:szCs w:val="22"/>
          <w:lang w:eastAsia="es-ES"/>
        </w:rPr>
        <w:t>f</w:t>
      </w:r>
      <w:r w:rsidRPr="00153958">
        <w:rPr>
          <w:b/>
          <w:bCs/>
          <w:szCs w:val="22"/>
          <w:lang w:eastAsia="es-ES"/>
        </w:rPr>
        <w:t>inancieras</w:t>
      </w:r>
    </w:p>
    <w:p w:rsidRPr="00153958" w:rsidR="00153958" w:rsidP="00153958" w:rsidRDefault="00153958" w14:paraId="04E731C6" w14:textId="1531E55F">
      <w:pPr>
        <w:numPr>
          <w:ilvl w:val="0"/>
          <w:numId w:val="3"/>
        </w:numPr>
        <w:spacing w:line="240" w:lineRule="auto"/>
        <w:ind w:left="567" w:right="86" w:hanging="567"/>
        <w:contextualSpacing/>
        <w:rPr>
          <w:b/>
          <w:bCs/>
          <w:szCs w:val="22"/>
          <w:lang w:eastAsia="es-ES"/>
        </w:rPr>
      </w:pPr>
      <w:r w:rsidRPr="00153958">
        <w:rPr>
          <w:b/>
          <w:bCs/>
          <w:szCs w:val="22"/>
          <w:lang w:eastAsia="es-ES"/>
        </w:rPr>
        <w:t>Secretar</w:t>
      </w:r>
      <w:r w:rsidRPr="007820C2" w:rsidR="003125D2">
        <w:rPr>
          <w:b/>
          <w:bCs/>
          <w:szCs w:val="22"/>
          <w:lang w:eastAsia="es-ES"/>
        </w:rPr>
        <w:t>ía</w:t>
      </w:r>
      <w:r w:rsidRPr="00153958">
        <w:rPr>
          <w:b/>
          <w:bCs/>
          <w:szCs w:val="22"/>
          <w:lang w:eastAsia="es-ES"/>
        </w:rPr>
        <w:t xml:space="preserve"> Técnica de Banca para el Desarrollo</w:t>
      </w:r>
    </w:p>
    <w:p w:rsidRPr="00153958" w:rsidR="00153958" w:rsidP="00153958" w:rsidRDefault="00153958" w14:paraId="346D28CF" w14:textId="77777777">
      <w:pPr>
        <w:spacing w:line="240" w:lineRule="auto"/>
        <w:ind w:right="86"/>
        <w:contextualSpacing/>
        <w:rPr>
          <w:b/>
          <w:bCs/>
          <w:szCs w:val="22"/>
          <w:lang w:eastAsia="es-ES"/>
        </w:rPr>
      </w:pPr>
    </w:p>
    <w:p w:rsidRPr="00153958" w:rsidR="00153958" w:rsidP="00153958" w:rsidRDefault="00153958" w14:paraId="5AC369A9" w14:textId="77777777">
      <w:pPr>
        <w:spacing w:line="240" w:lineRule="auto"/>
        <w:ind w:right="86"/>
        <w:contextualSpacing/>
        <w:rPr>
          <w:b/>
          <w:bCs/>
          <w:szCs w:val="22"/>
          <w:lang w:eastAsia="es-ES"/>
        </w:rPr>
      </w:pPr>
    </w:p>
    <w:p w:rsidRPr="00153958" w:rsidR="00153958" w:rsidP="00153958" w:rsidRDefault="00153958" w14:paraId="15B957C8" w14:textId="0935317F">
      <w:pPr>
        <w:autoSpaceDE w:val="0"/>
        <w:autoSpaceDN w:val="0"/>
        <w:adjustRightInd w:val="0"/>
        <w:spacing w:line="240" w:lineRule="auto"/>
        <w:ind w:left="851" w:hanging="851"/>
        <w:rPr>
          <w:bCs/>
          <w:szCs w:val="22"/>
          <w:lang w:val="es-CR"/>
        </w:rPr>
      </w:pPr>
      <w:r w:rsidRPr="00153958">
        <w:rPr>
          <w:b/>
          <w:szCs w:val="22"/>
          <w:lang w:val="es-CR"/>
        </w:rPr>
        <w:t xml:space="preserve">Asunto: </w:t>
      </w:r>
      <w:r w:rsidRPr="00153958">
        <w:rPr>
          <w:bCs/>
          <w:szCs w:val="22"/>
          <w:lang w:val="es-CR"/>
        </w:rPr>
        <w:t>Requerimiento del campo Tasa</w:t>
      </w:r>
      <w:r w:rsidR="00772566">
        <w:rPr>
          <w:bCs/>
          <w:szCs w:val="22"/>
          <w:lang w:val="es-CR"/>
        </w:rPr>
        <w:t xml:space="preserve"> </w:t>
      </w:r>
      <w:r w:rsidRPr="00153958">
        <w:rPr>
          <w:bCs/>
          <w:szCs w:val="22"/>
          <w:lang w:val="es-CR"/>
        </w:rPr>
        <w:t>Ley</w:t>
      </w:r>
      <w:r w:rsidR="00772566">
        <w:rPr>
          <w:bCs/>
          <w:szCs w:val="22"/>
          <w:lang w:val="es-CR"/>
        </w:rPr>
        <w:t xml:space="preserve"> N°</w:t>
      </w:r>
      <w:r w:rsidRPr="00153958">
        <w:rPr>
          <w:bCs/>
          <w:szCs w:val="22"/>
          <w:lang w:val="es-CR"/>
        </w:rPr>
        <w:t xml:space="preserve">7472 a partir de la información que se reciba a través de SICVECA Crediticio con fecha corte febrero 2023 inclusive; lo anterior </w:t>
      </w:r>
      <w:r w:rsidRPr="007820C2">
        <w:rPr>
          <w:bCs/>
          <w:szCs w:val="22"/>
          <w:lang w:val="es-CR"/>
        </w:rPr>
        <w:t>conforme al Decreto N</w:t>
      </w:r>
      <w:r w:rsidRPr="007820C2" w:rsidR="00C612B2">
        <w:rPr>
          <w:bCs/>
          <w:szCs w:val="22"/>
          <w:lang w:val="es-CR"/>
        </w:rPr>
        <w:t>°</w:t>
      </w:r>
      <w:r w:rsidRPr="00153958">
        <w:rPr>
          <w:bCs/>
          <w:szCs w:val="22"/>
          <w:lang w:val="es-CR"/>
        </w:rPr>
        <w:t>43855</w:t>
      </w:r>
      <w:r w:rsidRPr="007820C2" w:rsidR="00F202F2">
        <w:rPr>
          <w:bCs/>
          <w:szCs w:val="22"/>
          <w:lang w:val="es-CR"/>
        </w:rPr>
        <w:t>-</w:t>
      </w:r>
      <w:r w:rsidRPr="00153958">
        <w:rPr>
          <w:bCs/>
          <w:szCs w:val="22"/>
          <w:lang w:val="es-CR"/>
        </w:rPr>
        <w:t xml:space="preserve"> MEIC </w:t>
      </w:r>
      <w:r w:rsidRPr="007820C2" w:rsidR="00F202F2">
        <w:rPr>
          <w:bCs/>
          <w:szCs w:val="22"/>
          <w:lang w:val="es-CR"/>
        </w:rPr>
        <w:t xml:space="preserve">publicado </w:t>
      </w:r>
      <w:r w:rsidRPr="00153958" w:rsidR="00F202F2">
        <w:rPr>
          <w:bCs/>
          <w:szCs w:val="22"/>
          <w:lang w:val="es-CR"/>
        </w:rPr>
        <w:t>en el Alcance</w:t>
      </w:r>
      <w:r w:rsidRPr="007820C2" w:rsidR="00F202F2">
        <w:rPr>
          <w:bCs/>
          <w:szCs w:val="22"/>
          <w:lang w:val="es-CR"/>
        </w:rPr>
        <w:t xml:space="preserve"> N°</w:t>
      </w:r>
      <w:r w:rsidRPr="00153958" w:rsidR="00F202F2">
        <w:rPr>
          <w:bCs/>
          <w:szCs w:val="22"/>
          <w:lang w:val="es-CR"/>
        </w:rPr>
        <w:t xml:space="preserve">12 de </w:t>
      </w:r>
      <w:r w:rsidRPr="007820C2" w:rsidR="00C612B2">
        <w:rPr>
          <w:bCs/>
          <w:szCs w:val="22"/>
          <w:lang w:val="es-CR"/>
        </w:rPr>
        <w:t>La</w:t>
      </w:r>
      <w:r w:rsidRPr="00153958" w:rsidR="00F202F2">
        <w:rPr>
          <w:bCs/>
          <w:szCs w:val="22"/>
          <w:lang w:val="es-CR"/>
        </w:rPr>
        <w:t xml:space="preserve"> Gaceta </w:t>
      </w:r>
      <w:r w:rsidRPr="007820C2" w:rsidR="00C612B2">
        <w:rPr>
          <w:bCs/>
          <w:szCs w:val="22"/>
          <w:lang w:val="es-CR"/>
        </w:rPr>
        <w:t>N°</w:t>
      </w:r>
      <w:r w:rsidRPr="00153958" w:rsidR="00F202F2">
        <w:rPr>
          <w:bCs/>
          <w:szCs w:val="22"/>
          <w:lang w:val="es-CR"/>
        </w:rPr>
        <w:t>12 del 23 de enero 2023</w:t>
      </w:r>
      <w:r w:rsidRPr="007820C2" w:rsidR="00C612B2">
        <w:rPr>
          <w:bCs/>
          <w:szCs w:val="22"/>
          <w:lang w:val="es-CR"/>
        </w:rPr>
        <w:t xml:space="preserve"> que adicionó </w:t>
      </w:r>
      <w:r w:rsidRPr="00153958">
        <w:rPr>
          <w:bCs/>
          <w:szCs w:val="22"/>
          <w:lang w:val="es-CR"/>
        </w:rPr>
        <w:t>el artículo 7</w:t>
      </w:r>
      <w:r w:rsidRPr="007820C2">
        <w:rPr>
          <w:bCs/>
          <w:szCs w:val="22"/>
          <w:lang w:val="es-CR"/>
        </w:rPr>
        <w:t>bis</w:t>
      </w:r>
      <w:r w:rsidRPr="00153958">
        <w:rPr>
          <w:bCs/>
          <w:szCs w:val="22"/>
          <w:lang w:val="es-CR"/>
        </w:rPr>
        <w:t xml:space="preserve"> al Reglamento de las Operaciones Financieras, Comerciales y Microcréditos</w:t>
      </w:r>
      <w:r w:rsidRPr="007820C2" w:rsidR="00C612B2">
        <w:rPr>
          <w:bCs/>
          <w:szCs w:val="22"/>
          <w:lang w:val="es-CR"/>
        </w:rPr>
        <w:t xml:space="preserve"> (Decreto N°43270-MEIC)</w:t>
      </w:r>
      <w:r w:rsidRPr="00153958">
        <w:rPr>
          <w:bCs/>
          <w:szCs w:val="22"/>
          <w:lang w:val="es-CR"/>
        </w:rPr>
        <w:t xml:space="preserve"> </w:t>
      </w:r>
    </w:p>
    <w:p w:rsidRPr="00153958" w:rsidR="00153958" w:rsidP="00153958" w:rsidRDefault="00153958" w14:paraId="02694FE7" w14:textId="77777777">
      <w:pPr>
        <w:spacing w:line="240" w:lineRule="auto"/>
        <w:ind w:left="851" w:hanging="851"/>
        <w:contextualSpacing/>
        <w:rPr>
          <w:bCs/>
          <w:szCs w:val="22"/>
          <w:lang w:val="es-CR"/>
        </w:rPr>
      </w:pPr>
    </w:p>
    <w:p w:rsidRPr="00153958" w:rsidR="00153958" w:rsidP="00153958" w:rsidRDefault="00153958" w14:paraId="1D2B05E5" w14:textId="77777777">
      <w:pPr>
        <w:spacing w:line="240" w:lineRule="auto"/>
        <w:contextualSpacing/>
        <w:rPr>
          <w:rFonts w:cs="Calibri" w:eastAsiaTheme="minorHAnsi"/>
          <w:szCs w:val="22"/>
          <w:lang w:val="es-CR" w:eastAsia="es-CR"/>
        </w:rPr>
      </w:pPr>
    </w:p>
    <w:p w:rsidRPr="00153958" w:rsidR="00153958" w:rsidP="00153958" w:rsidRDefault="00153958" w14:paraId="168DE5C8" w14:textId="0B4C354B">
      <w:pPr>
        <w:spacing w:line="240" w:lineRule="auto"/>
        <w:contextualSpacing/>
        <w:rPr>
          <w:rFonts w:cs="Calibri" w:eastAsiaTheme="minorHAnsi"/>
          <w:b/>
          <w:bCs/>
          <w:szCs w:val="22"/>
          <w:lang w:eastAsia="es-CR"/>
        </w:rPr>
      </w:pPr>
      <w:r w:rsidRPr="00153958">
        <w:rPr>
          <w:rFonts w:cs="Calibri" w:eastAsiaTheme="minorHAnsi"/>
          <w:b/>
          <w:bCs/>
          <w:szCs w:val="22"/>
          <w:lang w:eastAsia="es-CR"/>
        </w:rPr>
        <w:t>La Superintendencia General de Entidades Financieras</w:t>
      </w:r>
      <w:r w:rsidRPr="007820C2" w:rsidR="00C612B2">
        <w:rPr>
          <w:rFonts w:cs="Calibri" w:eastAsiaTheme="minorHAnsi"/>
          <w:b/>
          <w:bCs/>
          <w:szCs w:val="22"/>
          <w:lang w:eastAsia="es-CR"/>
        </w:rPr>
        <w:t>:</w:t>
      </w:r>
    </w:p>
    <w:p w:rsidRPr="00153958" w:rsidR="00153958" w:rsidP="00153958" w:rsidRDefault="00153958" w14:paraId="5CB4EDFD" w14:textId="77777777">
      <w:pPr>
        <w:spacing w:line="240" w:lineRule="auto"/>
        <w:contextualSpacing/>
        <w:rPr>
          <w:rFonts w:cs="Calibri" w:eastAsiaTheme="minorHAnsi"/>
          <w:szCs w:val="22"/>
          <w:lang w:eastAsia="es-CR"/>
        </w:rPr>
      </w:pPr>
    </w:p>
    <w:p w:rsidRPr="00153958" w:rsidR="00153958" w:rsidP="00153958" w:rsidRDefault="00153958" w14:paraId="241AF5ED" w14:textId="3F74357C">
      <w:pPr>
        <w:spacing w:after="120"/>
        <w:ind w:left="33"/>
        <w:contextualSpacing/>
        <w:rPr>
          <w:szCs w:val="22"/>
          <w:lang w:val="es-CR"/>
        </w:rPr>
      </w:pPr>
      <w:r w:rsidRPr="00153958">
        <w:rPr>
          <w:szCs w:val="22"/>
        </w:rPr>
        <w:t>Considerando</w:t>
      </w:r>
      <w:r w:rsidRPr="007820C2" w:rsidR="003125D2">
        <w:rPr>
          <w:szCs w:val="22"/>
        </w:rPr>
        <w:t xml:space="preserve"> que</w:t>
      </w:r>
      <w:r w:rsidRPr="00153958">
        <w:rPr>
          <w:szCs w:val="22"/>
        </w:rPr>
        <w:t>:</w:t>
      </w:r>
    </w:p>
    <w:p w:rsidRPr="00153958" w:rsidR="00153958" w:rsidP="00153958" w:rsidRDefault="00153958" w14:paraId="395957F8" w14:textId="77777777">
      <w:pPr>
        <w:spacing w:before="120"/>
        <w:ind w:left="33"/>
        <w:contextualSpacing/>
        <w:rPr>
          <w:rFonts w:ascii="Calibri" w:hAnsi="Calibri"/>
          <w:szCs w:val="22"/>
        </w:rPr>
      </w:pPr>
    </w:p>
    <w:p w:rsidRPr="007820C2" w:rsidR="00C612B2" w:rsidP="00C612B2" w:rsidRDefault="003125D2" w14:paraId="0A64B60D" w14:textId="3D6B9D88">
      <w:pPr>
        <w:numPr>
          <w:ilvl w:val="0"/>
          <w:numId w:val="4"/>
        </w:numPr>
        <w:spacing w:line="240" w:lineRule="auto"/>
        <w:ind w:left="425" w:hanging="425"/>
        <w:contextualSpacing/>
        <w:rPr>
          <w:rFonts w:eastAsiaTheme="minorHAnsi" w:cstheme="minorBidi"/>
          <w:szCs w:val="22"/>
          <w:lang w:val="es-CR"/>
        </w:rPr>
      </w:pPr>
      <w:r w:rsidRPr="007820C2">
        <w:rPr>
          <w:rFonts w:eastAsiaTheme="minorHAnsi" w:cstheme="minorBidi"/>
          <w:szCs w:val="22"/>
          <w:lang w:val="es-CR"/>
        </w:rPr>
        <w:t>M</w:t>
      </w:r>
      <w:r w:rsidRPr="00C612B2" w:rsidR="00C612B2">
        <w:rPr>
          <w:rFonts w:eastAsiaTheme="minorHAnsi" w:cstheme="minorBidi"/>
          <w:szCs w:val="22"/>
          <w:lang w:val="es-CR"/>
        </w:rPr>
        <w:t>ediante la Ley N</w:t>
      </w:r>
      <w:r w:rsidR="00772566">
        <w:rPr>
          <w:rFonts w:eastAsiaTheme="minorHAnsi" w:cstheme="minorBidi"/>
          <w:szCs w:val="22"/>
          <w:lang w:val="es-CR"/>
        </w:rPr>
        <w:t>°</w:t>
      </w:r>
      <w:r w:rsidRPr="00C612B2" w:rsidR="00C612B2">
        <w:rPr>
          <w:rFonts w:eastAsiaTheme="minorHAnsi" w:cstheme="minorBidi"/>
          <w:szCs w:val="22"/>
          <w:lang w:val="es-CR"/>
        </w:rPr>
        <w:t>9859 del 16 de junio de 2020, publicada en el Diario Oficial La Gaceta</w:t>
      </w:r>
      <w:r w:rsidRPr="007820C2" w:rsidR="00C612B2">
        <w:rPr>
          <w:rFonts w:eastAsiaTheme="minorHAnsi" w:cstheme="minorBidi"/>
          <w:szCs w:val="22"/>
          <w:lang w:val="es-CR"/>
        </w:rPr>
        <w:t xml:space="preserve"> </w:t>
      </w:r>
      <w:r w:rsidRPr="00C612B2" w:rsidR="00C612B2">
        <w:rPr>
          <w:rFonts w:eastAsiaTheme="minorHAnsi" w:cstheme="minorBidi"/>
          <w:szCs w:val="22"/>
          <w:lang w:val="es-CR"/>
        </w:rPr>
        <w:t>N°147 del 20 de junio de 2020, Alcance N°150, se procedió a reformar la Ley de Promoción de</w:t>
      </w:r>
      <w:r w:rsidRPr="007820C2" w:rsidR="00C612B2">
        <w:rPr>
          <w:rFonts w:eastAsiaTheme="minorHAnsi" w:cstheme="minorBidi"/>
          <w:szCs w:val="22"/>
          <w:lang w:val="es-CR"/>
        </w:rPr>
        <w:t xml:space="preserve"> </w:t>
      </w:r>
      <w:r w:rsidRPr="00C612B2" w:rsidR="00C612B2">
        <w:rPr>
          <w:rFonts w:eastAsiaTheme="minorHAnsi" w:cstheme="minorBidi"/>
          <w:szCs w:val="22"/>
          <w:lang w:val="es-CR"/>
        </w:rPr>
        <w:t>la Competencia y Defensa Efectiva del Consumidor</w:t>
      </w:r>
      <w:r w:rsidRPr="007820C2" w:rsidR="00C612B2">
        <w:rPr>
          <w:rFonts w:eastAsiaTheme="minorHAnsi" w:cstheme="minorBidi"/>
          <w:szCs w:val="22"/>
          <w:lang w:val="es-CR"/>
        </w:rPr>
        <w:t xml:space="preserve"> N°7472</w:t>
      </w:r>
      <w:r w:rsidRPr="00C612B2" w:rsidR="00C612B2">
        <w:rPr>
          <w:rFonts w:eastAsiaTheme="minorHAnsi" w:cstheme="minorBidi"/>
          <w:szCs w:val="22"/>
          <w:lang w:val="es-CR"/>
        </w:rPr>
        <w:t>, adicionándose los artículos 36 bis, 36 ter, 36</w:t>
      </w:r>
      <w:r w:rsidRPr="007820C2" w:rsidR="00C612B2">
        <w:rPr>
          <w:rFonts w:eastAsiaTheme="minorHAnsi" w:cstheme="minorBidi"/>
          <w:szCs w:val="22"/>
          <w:lang w:val="es-CR"/>
        </w:rPr>
        <w:t xml:space="preserve"> qu</w:t>
      </w:r>
      <w:r w:rsidRPr="007820C2" w:rsidR="00154D24">
        <w:rPr>
          <w:rFonts w:eastAsiaTheme="minorHAnsi" w:cstheme="minorBidi"/>
          <w:szCs w:val="22"/>
          <w:lang w:val="es-CR"/>
        </w:rPr>
        <w:t>á</w:t>
      </w:r>
      <w:r w:rsidRPr="007820C2" w:rsidR="00C612B2">
        <w:rPr>
          <w:rFonts w:eastAsiaTheme="minorHAnsi" w:cstheme="minorBidi"/>
          <w:szCs w:val="22"/>
          <w:lang w:val="es-CR"/>
        </w:rPr>
        <w:t>ter; 44 ter y los literales g) y h) al artículo 53; asimismo, se reforma el artículo 44 bis</w:t>
      </w:r>
      <w:r w:rsidRPr="007820C2" w:rsidR="00154D24">
        <w:rPr>
          <w:rFonts w:eastAsiaTheme="minorHAnsi" w:cstheme="minorBidi"/>
          <w:szCs w:val="22"/>
          <w:lang w:val="es-CR"/>
        </w:rPr>
        <w:t xml:space="preserve"> de la precitada Ley.</w:t>
      </w:r>
    </w:p>
    <w:p w:rsidRPr="007820C2" w:rsidR="00154D24" w:rsidP="00154D24" w:rsidRDefault="00154D24" w14:paraId="08153E54" w14:textId="77777777">
      <w:pPr>
        <w:pStyle w:val="Prrafodelista"/>
        <w:rPr>
          <w:rFonts w:eastAsiaTheme="minorHAnsi" w:cstheme="minorBidi"/>
          <w:szCs w:val="22"/>
          <w:lang w:val="es-CR"/>
        </w:rPr>
      </w:pPr>
    </w:p>
    <w:p w:rsidRPr="007820C2" w:rsidR="00153958" w:rsidP="00153958" w:rsidRDefault="00154D24" w14:paraId="550F2351" w14:textId="2E3323F4">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7820C2">
        <w:rPr>
          <w:rFonts w:eastAsiaTheme="minorHAnsi" w:cstheme="minorBidi"/>
          <w:szCs w:val="22"/>
          <w:lang w:val="es-CR"/>
        </w:rPr>
        <w:t>E</w:t>
      </w:r>
      <w:r w:rsidRPr="00153958" w:rsidR="00153958">
        <w:rPr>
          <w:rFonts w:eastAsiaTheme="minorHAnsi" w:cstheme="minorBidi"/>
          <w:szCs w:val="22"/>
          <w:lang w:val="es-CR"/>
        </w:rPr>
        <w:t>l artículo 36bis establece los límites de tasa de interés, los que deberán cumplir las personas físicas y jurídicas que otorguen financiamiento a un tercero.</w:t>
      </w:r>
      <w:r w:rsidRPr="007820C2">
        <w:rPr>
          <w:rFonts w:eastAsiaTheme="minorHAnsi" w:cstheme="minorBidi"/>
          <w:szCs w:val="22"/>
          <w:lang w:val="es-CR"/>
        </w:rPr>
        <w:t xml:space="preserve"> Además, se indica que el Banco Central de Costa Rica (BCCR) </w:t>
      </w:r>
      <w:r w:rsidRPr="007820C2">
        <w:rPr>
          <w:rFonts w:eastAsiaTheme="minorHAnsi" w:cstheme="minorBidi"/>
          <w:szCs w:val="22"/>
        </w:rPr>
        <w:t xml:space="preserve">calculará y establecerá las tasas máximas. Adicionalmente, dispone que </w:t>
      </w:r>
      <w:r w:rsidRPr="007820C2">
        <w:rPr>
          <w:rFonts w:eastAsiaTheme="minorHAnsi" w:cstheme="minorBidi"/>
          <w:szCs w:val="22"/>
          <w:lang w:val="es-CR"/>
        </w:rPr>
        <w:t>será responsabilidad de este Órgano Supervisor</w:t>
      </w:r>
      <w:r w:rsidR="00772566">
        <w:rPr>
          <w:rFonts w:eastAsiaTheme="minorHAnsi" w:cstheme="minorBidi"/>
          <w:szCs w:val="22"/>
          <w:lang w:val="es-CR"/>
        </w:rPr>
        <w:t xml:space="preserve"> </w:t>
      </w:r>
      <w:r w:rsidRPr="007820C2">
        <w:rPr>
          <w:rFonts w:eastAsiaTheme="minorHAnsi" w:cstheme="minorBidi"/>
          <w:szCs w:val="22"/>
          <w:lang w:val="es-CR"/>
        </w:rPr>
        <w:t>velar mensualmente porque en ningún crédito</w:t>
      </w:r>
      <w:r w:rsidRPr="007820C2" w:rsidR="00BE784E">
        <w:rPr>
          <w:rFonts w:eastAsiaTheme="minorHAnsi" w:cstheme="minorBidi"/>
          <w:szCs w:val="22"/>
          <w:lang w:val="es-CR"/>
        </w:rPr>
        <w:t>,</w:t>
      </w:r>
      <w:r w:rsidRPr="007820C2">
        <w:rPr>
          <w:rFonts w:eastAsiaTheme="minorHAnsi" w:cstheme="minorBidi"/>
          <w:szCs w:val="22"/>
          <w:lang w:val="es-CR"/>
        </w:rPr>
        <w:t xml:space="preserve"> que exceda el monto correspondiente a un microcrédito</w:t>
      </w:r>
      <w:r w:rsidRPr="007820C2" w:rsidR="00BE784E">
        <w:rPr>
          <w:rFonts w:eastAsiaTheme="minorHAnsi" w:cstheme="minorBidi"/>
          <w:szCs w:val="22"/>
          <w:lang w:val="es-CR"/>
        </w:rPr>
        <w:t>,</w:t>
      </w:r>
      <w:r w:rsidRPr="007820C2">
        <w:rPr>
          <w:rFonts w:eastAsiaTheme="minorHAnsi" w:cstheme="minorBidi"/>
          <w:szCs w:val="22"/>
          <w:lang w:val="es-CR"/>
        </w:rPr>
        <w:t xml:space="preserve"> se cobre una tasa superior a la tasa anual máxima de interés para todo tipo de crédito</w:t>
      </w:r>
      <w:r w:rsidRPr="007820C2" w:rsidR="00BE784E">
        <w:rPr>
          <w:rFonts w:eastAsiaTheme="minorHAnsi" w:cstheme="minorBidi"/>
          <w:szCs w:val="22"/>
          <w:lang w:val="es-CR"/>
        </w:rPr>
        <w:t>.</w:t>
      </w:r>
    </w:p>
    <w:p w:rsidRPr="007820C2" w:rsidR="00BE784E" w:rsidP="00BE784E" w:rsidRDefault="00BE784E" w14:paraId="69A59151" w14:textId="77777777">
      <w:pPr>
        <w:pStyle w:val="Prrafodelista"/>
        <w:rPr>
          <w:rFonts w:eastAsiaTheme="minorHAnsi" w:cstheme="minorBidi"/>
          <w:szCs w:val="22"/>
          <w:lang w:val="es-CR"/>
        </w:rPr>
      </w:pPr>
    </w:p>
    <w:p w:rsidRPr="00153958" w:rsidR="00153958" w:rsidP="00153958" w:rsidRDefault="00153958" w14:paraId="40CACAE5" w14:textId="6B8DFD03">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153958">
        <w:rPr>
          <w:rFonts w:eastAsiaTheme="minorHAnsi" w:cstheme="minorBidi"/>
          <w:szCs w:val="22"/>
          <w:lang w:val="es-CR"/>
        </w:rPr>
        <w:t>El B</w:t>
      </w:r>
      <w:r w:rsidRPr="007820C2" w:rsidR="00154D24">
        <w:rPr>
          <w:rFonts w:eastAsiaTheme="minorHAnsi" w:cstheme="minorBidi"/>
          <w:szCs w:val="22"/>
          <w:lang w:val="es-CR"/>
        </w:rPr>
        <w:t>CCR</w:t>
      </w:r>
      <w:r w:rsidRPr="00153958">
        <w:rPr>
          <w:rFonts w:eastAsiaTheme="minorHAnsi" w:cstheme="minorBidi"/>
          <w:szCs w:val="22"/>
          <w:lang w:val="es-CR"/>
        </w:rPr>
        <w:t>, desde julio de 2020, viene publicando las tasas de interés anuales máximas para créditos y microcréditos, y en atención a ello, las entidades financieras supervisadas tomaron acciones para adecuarse a dichas tasas de interés.</w:t>
      </w:r>
    </w:p>
    <w:p w:rsidRPr="00153958" w:rsidR="00153958" w:rsidP="00153958" w:rsidRDefault="00153958" w14:paraId="3ED67F52" w14:textId="77777777">
      <w:pPr>
        <w:spacing w:line="240" w:lineRule="auto"/>
        <w:rPr>
          <w:szCs w:val="22"/>
          <w:lang w:val="es-CR"/>
        </w:rPr>
      </w:pPr>
    </w:p>
    <w:p w:rsidRPr="00153958" w:rsidR="00153958" w:rsidP="00153958" w:rsidRDefault="003125D2" w14:paraId="45DF353F" w14:textId="15CC9189">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7820C2">
        <w:rPr>
          <w:rFonts w:eastAsiaTheme="minorHAnsi" w:cstheme="minorBidi"/>
          <w:szCs w:val="22"/>
          <w:lang w:val="es-CR"/>
        </w:rPr>
        <w:lastRenderedPageBreak/>
        <w:t>E</w:t>
      </w:r>
      <w:r w:rsidRPr="00153958" w:rsidR="00153958">
        <w:rPr>
          <w:rFonts w:eastAsiaTheme="minorHAnsi" w:cstheme="minorBidi"/>
          <w:szCs w:val="22"/>
          <w:lang w:val="es-CR"/>
        </w:rPr>
        <w:t xml:space="preserve">n </w:t>
      </w:r>
      <w:r w:rsidRPr="007820C2" w:rsidR="00BE784E">
        <w:rPr>
          <w:rFonts w:eastAsiaTheme="minorHAnsi" w:cstheme="minorBidi"/>
          <w:szCs w:val="22"/>
          <w:lang w:val="es-CR"/>
        </w:rPr>
        <w:t>A</w:t>
      </w:r>
      <w:r w:rsidRPr="00153958" w:rsidR="00153958">
        <w:rPr>
          <w:rFonts w:eastAsiaTheme="minorHAnsi" w:cstheme="minorBidi"/>
          <w:szCs w:val="22"/>
          <w:lang w:val="es-CR"/>
        </w:rPr>
        <w:t xml:space="preserve">lcance N°256 de La Gaceta N°242 del 16 de diciembre 2021, se publicó el Reglamento de las Operaciones Financieras Comerciales y Microcréditos, cuyo objetivo es reglamentar las disposiciones vinculadas a las operaciones financieras, comerciales y microcréditos que se ofrezcan al consumidor, todo en el marco de la Ley </w:t>
      </w:r>
      <w:r w:rsidRPr="007820C2" w:rsidR="00BE784E">
        <w:rPr>
          <w:rFonts w:eastAsiaTheme="minorHAnsi" w:cstheme="minorBidi"/>
          <w:szCs w:val="22"/>
          <w:lang w:val="es-CR"/>
        </w:rPr>
        <w:t>N°</w:t>
      </w:r>
      <w:r w:rsidRPr="00153958" w:rsidR="00153958">
        <w:rPr>
          <w:rFonts w:eastAsiaTheme="minorHAnsi" w:cstheme="minorBidi"/>
          <w:szCs w:val="22"/>
          <w:lang w:val="es-CR"/>
        </w:rPr>
        <w:t xml:space="preserve">7472 y sus reformas. </w:t>
      </w:r>
    </w:p>
    <w:p w:rsidRPr="00153958" w:rsidR="00153958" w:rsidP="00153958" w:rsidRDefault="00153958" w14:paraId="1F0A7E2B" w14:textId="77777777">
      <w:pPr>
        <w:spacing w:after="160" w:line="252" w:lineRule="auto"/>
        <w:ind w:left="720"/>
        <w:contextualSpacing/>
        <w:jc w:val="left"/>
        <w:rPr>
          <w:rFonts w:eastAsiaTheme="minorHAnsi" w:cstheme="minorBidi"/>
          <w:szCs w:val="22"/>
          <w:lang w:val="es-CR"/>
        </w:rPr>
      </w:pPr>
    </w:p>
    <w:p w:rsidRPr="007820C2" w:rsidR="003125D2" w:rsidP="003125D2" w:rsidRDefault="00C9735C" w14:paraId="47B41FBA" w14:textId="25A0B258">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7820C2">
        <w:rPr>
          <w:rFonts w:eastAsiaTheme="minorHAnsi" w:cstheme="minorBidi"/>
          <w:szCs w:val="22"/>
          <w:lang w:val="es-CR"/>
        </w:rPr>
        <w:t>Con</w:t>
      </w:r>
      <w:r w:rsidRPr="00153958" w:rsidR="00153958">
        <w:rPr>
          <w:rFonts w:eastAsiaTheme="minorHAnsi" w:cstheme="minorBidi"/>
          <w:szCs w:val="22"/>
          <w:lang w:val="es-CR"/>
        </w:rPr>
        <w:t xml:space="preserve"> el fin de estandarizar la metodología para el cálculo de la </w:t>
      </w:r>
      <w:r w:rsidRPr="007820C2" w:rsidR="00BE784E">
        <w:rPr>
          <w:rFonts w:eastAsiaTheme="minorHAnsi" w:cstheme="minorBidi"/>
          <w:szCs w:val="22"/>
          <w:lang w:val="es-CR"/>
        </w:rPr>
        <w:t>t</w:t>
      </w:r>
      <w:r w:rsidRPr="00153958" w:rsidR="00153958">
        <w:rPr>
          <w:rFonts w:eastAsiaTheme="minorHAnsi" w:cstheme="minorBidi"/>
          <w:szCs w:val="22"/>
          <w:lang w:val="es-CR"/>
        </w:rPr>
        <w:t xml:space="preserve">asa de </w:t>
      </w:r>
      <w:r w:rsidRPr="007820C2" w:rsidR="00BE784E">
        <w:rPr>
          <w:rFonts w:eastAsiaTheme="minorHAnsi" w:cstheme="minorBidi"/>
          <w:szCs w:val="22"/>
          <w:lang w:val="es-CR"/>
        </w:rPr>
        <w:t>i</w:t>
      </w:r>
      <w:r w:rsidRPr="00153958" w:rsidR="00153958">
        <w:rPr>
          <w:rFonts w:eastAsiaTheme="minorHAnsi" w:cstheme="minorBidi"/>
          <w:szCs w:val="22"/>
          <w:lang w:val="es-CR"/>
        </w:rPr>
        <w:t xml:space="preserve">nterés </w:t>
      </w:r>
      <w:r w:rsidRPr="007820C2" w:rsidR="00BE784E">
        <w:rPr>
          <w:rFonts w:eastAsiaTheme="minorHAnsi" w:cstheme="minorBidi"/>
          <w:szCs w:val="22"/>
          <w:lang w:val="es-CR"/>
        </w:rPr>
        <w:t>e</w:t>
      </w:r>
      <w:r w:rsidRPr="00153958" w:rsidR="00153958">
        <w:rPr>
          <w:rFonts w:eastAsiaTheme="minorHAnsi" w:cstheme="minorBidi"/>
          <w:szCs w:val="22"/>
          <w:lang w:val="es-CR"/>
        </w:rPr>
        <w:t xml:space="preserve">fectiva, se emitió la Resolución N° DM-R-010-2022-MEIC de las quince horas con treinta minutos del día ocho de marzo de dos mil veintidós, la cual fue publicada en el Diario </w:t>
      </w:r>
      <w:r>
        <w:rPr>
          <w:rFonts w:eastAsiaTheme="minorHAnsi" w:cstheme="minorBidi"/>
          <w:szCs w:val="22"/>
          <w:lang w:val="es-CR"/>
        </w:rPr>
        <w:t>O</w:t>
      </w:r>
      <w:r w:rsidRPr="00153958" w:rsidR="00153958">
        <w:rPr>
          <w:rFonts w:eastAsiaTheme="minorHAnsi" w:cstheme="minorBidi"/>
          <w:szCs w:val="22"/>
          <w:lang w:val="es-CR"/>
        </w:rPr>
        <w:t xml:space="preserve">ficial </w:t>
      </w:r>
      <w:r>
        <w:rPr>
          <w:rFonts w:eastAsiaTheme="minorHAnsi" w:cstheme="minorBidi"/>
          <w:szCs w:val="22"/>
          <w:lang w:val="es-CR"/>
        </w:rPr>
        <w:t>L</w:t>
      </w:r>
      <w:r w:rsidRPr="00153958" w:rsidR="00153958">
        <w:rPr>
          <w:rFonts w:eastAsiaTheme="minorHAnsi" w:cstheme="minorBidi"/>
          <w:szCs w:val="22"/>
          <w:lang w:val="es-CR"/>
        </w:rPr>
        <w:t>a Gaceta N°48 del 11 de marzo de 2022, Alcance N°48.</w:t>
      </w:r>
    </w:p>
    <w:p w:rsidRPr="007820C2" w:rsidR="003125D2" w:rsidP="003125D2" w:rsidRDefault="003125D2" w14:paraId="6431F6F0" w14:textId="77777777">
      <w:pPr>
        <w:pStyle w:val="Prrafodelista"/>
        <w:rPr>
          <w:rFonts w:eastAsiaTheme="minorHAnsi" w:cstheme="minorBidi"/>
          <w:szCs w:val="22"/>
          <w:lang w:val="es-CR"/>
        </w:rPr>
      </w:pPr>
    </w:p>
    <w:p w:rsidRPr="00153958" w:rsidR="00153958" w:rsidP="003125D2" w:rsidRDefault="00BE784E" w14:paraId="4AAFF1C3" w14:textId="20E6AD71">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7820C2">
        <w:rPr>
          <w:rFonts w:eastAsiaTheme="minorHAnsi" w:cstheme="minorBidi"/>
          <w:szCs w:val="22"/>
          <w:lang w:val="es-CR"/>
        </w:rPr>
        <w:t>Que este Organismo de Supervisión emitió la c</w:t>
      </w:r>
      <w:r w:rsidRPr="00153958" w:rsidR="00153958">
        <w:rPr>
          <w:rFonts w:eastAsiaTheme="minorHAnsi" w:cstheme="minorBidi"/>
          <w:szCs w:val="22"/>
          <w:lang w:val="es-CR"/>
        </w:rPr>
        <w:t xml:space="preserve">ircular </w:t>
      </w:r>
      <w:r w:rsidRPr="007820C2">
        <w:rPr>
          <w:rFonts w:eastAsiaTheme="minorHAnsi" w:cstheme="minorBidi"/>
          <w:szCs w:val="22"/>
          <w:lang w:val="es-CR"/>
        </w:rPr>
        <w:t>e</w:t>
      </w:r>
      <w:r w:rsidRPr="00153958" w:rsidR="00153958">
        <w:rPr>
          <w:rFonts w:eastAsiaTheme="minorHAnsi" w:cstheme="minorBidi"/>
          <w:szCs w:val="22"/>
          <w:lang w:val="es-CR"/>
        </w:rPr>
        <w:t>xterna SGF-0471-2022</w:t>
      </w:r>
      <w:r w:rsidRPr="007820C2">
        <w:rPr>
          <w:rFonts w:eastAsiaTheme="minorHAnsi" w:cstheme="minorBidi"/>
          <w:szCs w:val="22"/>
          <w:lang w:val="es-CR"/>
        </w:rPr>
        <w:t xml:space="preserve"> del 11 de marzo de 2022, y en ella</w:t>
      </w:r>
      <w:r w:rsidRPr="00153958" w:rsidR="00153958">
        <w:rPr>
          <w:rFonts w:eastAsiaTheme="minorHAnsi" w:cstheme="minorBidi"/>
          <w:szCs w:val="22"/>
          <w:lang w:val="es-CR"/>
        </w:rPr>
        <w:t xml:space="preserve"> </w:t>
      </w:r>
      <w:r w:rsidRPr="007820C2">
        <w:rPr>
          <w:rFonts w:eastAsiaTheme="minorHAnsi" w:cstheme="minorBidi"/>
          <w:szCs w:val="22"/>
          <w:lang w:val="es-CR"/>
        </w:rPr>
        <w:t>se</w:t>
      </w:r>
      <w:r w:rsidRPr="00153958" w:rsidR="00153958">
        <w:rPr>
          <w:rFonts w:eastAsiaTheme="minorHAnsi" w:cstheme="minorBidi"/>
          <w:szCs w:val="22"/>
          <w:lang w:val="es-CR"/>
        </w:rPr>
        <w:t xml:space="preserve"> comunicó la creación de nuevos códigos y nuevas validaciones como resultado de la publicación de la Ley</w:t>
      </w:r>
      <w:r w:rsidRPr="007820C2">
        <w:rPr>
          <w:rFonts w:eastAsiaTheme="minorHAnsi" w:cstheme="minorBidi"/>
          <w:szCs w:val="22"/>
          <w:lang w:val="es-CR"/>
        </w:rPr>
        <w:t xml:space="preserve"> N°</w:t>
      </w:r>
      <w:r w:rsidRPr="00153958" w:rsidR="00153958">
        <w:rPr>
          <w:rFonts w:eastAsiaTheme="minorHAnsi" w:cstheme="minorBidi"/>
          <w:szCs w:val="22"/>
          <w:lang w:val="es-CR"/>
        </w:rPr>
        <w:t>9859</w:t>
      </w:r>
      <w:r w:rsidRPr="007820C2" w:rsidR="003125D2">
        <w:rPr>
          <w:rFonts w:eastAsiaTheme="minorHAnsi" w:cstheme="minorBidi"/>
          <w:szCs w:val="22"/>
          <w:lang w:val="es-CR"/>
        </w:rPr>
        <w:t xml:space="preserve"> y demás reglamentos y resoluciones supracitados</w:t>
      </w:r>
      <w:r w:rsidRPr="00153958" w:rsidR="00153958">
        <w:rPr>
          <w:rFonts w:eastAsiaTheme="minorHAnsi" w:cstheme="minorBidi"/>
          <w:szCs w:val="22"/>
          <w:lang w:val="es-CR"/>
        </w:rPr>
        <w:t>.</w:t>
      </w:r>
    </w:p>
    <w:p w:rsidRPr="00153958" w:rsidR="00153958" w:rsidP="00153958" w:rsidRDefault="00153958" w14:paraId="5ADA9A22" w14:textId="77777777">
      <w:pPr>
        <w:spacing w:line="240" w:lineRule="auto"/>
        <w:ind w:left="360"/>
        <w:contextualSpacing/>
        <w:rPr>
          <w:rFonts w:eastAsiaTheme="minorHAnsi" w:cstheme="minorBidi"/>
          <w:szCs w:val="22"/>
          <w:lang w:val="es-CR"/>
        </w:rPr>
      </w:pPr>
    </w:p>
    <w:p w:rsidRPr="00153958" w:rsidR="00153958" w:rsidP="00153958" w:rsidRDefault="00153958" w14:paraId="0F57F175" w14:textId="77E7FEEF">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153958">
        <w:rPr>
          <w:rFonts w:eastAsiaTheme="minorHAnsi" w:cstheme="minorBidi"/>
          <w:szCs w:val="22"/>
          <w:lang w:val="es-CR"/>
        </w:rPr>
        <w:t>El Ministerio de Economía, Industria y Comercio</w:t>
      </w:r>
      <w:r w:rsidRPr="007820C2" w:rsidR="003125D2">
        <w:rPr>
          <w:rFonts w:eastAsiaTheme="minorHAnsi" w:cstheme="minorBidi"/>
          <w:szCs w:val="22"/>
          <w:lang w:val="es-CR"/>
        </w:rPr>
        <w:t xml:space="preserve"> (MEIC)</w:t>
      </w:r>
      <w:r w:rsidRPr="00153958">
        <w:rPr>
          <w:rFonts w:eastAsiaTheme="minorHAnsi" w:cstheme="minorBidi"/>
          <w:szCs w:val="22"/>
          <w:lang w:val="es-CR"/>
        </w:rPr>
        <w:t xml:space="preserve"> emit</w:t>
      </w:r>
      <w:r w:rsidRPr="007820C2" w:rsidR="003125D2">
        <w:rPr>
          <w:rFonts w:eastAsiaTheme="minorHAnsi" w:cstheme="minorBidi"/>
          <w:szCs w:val="22"/>
          <w:lang w:val="es-CR"/>
        </w:rPr>
        <w:t>ió</w:t>
      </w:r>
      <w:r w:rsidRPr="00153958">
        <w:rPr>
          <w:rFonts w:eastAsiaTheme="minorHAnsi" w:cstheme="minorBidi"/>
          <w:szCs w:val="22"/>
          <w:lang w:val="es-CR"/>
        </w:rPr>
        <w:t xml:space="preserve"> la resolución Nº DM-R-014-2022-MEIC</w:t>
      </w:r>
      <w:r w:rsidRPr="007820C2" w:rsidR="003125D2">
        <w:rPr>
          <w:rFonts w:eastAsiaTheme="minorHAnsi" w:cstheme="minorBidi"/>
          <w:szCs w:val="22"/>
          <w:lang w:val="es-CR"/>
        </w:rPr>
        <w:t xml:space="preserve"> de las catorce horas del dieciséis de marzo de 2022</w:t>
      </w:r>
      <w:r w:rsidRPr="00153958">
        <w:rPr>
          <w:rFonts w:eastAsiaTheme="minorHAnsi" w:cstheme="minorBidi"/>
          <w:szCs w:val="22"/>
          <w:lang w:val="es-CR"/>
        </w:rPr>
        <w:t xml:space="preserve">, </w:t>
      </w:r>
      <w:r w:rsidRPr="007820C2" w:rsidR="003125D2">
        <w:rPr>
          <w:rFonts w:eastAsiaTheme="minorHAnsi" w:cstheme="minorBidi"/>
          <w:szCs w:val="22"/>
          <w:lang w:val="es-CR"/>
        </w:rPr>
        <w:t xml:space="preserve">con la </w:t>
      </w:r>
      <w:r w:rsidRPr="00153958">
        <w:rPr>
          <w:rFonts w:eastAsiaTheme="minorHAnsi" w:cstheme="minorBidi"/>
          <w:szCs w:val="22"/>
          <w:lang w:val="es-CR"/>
        </w:rPr>
        <w:t>cual proced</w:t>
      </w:r>
      <w:r w:rsidRPr="007820C2" w:rsidR="003125D2">
        <w:rPr>
          <w:rFonts w:eastAsiaTheme="minorHAnsi" w:cstheme="minorBidi"/>
          <w:szCs w:val="22"/>
          <w:lang w:val="es-CR"/>
        </w:rPr>
        <w:t>ió</w:t>
      </w:r>
      <w:r w:rsidRPr="00153958">
        <w:rPr>
          <w:rFonts w:eastAsiaTheme="minorHAnsi" w:cstheme="minorBidi"/>
          <w:szCs w:val="22"/>
          <w:lang w:val="es-CR"/>
        </w:rPr>
        <w:t xml:space="preserve"> a la suspensión de la ejecución de la Resolución N° DM-R-010-2022-MEIC</w:t>
      </w:r>
      <w:r w:rsidRPr="007820C2" w:rsidR="003125D2">
        <w:rPr>
          <w:rFonts w:eastAsiaTheme="minorHAnsi" w:cstheme="minorBidi"/>
          <w:szCs w:val="22"/>
          <w:lang w:val="es-CR"/>
        </w:rPr>
        <w:t xml:space="preserve"> aludida</w:t>
      </w:r>
      <w:r w:rsidR="00772566">
        <w:rPr>
          <w:rFonts w:eastAsiaTheme="minorHAnsi" w:cstheme="minorBidi"/>
          <w:szCs w:val="22"/>
          <w:lang w:val="es-CR"/>
        </w:rPr>
        <w:t>.</w:t>
      </w:r>
      <w:r w:rsidRPr="00153958">
        <w:rPr>
          <w:rFonts w:eastAsiaTheme="minorHAnsi" w:cstheme="minorBidi"/>
          <w:szCs w:val="22"/>
          <w:lang w:val="es-CR"/>
        </w:rPr>
        <w:t xml:space="preserve"> En</w:t>
      </w:r>
      <w:r w:rsidRPr="007820C2" w:rsidR="007820C2">
        <w:rPr>
          <w:rFonts w:eastAsiaTheme="minorHAnsi" w:cstheme="minorBidi"/>
          <w:szCs w:val="22"/>
          <w:lang w:val="es-CR"/>
        </w:rPr>
        <w:t xml:space="preserve"> virtud</w:t>
      </w:r>
      <w:r w:rsidR="00772566">
        <w:rPr>
          <w:rFonts w:eastAsiaTheme="minorHAnsi" w:cstheme="minorBidi"/>
          <w:szCs w:val="22"/>
          <w:lang w:val="es-CR"/>
        </w:rPr>
        <w:t xml:space="preserve"> de</w:t>
      </w:r>
      <w:r w:rsidRPr="007820C2" w:rsidR="007820C2">
        <w:rPr>
          <w:rFonts w:eastAsiaTheme="minorHAnsi" w:cstheme="minorBidi"/>
          <w:szCs w:val="22"/>
          <w:lang w:val="es-CR"/>
        </w:rPr>
        <w:t xml:space="preserve"> </w:t>
      </w:r>
      <w:r w:rsidRPr="007820C2" w:rsidR="004A5028">
        <w:rPr>
          <w:rFonts w:eastAsiaTheme="minorHAnsi" w:cstheme="minorBidi"/>
          <w:szCs w:val="22"/>
          <w:lang w:val="es-CR"/>
        </w:rPr>
        <w:t>ello, circular</w:t>
      </w:r>
      <w:r w:rsidRPr="007820C2" w:rsidR="007820C2">
        <w:rPr>
          <w:rFonts w:eastAsiaTheme="minorHAnsi" w:cstheme="minorBidi"/>
          <w:szCs w:val="22"/>
          <w:lang w:val="es-CR"/>
        </w:rPr>
        <w:t xml:space="preserve"> </w:t>
      </w:r>
      <w:r w:rsidRPr="00153958">
        <w:rPr>
          <w:rFonts w:eastAsiaTheme="minorHAnsi" w:cstheme="minorBidi"/>
          <w:szCs w:val="22"/>
          <w:lang w:val="es-CR"/>
        </w:rPr>
        <w:t>SGF-0783-2022</w:t>
      </w:r>
      <w:r w:rsidRPr="007820C2" w:rsidR="007820C2">
        <w:rPr>
          <w:rFonts w:eastAsiaTheme="minorHAnsi" w:cstheme="minorBidi"/>
          <w:szCs w:val="22"/>
          <w:lang w:val="es-CR"/>
        </w:rPr>
        <w:t xml:space="preserve"> del 8 de abril de </w:t>
      </w:r>
      <w:r w:rsidRPr="007820C2" w:rsidR="004A5028">
        <w:rPr>
          <w:rFonts w:eastAsiaTheme="minorHAnsi" w:cstheme="minorBidi"/>
          <w:szCs w:val="22"/>
          <w:lang w:val="es-CR"/>
        </w:rPr>
        <w:t xml:space="preserve">2022, </w:t>
      </w:r>
      <w:r w:rsidRPr="00153958" w:rsidR="004A5028">
        <w:rPr>
          <w:rFonts w:eastAsiaTheme="minorHAnsi" w:cstheme="minorBidi"/>
          <w:szCs w:val="22"/>
          <w:lang w:val="es-CR"/>
        </w:rPr>
        <w:t>se</w:t>
      </w:r>
      <w:r w:rsidRPr="00153958">
        <w:rPr>
          <w:rFonts w:eastAsiaTheme="minorHAnsi" w:cstheme="minorBidi"/>
          <w:szCs w:val="22"/>
          <w:lang w:val="es-CR"/>
        </w:rPr>
        <w:t xml:space="preserve"> comunic</w:t>
      </w:r>
      <w:r w:rsidRPr="007820C2" w:rsidR="007820C2">
        <w:rPr>
          <w:rFonts w:eastAsiaTheme="minorHAnsi" w:cstheme="minorBidi"/>
          <w:szCs w:val="22"/>
          <w:lang w:val="es-CR"/>
        </w:rPr>
        <w:t>ó</w:t>
      </w:r>
      <w:r w:rsidRPr="00153958">
        <w:rPr>
          <w:rFonts w:eastAsiaTheme="minorHAnsi" w:cstheme="minorBidi"/>
          <w:szCs w:val="22"/>
          <w:lang w:val="es-CR"/>
        </w:rPr>
        <w:t xml:space="preserve">, </w:t>
      </w:r>
      <w:r w:rsidRPr="00153958" w:rsidR="00772566">
        <w:rPr>
          <w:rFonts w:eastAsiaTheme="minorHAnsi" w:cstheme="minorBidi"/>
          <w:szCs w:val="22"/>
          <w:lang w:val="es-CR"/>
        </w:rPr>
        <w:t>que,</w:t>
      </w:r>
      <w:r w:rsidRPr="00153958">
        <w:rPr>
          <w:rFonts w:eastAsiaTheme="minorHAnsi" w:cstheme="minorBidi"/>
          <w:szCs w:val="22"/>
          <w:lang w:val="es-CR"/>
        </w:rPr>
        <w:t xml:space="preserve"> hasta nuevo aviso, se suspend</w:t>
      </w:r>
      <w:r w:rsidRPr="007820C2" w:rsidR="007820C2">
        <w:rPr>
          <w:rFonts w:eastAsiaTheme="minorHAnsi" w:cstheme="minorBidi"/>
          <w:szCs w:val="22"/>
          <w:lang w:val="es-CR"/>
        </w:rPr>
        <w:t xml:space="preserve">ía </w:t>
      </w:r>
      <w:r w:rsidRPr="00153958">
        <w:rPr>
          <w:rFonts w:eastAsiaTheme="minorHAnsi" w:cstheme="minorBidi"/>
          <w:szCs w:val="22"/>
          <w:lang w:val="es-CR"/>
        </w:rPr>
        <w:t xml:space="preserve">los numerales 6 y 7 del </w:t>
      </w:r>
      <w:r w:rsidRPr="00153958">
        <w:rPr>
          <w:rFonts w:eastAsiaTheme="minorHAnsi" w:cstheme="minorBidi"/>
          <w:i/>
          <w:iCs/>
          <w:szCs w:val="22"/>
          <w:lang w:val="es-CR"/>
        </w:rPr>
        <w:t>dispone</w:t>
      </w:r>
      <w:r w:rsidRPr="00153958">
        <w:rPr>
          <w:rFonts w:eastAsiaTheme="minorHAnsi" w:cstheme="minorBidi"/>
          <w:szCs w:val="22"/>
          <w:lang w:val="es-CR"/>
        </w:rPr>
        <w:t xml:space="preserve"> de la SGF-0471-2022</w:t>
      </w:r>
      <w:r w:rsidRPr="007820C2" w:rsidR="007820C2">
        <w:rPr>
          <w:rFonts w:eastAsiaTheme="minorHAnsi" w:cstheme="minorBidi"/>
          <w:szCs w:val="22"/>
          <w:lang w:val="es-CR"/>
        </w:rPr>
        <w:t xml:space="preserve"> antes dicha, en relación con el requerimiento del campo supracitado</w:t>
      </w:r>
      <w:r w:rsidRPr="00153958">
        <w:rPr>
          <w:rFonts w:eastAsiaTheme="minorHAnsi" w:cstheme="minorBidi"/>
          <w:szCs w:val="22"/>
          <w:lang w:val="es-CR"/>
        </w:rPr>
        <w:t>.</w:t>
      </w:r>
    </w:p>
    <w:p w:rsidRPr="00153958" w:rsidR="00153958" w:rsidP="00153958" w:rsidRDefault="00153958" w14:paraId="3BD6C695" w14:textId="77777777">
      <w:pPr>
        <w:autoSpaceDE w:val="0"/>
        <w:autoSpaceDN w:val="0"/>
        <w:adjustRightInd w:val="0"/>
        <w:spacing w:line="240" w:lineRule="auto"/>
        <w:ind w:left="425"/>
        <w:contextualSpacing/>
        <w:rPr>
          <w:rFonts w:eastAsiaTheme="minorHAnsi" w:cstheme="minorBidi"/>
          <w:szCs w:val="22"/>
          <w:lang w:val="es-CR"/>
        </w:rPr>
      </w:pPr>
    </w:p>
    <w:p w:rsidRPr="00153958" w:rsidR="00153958" w:rsidP="007820C2" w:rsidRDefault="004A5028" w14:paraId="398D1AFF" w14:textId="7E5E54FA">
      <w:pPr>
        <w:numPr>
          <w:ilvl w:val="0"/>
          <w:numId w:val="4"/>
        </w:numPr>
        <w:autoSpaceDE w:val="0"/>
        <w:autoSpaceDN w:val="0"/>
        <w:adjustRightInd w:val="0"/>
        <w:spacing w:line="240" w:lineRule="auto"/>
        <w:ind w:left="425" w:hanging="425"/>
        <w:contextualSpacing/>
        <w:rPr>
          <w:rFonts w:eastAsiaTheme="minorHAnsi" w:cstheme="minorBidi"/>
          <w:szCs w:val="22"/>
          <w:lang w:val="es-CR"/>
        </w:rPr>
      </w:pPr>
      <w:r w:rsidRPr="00153958">
        <w:rPr>
          <w:rFonts w:eastAsiaTheme="minorHAnsi" w:cstheme="minorBidi"/>
          <w:szCs w:val="22"/>
          <w:lang w:val="es-CR"/>
        </w:rPr>
        <w:t>Mediante Decreto</w:t>
      </w:r>
      <w:r w:rsidRPr="00153958" w:rsidR="00153958">
        <w:rPr>
          <w:rFonts w:eastAsiaTheme="minorHAnsi" w:cstheme="minorBidi"/>
          <w:szCs w:val="22"/>
          <w:lang w:val="es-CR"/>
        </w:rPr>
        <w:t xml:space="preserve"> Ejecutivo 43855</w:t>
      </w:r>
      <w:r w:rsidRPr="007820C2" w:rsidR="007820C2">
        <w:rPr>
          <w:rFonts w:eastAsiaTheme="minorHAnsi" w:cstheme="minorBidi"/>
          <w:szCs w:val="22"/>
          <w:lang w:val="es-CR"/>
        </w:rPr>
        <w:t>-</w:t>
      </w:r>
      <w:r w:rsidRPr="00153958" w:rsidR="00153958">
        <w:rPr>
          <w:rFonts w:eastAsiaTheme="minorHAnsi" w:cstheme="minorBidi"/>
          <w:szCs w:val="22"/>
          <w:lang w:val="es-CR"/>
        </w:rPr>
        <w:t xml:space="preserve">MEIC publicado </w:t>
      </w:r>
      <w:r w:rsidRPr="00153958">
        <w:rPr>
          <w:rFonts w:eastAsiaTheme="minorHAnsi" w:cstheme="minorBidi"/>
          <w:szCs w:val="22"/>
          <w:lang w:val="es-CR"/>
        </w:rPr>
        <w:t>en el Alcance</w:t>
      </w:r>
      <w:r w:rsidRPr="00153958" w:rsidR="00153958">
        <w:rPr>
          <w:rFonts w:eastAsiaTheme="minorHAnsi" w:cstheme="minorBidi"/>
          <w:szCs w:val="22"/>
          <w:lang w:val="es-CR"/>
        </w:rPr>
        <w:t xml:space="preserve"> N°12 de la Gaceta N°12 del 23 de enero </w:t>
      </w:r>
      <w:r w:rsidRPr="00153958">
        <w:rPr>
          <w:rFonts w:eastAsiaTheme="minorHAnsi" w:cstheme="minorBidi"/>
          <w:szCs w:val="22"/>
          <w:lang w:val="es-CR"/>
        </w:rPr>
        <w:t>2023, reforma</w:t>
      </w:r>
      <w:r w:rsidRPr="00153958" w:rsidR="00153958">
        <w:rPr>
          <w:rFonts w:eastAsiaTheme="minorHAnsi" w:cstheme="minorBidi"/>
          <w:szCs w:val="22"/>
          <w:lang w:val="es-CR"/>
        </w:rPr>
        <w:t xml:space="preserve"> el Decreto Ejecutivo N°43270-MEIC del 22 de octubre 2021, adicionando el artículo 7bis al Reglamento de las Operaciones Financieras, Comerciales y Microcréditos</w:t>
      </w:r>
      <w:r w:rsidRPr="007820C2" w:rsidR="007820C2">
        <w:rPr>
          <w:rFonts w:eastAsiaTheme="minorHAnsi" w:cstheme="minorBidi"/>
          <w:szCs w:val="22"/>
          <w:lang w:val="es-CR"/>
        </w:rPr>
        <w:t>,</w:t>
      </w:r>
      <w:r w:rsidRPr="00153958" w:rsidR="00153958">
        <w:rPr>
          <w:rFonts w:eastAsiaTheme="minorHAnsi" w:cstheme="minorBidi"/>
          <w:szCs w:val="22"/>
          <w:lang w:val="es-CR"/>
        </w:rPr>
        <w:t xml:space="preserve"> </w:t>
      </w:r>
      <w:r w:rsidRPr="007820C2" w:rsidR="007820C2">
        <w:rPr>
          <w:rFonts w:eastAsiaTheme="minorHAnsi" w:cstheme="minorBidi"/>
          <w:szCs w:val="22"/>
          <w:lang w:val="es-CR"/>
        </w:rPr>
        <w:t>s</w:t>
      </w:r>
      <w:r w:rsidRPr="00153958" w:rsidR="007820C2">
        <w:rPr>
          <w:rFonts w:eastAsiaTheme="minorHAnsi" w:cstheme="minorBidi"/>
          <w:szCs w:val="22"/>
          <w:lang w:val="es-CR"/>
        </w:rPr>
        <w:t xml:space="preserve">obre la metodología de cálculo de la </w:t>
      </w:r>
      <w:r w:rsidRPr="007820C2" w:rsidR="007820C2">
        <w:rPr>
          <w:rFonts w:eastAsiaTheme="minorHAnsi" w:cstheme="minorBidi"/>
          <w:szCs w:val="22"/>
          <w:lang w:val="es-CR"/>
        </w:rPr>
        <w:t>t</w:t>
      </w:r>
      <w:r w:rsidRPr="00153958" w:rsidR="007820C2">
        <w:rPr>
          <w:rFonts w:eastAsiaTheme="minorHAnsi" w:cstheme="minorBidi"/>
          <w:szCs w:val="22"/>
          <w:lang w:val="es-CR"/>
        </w:rPr>
        <w:t xml:space="preserve">asa de </w:t>
      </w:r>
      <w:r w:rsidRPr="007820C2" w:rsidR="007820C2">
        <w:rPr>
          <w:rFonts w:eastAsiaTheme="minorHAnsi" w:cstheme="minorBidi"/>
          <w:szCs w:val="22"/>
          <w:lang w:val="es-CR"/>
        </w:rPr>
        <w:t>i</w:t>
      </w:r>
      <w:r w:rsidRPr="00153958" w:rsidR="007820C2">
        <w:rPr>
          <w:rFonts w:eastAsiaTheme="minorHAnsi" w:cstheme="minorBidi"/>
          <w:szCs w:val="22"/>
          <w:lang w:val="es-CR"/>
        </w:rPr>
        <w:t xml:space="preserve">nterés </w:t>
      </w:r>
      <w:r w:rsidRPr="007820C2" w:rsidR="007820C2">
        <w:rPr>
          <w:rFonts w:eastAsiaTheme="minorHAnsi" w:cstheme="minorBidi"/>
          <w:szCs w:val="22"/>
          <w:lang w:val="es-CR"/>
        </w:rPr>
        <w:t>t</w:t>
      </w:r>
      <w:r w:rsidRPr="00153958" w:rsidR="007820C2">
        <w:rPr>
          <w:rFonts w:eastAsiaTheme="minorHAnsi" w:cstheme="minorBidi"/>
          <w:szCs w:val="22"/>
          <w:lang w:val="es-CR"/>
        </w:rPr>
        <w:t xml:space="preserve">otal </w:t>
      </w:r>
      <w:r w:rsidRPr="007820C2" w:rsidR="007820C2">
        <w:rPr>
          <w:rFonts w:eastAsiaTheme="minorHAnsi" w:cstheme="minorBidi"/>
          <w:szCs w:val="22"/>
          <w:lang w:val="es-CR"/>
        </w:rPr>
        <w:t>a</w:t>
      </w:r>
      <w:r w:rsidRPr="00153958" w:rsidR="007820C2">
        <w:rPr>
          <w:rFonts w:eastAsiaTheme="minorHAnsi" w:cstheme="minorBidi"/>
          <w:szCs w:val="22"/>
          <w:lang w:val="es-CR"/>
        </w:rPr>
        <w:t>nual</w:t>
      </w:r>
      <w:r w:rsidRPr="007820C2" w:rsidR="007820C2">
        <w:rPr>
          <w:rFonts w:eastAsiaTheme="minorHAnsi" w:cstheme="minorBidi"/>
          <w:szCs w:val="22"/>
          <w:lang w:val="es-CR"/>
        </w:rPr>
        <w:t>.</w:t>
      </w:r>
    </w:p>
    <w:p w:rsidRPr="00153958" w:rsidR="00153958" w:rsidP="00153958" w:rsidRDefault="00153958" w14:paraId="4FBA3A03" w14:textId="77777777">
      <w:pPr>
        <w:autoSpaceDE w:val="0"/>
        <w:autoSpaceDN w:val="0"/>
        <w:adjustRightInd w:val="0"/>
        <w:spacing w:line="240" w:lineRule="auto"/>
        <w:rPr>
          <w:szCs w:val="22"/>
          <w:lang w:val="es-CR"/>
        </w:rPr>
      </w:pPr>
    </w:p>
    <w:p w:rsidRPr="00153958" w:rsidR="00153958" w:rsidP="00153958" w:rsidRDefault="00153958" w14:paraId="365074CF" w14:textId="77777777">
      <w:pPr>
        <w:rPr>
          <w:rFonts w:eastAsiaTheme="minorHAnsi"/>
          <w:szCs w:val="22"/>
        </w:rPr>
      </w:pPr>
      <w:r w:rsidRPr="00153958">
        <w:rPr>
          <w:szCs w:val="22"/>
        </w:rPr>
        <w:t>Dispone:</w:t>
      </w:r>
    </w:p>
    <w:p w:rsidRPr="00153958" w:rsidR="00153958" w:rsidP="00153958" w:rsidRDefault="00153958" w14:paraId="479DFC5F" w14:textId="77777777">
      <w:pPr>
        <w:rPr>
          <w:rFonts w:ascii="Calibri" w:hAnsi="Calibri"/>
          <w:szCs w:val="22"/>
        </w:rPr>
      </w:pPr>
    </w:p>
    <w:p w:rsidRPr="00153958" w:rsidR="00153958" w:rsidP="00153958" w:rsidRDefault="00153958" w14:paraId="12E793D1" w14:textId="498F9494">
      <w:pPr>
        <w:numPr>
          <w:ilvl w:val="0"/>
          <w:numId w:val="6"/>
        </w:numPr>
        <w:autoSpaceDE w:val="0"/>
        <w:autoSpaceDN w:val="0"/>
        <w:adjustRightInd w:val="0"/>
        <w:spacing w:line="240" w:lineRule="auto"/>
        <w:contextualSpacing/>
        <w:rPr>
          <w:rFonts w:eastAsiaTheme="minorHAnsi" w:cstheme="minorBidi"/>
          <w:szCs w:val="22"/>
          <w:lang w:val="es-CR"/>
        </w:rPr>
      </w:pPr>
      <w:r w:rsidRPr="00153958">
        <w:rPr>
          <w:rFonts w:eastAsiaTheme="minorHAnsi" w:cstheme="minorBidi"/>
          <w:szCs w:val="22"/>
          <w:lang w:val="es-CR"/>
        </w:rPr>
        <w:t xml:space="preserve">Solicitar el campo </w:t>
      </w:r>
      <w:r w:rsidRPr="00153958">
        <w:rPr>
          <w:rFonts w:eastAsiaTheme="minorHAnsi" w:cstheme="minorBidi"/>
          <w:i/>
          <w:iCs/>
          <w:szCs w:val="22"/>
          <w:lang w:val="es-CR"/>
        </w:rPr>
        <w:t>TasaLey7472</w:t>
      </w:r>
      <w:r w:rsidRPr="00153958">
        <w:rPr>
          <w:rFonts w:eastAsiaTheme="minorHAnsi" w:cstheme="minorBidi"/>
          <w:szCs w:val="22"/>
          <w:lang w:val="es-CR"/>
        </w:rPr>
        <w:t xml:space="preserve"> en el archivo Operaciones Crediticias (Archivo 303) con los siguientes atributos:</w:t>
      </w:r>
    </w:p>
    <w:p w:rsidRPr="00153958" w:rsidR="00153958" w:rsidP="00153958" w:rsidRDefault="00153958" w14:paraId="591E8175" w14:textId="77777777">
      <w:pPr>
        <w:spacing w:after="160" w:line="252" w:lineRule="auto"/>
        <w:ind w:left="709"/>
        <w:contextualSpacing/>
        <w:rPr>
          <w:rFonts w:eastAsiaTheme="minorHAnsi" w:cstheme="minorBidi"/>
          <w:szCs w:val="22"/>
          <w:lang w:val="es-CR"/>
        </w:rPr>
      </w:pP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96"/>
        <w:gridCol w:w="1276"/>
        <w:gridCol w:w="1276"/>
        <w:gridCol w:w="850"/>
        <w:gridCol w:w="3085"/>
        <w:gridCol w:w="1310"/>
      </w:tblGrid>
      <w:tr w:rsidRPr="00153958" w:rsidR="00153958" w:rsidTr="00EA2BDE" w14:paraId="181BD880" w14:textId="77777777">
        <w:trPr>
          <w:tblHeader/>
          <w:jc w:val="center"/>
        </w:trPr>
        <w:tc>
          <w:tcPr>
            <w:tcW w:w="1696" w:type="dxa"/>
            <w:shd w:val="clear" w:color="auto" w:fill="002060"/>
            <w:vAlign w:val="center"/>
          </w:tcPr>
          <w:p w:rsidRPr="00153958" w:rsidR="00153958" w:rsidP="00153958" w:rsidRDefault="00153958" w14:paraId="025938C1"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Nombre del Tag</w:t>
            </w:r>
          </w:p>
        </w:tc>
        <w:tc>
          <w:tcPr>
            <w:tcW w:w="1276" w:type="dxa"/>
            <w:shd w:val="clear" w:color="auto" w:fill="002060"/>
            <w:vAlign w:val="center"/>
          </w:tcPr>
          <w:p w:rsidRPr="00153958" w:rsidR="00153958" w:rsidP="00153958" w:rsidRDefault="00153958" w14:paraId="33E2F006"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Tipo del Dato</w:t>
            </w:r>
          </w:p>
        </w:tc>
        <w:tc>
          <w:tcPr>
            <w:tcW w:w="1276" w:type="dxa"/>
            <w:shd w:val="clear" w:color="auto" w:fill="002060"/>
            <w:vAlign w:val="center"/>
          </w:tcPr>
          <w:p w:rsidRPr="00153958" w:rsidR="00153958" w:rsidP="00153958" w:rsidRDefault="00153958" w14:paraId="241EDA98"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Tamaño - formato</w:t>
            </w:r>
          </w:p>
        </w:tc>
        <w:tc>
          <w:tcPr>
            <w:tcW w:w="850" w:type="dxa"/>
            <w:shd w:val="clear" w:color="auto" w:fill="002060"/>
            <w:vAlign w:val="center"/>
          </w:tcPr>
          <w:p w:rsidRPr="00153958" w:rsidR="00153958" w:rsidP="00153958" w:rsidRDefault="00153958" w14:paraId="4EB4BD7A"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Estado</w:t>
            </w:r>
          </w:p>
        </w:tc>
        <w:tc>
          <w:tcPr>
            <w:tcW w:w="3085" w:type="dxa"/>
            <w:shd w:val="clear" w:color="auto" w:fill="002060"/>
            <w:vAlign w:val="center"/>
          </w:tcPr>
          <w:p w:rsidRPr="00153958" w:rsidR="00153958" w:rsidP="00153958" w:rsidRDefault="00153958" w14:paraId="06D5DD5F"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Descripción</w:t>
            </w:r>
          </w:p>
        </w:tc>
        <w:tc>
          <w:tcPr>
            <w:tcW w:w="1310" w:type="dxa"/>
            <w:shd w:val="clear" w:color="auto" w:fill="002060"/>
            <w:vAlign w:val="center"/>
          </w:tcPr>
          <w:p w:rsidRPr="00153958" w:rsidR="00153958" w:rsidP="00153958" w:rsidRDefault="00153958" w14:paraId="559A3624"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Obligatorio</w:t>
            </w:r>
          </w:p>
        </w:tc>
      </w:tr>
      <w:tr w:rsidRPr="00153958" w:rsidR="00153958" w:rsidTr="00EA2BDE" w14:paraId="6895CEB4" w14:textId="77777777">
        <w:trPr>
          <w:jc w:val="center"/>
        </w:trPr>
        <w:tc>
          <w:tcPr>
            <w:tcW w:w="1696"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7F4D5CAB" w14:textId="77777777">
            <w:pPr>
              <w:spacing w:line="240" w:lineRule="auto"/>
              <w:jc w:val="left"/>
              <w:rPr>
                <w:rFonts w:cstheme="minorHAnsi"/>
                <w:sz w:val="20"/>
                <w:szCs w:val="20"/>
                <w:lang w:val="es-CR"/>
              </w:rPr>
            </w:pPr>
            <w:bookmarkStart w:name="_Hlk128070190" w:id="0"/>
            <w:r w:rsidRPr="00153958">
              <w:rPr>
                <w:rFonts w:cstheme="minorHAnsi"/>
                <w:sz w:val="20"/>
                <w:szCs w:val="20"/>
                <w:lang w:val="es-CR"/>
              </w:rPr>
              <w:t>TasaLey7472</w:t>
            </w:r>
          </w:p>
        </w:tc>
        <w:tc>
          <w:tcPr>
            <w:tcW w:w="1276"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55E918D6" w14:textId="77777777">
            <w:pPr>
              <w:spacing w:line="240" w:lineRule="auto"/>
              <w:jc w:val="center"/>
              <w:rPr>
                <w:rFonts w:cstheme="minorHAnsi"/>
                <w:sz w:val="20"/>
                <w:szCs w:val="20"/>
                <w:lang w:val="es-CR"/>
              </w:rPr>
            </w:pPr>
            <w:r w:rsidRPr="00153958">
              <w:rPr>
                <w:rFonts w:cstheme="minorHAnsi"/>
                <w:sz w:val="20"/>
                <w:szCs w:val="20"/>
                <w:lang w:val="es-CR"/>
              </w:rPr>
              <w:t>Numérico</w:t>
            </w:r>
          </w:p>
        </w:tc>
        <w:tc>
          <w:tcPr>
            <w:tcW w:w="1276"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6A6AA860" w14:textId="77777777">
            <w:pPr>
              <w:spacing w:line="240" w:lineRule="auto"/>
              <w:jc w:val="left"/>
              <w:rPr>
                <w:rFonts w:cstheme="minorHAnsi"/>
                <w:sz w:val="20"/>
                <w:szCs w:val="20"/>
                <w:lang w:val="es-CR"/>
              </w:rPr>
            </w:pPr>
            <w:r w:rsidRPr="00153958">
              <w:rPr>
                <w:rFonts w:cstheme="minorHAnsi"/>
                <w:sz w:val="20"/>
                <w:szCs w:val="20"/>
                <w:lang w:val="es-CR"/>
              </w:rPr>
              <w:t xml:space="preserve">1-3 enteros </w:t>
            </w:r>
          </w:p>
          <w:p w:rsidRPr="00153958" w:rsidR="00153958" w:rsidP="00153958" w:rsidRDefault="00153958" w14:paraId="18CA5487" w14:textId="77777777">
            <w:pPr>
              <w:spacing w:line="240" w:lineRule="auto"/>
              <w:jc w:val="left"/>
              <w:rPr>
                <w:rFonts w:cstheme="minorHAnsi"/>
                <w:sz w:val="20"/>
                <w:szCs w:val="20"/>
                <w:lang w:val="es-CR"/>
              </w:rPr>
            </w:pPr>
            <w:r w:rsidRPr="00153958">
              <w:rPr>
                <w:rFonts w:cstheme="minorHAnsi"/>
                <w:sz w:val="20"/>
                <w:szCs w:val="20"/>
                <w:lang w:val="es-CR"/>
              </w:rPr>
              <w:t>2 decimales</w:t>
            </w:r>
          </w:p>
        </w:tc>
        <w:tc>
          <w:tcPr>
            <w:tcW w:w="850"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251976DE" w14:textId="77777777">
            <w:pPr>
              <w:spacing w:line="240" w:lineRule="auto"/>
              <w:jc w:val="left"/>
              <w:rPr>
                <w:rFonts w:eastAsia="Arial Japanese" w:cstheme="minorHAnsi"/>
                <w:sz w:val="20"/>
                <w:szCs w:val="20"/>
                <w:lang w:val="es-CR"/>
              </w:rPr>
            </w:pPr>
            <w:r w:rsidRPr="00153958">
              <w:rPr>
                <w:rFonts w:eastAsia="Arial Japanese" w:cstheme="minorHAnsi"/>
                <w:sz w:val="20"/>
                <w:szCs w:val="20"/>
                <w:lang w:val="es-CR"/>
              </w:rPr>
              <w:t>Activo</w:t>
            </w:r>
          </w:p>
        </w:tc>
        <w:tc>
          <w:tcPr>
            <w:tcW w:w="3085"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5CF1E27C" w14:textId="6C71AA03">
            <w:pPr>
              <w:spacing w:line="240" w:lineRule="auto"/>
              <w:rPr>
                <w:sz w:val="20"/>
                <w:szCs w:val="20"/>
                <w:lang w:val="es-CR"/>
              </w:rPr>
            </w:pPr>
            <w:r w:rsidRPr="00153958">
              <w:rPr>
                <w:rFonts w:eastAsia="Arial Japanese" w:cstheme="minorHAnsi"/>
                <w:sz w:val="20"/>
                <w:szCs w:val="20"/>
                <w:lang w:val="es-CR"/>
              </w:rPr>
              <w:t xml:space="preserve">Corresponde a la tasa determinada por la entidad en cumplimiento de la Ley 7472- </w:t>
            </w:r>
            <w:r w:rsidRPr="00153958">
              <w:rPr>
                <w:sz w:val="20"/>
                <w:szCs w:val="20"/>
                <w:lang w:val="es-CR"/>
              </w:rPr>
              <w:t xml:space="preserve">Ley de Promoción de la Competencia y Defensa Efectiva del Consumidor y a lo establecido en el </w:t>
            </w:r>
            <w:r w:rsidR="007820C2">
              <w:rPr>
                <w:sz w:val="20"/>
                <w:szCs w:val="20"/>
                <w:lang w:val="es-CR"/>
              </w:rPr>
              <w:t>a</w:t>
            </w:r>
            <w:r w:rsidRPr="00153958">
              <w:rPr>
                <w:sz w:val="20"/>
                <w:szCs w:val="20"/>
                <w:lang w:val="es-CR"/>
              </w:rPr>
              <w:t>rtículo 7</w:t>
            </w:r>
            <w:r w:rsidR="007820C2">
              <w:rPr>
                <w:sz w:val="20"/>
                <w:szCs w:val="20"/>
                <w:lang w:val="es-CR"/>
              </w:rPr>
              <w:t>b</w:t>
            </w:r>
            <w:r w:rsidRPr="00153958">
              <w:rPr>
                <w:sz w:val="20"/>
                <w:szCs w:val="20"/>
                <w:lang w:val="es-CR"/>
              </w:rPr>
              <w:t>is del Decreto Ejecutivo N°43270 del MEIC.</w:t>
            </w:r>
          </w:p>
          <w:p w:rsidRPr="00153958" w:rsidR="00153958" w:rsidP="00153958" w:rsidRDefault="00153958" w14:paraId="468AA5F5" w14:textId="77777777">
            <w:pPr>
              <w:spacing w:line="240" w:lineRule="auto"/>
              <w:rPr>
                <w:sz w:val="20"/>
                <w:szCs w:val="20"/>
                <w:lang w:val="es-CR"/>
              </w:rPr>
            </w:pPr>
          </w:p>
          <w:p w:rsidRPr="00153958" w:rsidR="00153958" w:rsidP="00153958" w:rsidRDefault="00153958" w14:paraId="500D8BF5" w14:textId="1C72FD9C">
            <w:pPr>
              <w:spacing w:line="240" w:lineRule="auto"/>
              <w:rPr>
                <w:rFonts w:eastAsia="Arial Japanese" w:cstheme="minorHAnsi"/>
                <w:sz w:val="20"/>
                <w:szCs w:val="20"/>
                <w:lang w:val="es-CR"/>
              </w:rPr>
            </w:pPr>
            <w:r w:rsidRPr="00153958">
              <w:rPr>
                <w:sz w:val="20"/>
                <w:szCs w:val="20"/>
                <w:lang w:val="es-CR"/>
              </w:rPr>
              <w:t xml:space="preserve">Para el caso de las operaciones </w:t>
            </w:r>
            <w:r w:rsidR="007820C2">
              <w:rPr>
                <w:sz w:val="20"/>
                <w:szCs w:val="20"/>
                <w:lang w:val="es-CR"/>
              </w:rPr>
              <w:t>t</w:t>
            </w:r>
            <w:r w:rsidRPr="00153958">
              <w:rPr>
                <w:sz w:val="20"/>
                <w:szCs w:val="20"/>
                <w:lang w:val="es-CR"/>
              </w:rPr>
              <w:t xml:space="preserve">arjeta de </w:t>
            </w:r>
            <w:r w:rsidR="007820C2">
              <w:rPr>
                <w:sz w:val="20"/>
                <w:szCs w:val="20"/>
                <w:lang w:val="es-CR"/>
              </w:rPr>
              <w:t>c</w:t>
            </w:r>
            <w:r w:rsidRPr="00153958">
              <w:rPr>
                <w:sz w:val="20"/>
                <w:szCs w:val="20"/>
                <w:lang w:val="es-CR"/>
              </w:rPr>
              <w:t>rédito</w:t>
            </w:r>
            <w:r w:rsidR="007820C2">
              <w:rPr>
                <w:sz w:val="20"/>
                <w:szCs w:val="20"/>
                <w:lang w:val="es-CR"/>
              </w:rPr>
              <w:t>,</w:t>
            </w:r>
            <w:r w:rsidRPr="00153958">
              <w:rPr>
                <w:sz w:val="20"/>
                <w:szCs w:val="20"/>
                <w:lang w:val="es-CR"/>
              </w:rPr>
              <w:t xml:space="preserve"> este campo se actualiza mensualmente, ya que cada desembolso se considera una nueva formalización. Para el </w:t>
            </w:r>
            <w:r w:rsidRPr="00153958">
              <w:rPr>
                <w:sz w:val="20"/>
                <w:szCs w:val="20"/>
                <w:lang w:val="es-CR"/>
              </w:rPr>
              <w:lastRenderedPageBreak/>
              <w:t xml:space="preserve">resto de las operaciones se considera la tasa al momento de la </w:t>
            </w:r>
            <w:r w:rsidR="007820C2">
              <w:rPr>
                <w:sz w:val="20"/>
                <w:szCs w:val="20"/>
                <w:lang w:val="es-CR"/>
              </w:rPr>
              <w:t>constitución</w:t>
            </w:r>
            <w:r w:rsidRPr="00153958">
              <w:rPr>
                <w:sz w:val="20"/>
                <w:szCs w:val="20"/>
                <w:lang w:val="es-CR"/>
              </w:rPr>
              <w:t>.</w:t>
            </w:r>
          </w:p>
        </w:tc>
        <w:tc>
          <w:tcPr>
            <w:tcW w:w="1310" w:type="dxa"/>
            <w:tcBorders>
              <w:top w:val="single" w:color="auto" w:sz="4" w:space="0"/>
              <w:left w:val="single" w:color="auto" w:sz="4" w:space="0"/>
              <w:bottom w:val="single" w:color="auto" w:sz="4" w:space="0"/>
              <w:right w:val="single" w:color="auto" w:sz="4" w:space="0"/>
            </w:tcBorders>
          </w:tcPr>
          <w:p w:rsidRPr="00153958" w:rsidR="00153958" w:rsidP="00153958" w:rsidRDefault="00153958" w14:paraId="32BF1BAF" w14:textId="77777777">
            <w:pPr>
              <w:spacing w:line="240" w:lineRule="auto"/>
              <w:jc w:val="center"/>
              <w:rPr>
                <w:rFonts w:eastAsia="Arial Japanese" w:cstheme="minorHAnsi"/>
                <w:sz w:val="20"/>
                <w:szCs w:val="20"/>
                <w:lang w:val="es-CR"/>
              </w:rPr>
            </w:pPr>
            <w:r w:rsidRPr="00153958">
              <w:rPr>
                <w:rFonts w:eastAsia="Arial Japanese" w:cstheme="minorHAnsi"/>
                <w:sz w:val="20"/>
                <w:szCs w:val="20"/>
                <w:lang w:val="es-CR"/>
              </w:rPr>
              <w:lastRenderedPageBreak/>
              <w:t>NO</w:t>
            </w:r>
          </w:p>
        </w:tc>
      </w:tr>
      <w:bookmarkEnd w:id="0"/>
    </w:tbl>
    <w:p w:rsidRPr="00153958" w:rsidR="00153958" w:rsidP="00153958" w:rsidRDefault="00153958" w14:paraId="5627D031" w14:textId="77777777">
      <w:pPr>
        <w:spacing w:after="160" w:line="252" w:lineRule="auto"/>
        <w:ind w:left="450"/>
        <w:contextualSpacing/>
        <w:rPr>
          <w:rFonts w:eastAsiaTheme="minorHAnsi" w:cstheme="minorBidi"/>
          <w:b/>
          <w:bCs/>
          <w:color w:val="000000"/>
          <w:szCs w:val="22"/>
          <w:lang w:val="es-CR"/>
        </w:rPr>
      </w:pPr>
    </w:p>
    <w:p w:rsidRPr="00153958" w:rsidR="00153958" w:rsidP="007820C2" w:rsidRDefault="00153958" w14:paraId="506ACADB" w14:textId="77777777">
      <w:pPr>
        <w:numPr>
          <w:ilvl w:val="0"/>
          <w:numId w:val="6"/>
        </w:numPr>
        <w:spacing w:line="240" w:lineRule="auto"/>
        <w:rPr>
          <w:rFonts w:eastAsiaTheme="minorHAnsi" w:cstheme="minorBidi"/>
          <w:color w:val="000000" w:themeColor="text1"/>
          <w:szCs w:val="22"/>
          <w:lang w:val="es-CR"/>
        </w:rPr>
      </w:pPr>
      <w:r w:rsidRPr="00153958">
        <w:rPr>
          <w:rFonts w:eastAsiaTheme="minorHAnsi" w:cstheme="minorBidi"/>
          <w:color w:val="000000" w:themeColor="text1"/>
          <w:szCs w:val="22"/>
          <w:lang w:val="es-CR"/>
        </w:rPr>
        <w:t xml:space="preserve">Incorporar las siguientes validaciones al archivo de </w:t>
      </w:r>
      <w:r w:rsidRPr="00153958">
        <w:rPr>
          <w:rFonts w:eastAsiaTheme="minorHAnsi" w:cstheme="minorBidi"/>
          <w:i/>
          <w:iCs/>
          <w:color w:val="000000" w:themeColor="text1"/>
          <w:szCs w:val="22"/>
          <w:lang w:val="es-CR"/>
        </w:rPr>
        <w:t>Operaciones</w:t>
      </w:r>
      <w:r w:rsidRPr="00153958">
        <w:rPr>
          <w:rFonts w:eastAsiaTheme="minorHAnsi" w:cstheme="minorBidi"/>
          <w:color w:val="000000" w:themeColor="text1"/>
          <w:szCs w:val="22"/>
          <w:lang w:val="es-CR"/>
        </w:rPr>
        <w:t xml:space="preserve">: </w:t>
      </w:r>
    </w:p>
    <w:p w:rsidRPr="00153958" w:rsidR="00153958" w:rsidP="00153958" w:rsidRDefault="00153958" w14:paraId="2BF51258" w14:textId="77777777">
      <w:pPr>
        <w:spacing w:after="160" w:line="252" w:lineRule="auto"/>
        <w:ind w:left="450"/>
        <w:contextualSpacing/>
        <w:rPr>
          <w:rFonts w:eastAsiaTheme="minorHAnsi" w:cstheme="minorBidi"/>
          <w:b/>
          <w:bCs/>
          <w:color w:val="000000"/>
          <w:szCs w:val="22"/>
          <w:lang w:val="es-CR"/>
        </w:rPr>
      </w:pPr>
    </w:p>
    <w:p w:rsidRPr="00153958" w:rsidR="00153958" w:rsidP="00153958" w:rsidRDefault="00153958" w14:paraId="73CD8B30" w14:textId="5B908D55">
      <w:pPr>
        <w:numPr>
          <w:ilvl w:val="0"/>
          <w:numId w:val="7"/>
        </w:numPr>
        <w:autoSpaceDE w:val="0"/>
        <w:autoSpaceDN w:val="0"/>
        <w:adjustRightInd w:val="0"/>
        <w:spacing w:line="240" w:lineRule="auto"/>
        <w:contextualSpacing/>
        <w:rPr>
          <w:rFonts w:eastAsiaTheme="minorHAnsi" w:cstheme="minorBidi"/>
          <w:color w:val="000000" w:themeColor="text1"/>
          <w:szCs w:val="22"/>
          <w:lang w:val="es-CR"/>
        </w:rPr>
      </w:pPr>
      <w:r w:rsidRPr="00153958">
        <w:rPr>
          <w:rFonts w:eastAsiaTheme="minorHAnsi" w:cstheme="minorBidi"/>
          <w:color w:val="000000" w:themeColor="text1"/>
          <w:szCs w:val="22"/>
          <w:lang w:val="es-CR"/>
        </w:rPr>
        <w:t>Para per</w:t>
      </w:r>
      <w:r w:rsidR="007820C2">
        <w:rPr>
          <w:rFonts w:eastAsiaTheme="minorHAnsi" w:cstheme="minorBidi"/>
          <w:color w:val="000000" w:themeColor="text1"/>
          <w:szCs w:val="22"/>
          <w:lang w:val="es-CR"/>
        </w:rPr>
        <w:t>í</w:t>
      </w:r>
      <w:r w:rsidRPr="00153958">
        <w:rPr>
          <w:rFonts w:eastAsiaTheme="minorHAnsi" w:cstheme="minorBidi"/>
          <w:color w:val="000000" w:themeColor="text1"/>
          <w:szCs w:val="22"/>
          <w:lang w:val="es-CR"/>
        </w:rPr>
        <w:t xml:space="preserve">odos posteriores o iguales a febrero 2023, cuando el mes y año del campo </w:t>
      </w:r>
      <w:r w:rsidRPr="004A5028" w:rsidR="004A5028">
        <w:rPr>
          <w:rFonts w:eastAsiaTheme="minorHAnsi" w:cstheme="minorBidi"/>
          <w:i/>
          <w:iCs/>
          <w:color w:val="000000" w:themeColor="text1"/>
          <w:szCs w:val="22"/>
          <w:lang w:val="es-CR"/>
        </w:rPr>
        <w:t>F</w:t>
      </w:r>
      <w:r w:rsidRPr="00153958">
        <w:rPr>
          <w:rFonts w:eastAsiaTheme="minorHAnsi" w:cstheme="minorBidi"/>
          <w:i/>
          <w:iCs/>
          <w:color w:val="000000" w:themeColor="text1"/>
          <w:szCs w:val="22"/>
          <w:lang w:val="es-CR"/>
        </w:rPr>
        <w:t>echaFormalizacion</w:t>
      </w:r>
      <w:r w:rsidRPr="00153958">
        <w:rPr>
          <w:rFonts w:eastAsiaTheme="minorHAnsi" w:cstheme="minorBidi"/>
          <w:color w:val="000000" w:themeColor="text1"/>
          <w:szCs w:val="22"/>
          <w:lang w:val="es-CR"/>
        </w:rPr>
        <w:t xml:space="preserve"> es mayor o igual a febrero 2023 y el campo </w:t>
      </w:r>
      <w:r w:rsidRPr="00153958">
        <w:rPr>
          <w:rFonts w:eastAsiaTheme="minorHAnsi" w:cstheme="minorBidi"/>
          <w:i/>
          <w:iCs/>
          <w:color w:val="000000" w:themeColor="text1"/>
          <w:szCs w:val="22"/>
          <w:lang w:val="es-CR"/>
        </w:rPr>
        <w:t>CodigoTipoOperacion</w:t>
      </w:r>
      <w:r w:rsidRPr="00153958">
        <w:rPr>
          <w:rFonts w:eastAsiaTheme="minorHAnsi" w:cstheme="minorBidi"/>
          <w:color w:val="000000" w:themeColor="text1"/>
          <w:szCs w:val="22"/>
          <w:lang w:val="es-CR"/>
        </w:rPr>
        <w:t xml:space="preserve"> indica uno de los códigos 1, 2, 8 ó 9, el campo </w:t>
      </w:r>
      <w:r w:rsidRPr="00153958">
        <w:rPr>
          <w:rFonts w:eastAsiaTheme="minorHAnsi" w:cstheme="minorBidi"/>
          <w:i/>
          <w:iCs/>
          <w:color w:val="000000" w:themeColor="text1"/>
          <w:szCs w:val="22"/>
          <w:lang w:val="es-CR"/>
        </w:rPr>
        <w:t>TasaLey7472</w:t>
      </w:r>
      <w:r w:rsidRPr="00153958">
        <w:rPr>
          <w:rFonts w:eastAsiaTheme="minorHAnsi" w:cstheme="minorBidi"/>
          <w:color w:val="000000" w:themeColor="text1"/>
          <w:szCs w:val="22"/>
          <w:lang w:val="es-CR"/>
        </w:rPr>
        <w:t xml:space="preserve"> debe ser mayor a </w:t>
      </w:r>
      <w:r w:rsidRPr="00153958">
        <w:rPr>
          <w:rFonts w:eastAsiaTheme="minorHAnsi" w:cstheme="minorBidi"/>
          <w:i/>
          <w:iCs/>
          <w:color w:val="000000" w:themeColor="text1"/>
          <w:szCs w:val="22"/>
          <w:lang w:val="es-CR"/>
        </w:rPr>
        <w:t>0</w:t>
      </w:r>
      <w:r w:rsidRPr="00153958">
        <w:rPr>
          <w:rFonts w:eastAsiaTheme="minorHAnsi" w:cstheme="minorBidi"/>
          <w:color w:val="000000" w:themeColor="text1"/>
          <w:szCs w:val="22"/>
          <w:lang w:val="es-CR"/>
        </w:rPr>
        <w:t xml:space="preserve"> y a su vez igual </w:t>
      </w:r>
      <w:r w:rsidR="004A5028">
        <w:rPr>
          <w:rFonts w:eastAsiaTheme="minorHAnsi" w:cstheme="minorBidi"/>
          <w:color w:val="000000" w:themeColor="text1"/>
          <w:szCs w:val="22"/>
          <w:lang w:val="es-CR"/>
        </w:rPr>
        <w:t>o</w:t>
      </w:r>
      <w:r w:rsidRPr="00153958">
        <w:rPr>
          <w:rFonts w:eastAsiaTheme="minorHAnsi" w:cstheme="minorBidi"/>
          <w:color w:val="000000" w:themeColor="text1"/>
          <w:szCs w:val="22"/>
          <w:lang w:val="es-CR"/>
        </w:rPr>
        <w:t xml:space="preserve"> mayor al valor registrado en el campo </w:t>
      </w:r>
      <w:r w:rsidRPr="00153958">
        <w:rPr>
          <w:rFonts w:eastAsiaTheme="minorHAnsi" w:cstheme="minorBidi"/>
          <w:i/>
          <w:iCs/>
          <w:color w:val="000000" w:themeColor="text1"/>
          <w:szCs w:val="22"/>
          <w:lang w:val="es-CR"/>
        </w:rPr>
        <w:t>TasaInteresNominalVigente</w:t>
      </w:r>
      <w:r w:rsidRPr="00153958">
        <w:rPr>
          <w:rFonts w:eastAsiaTheme="minorHAnsi" w:cstheme="minorBidi"/>
          <w:color w:val="000000" w:themeColor="text1"/>
          <w:szCs w:val="22"/>
          <w:lang w:val="es-CR"/>
        </w:rPr>
        <w:t>.</w:t>
      </w:r>
    </w:p>
    <w:p w:rsidRPr="00153958" w:rsidR="00153958" w:rsidP="00153958" w:rsidRDefault="00153958" w14:paraId="2F61ACBF" w14:textId="77777777">
      <w:pPr>
        <w:spacing w:line="240" w:lineRule="auto"/>
        <w:ind w:left="810"/>
        <w:rPr>
          <w:rFonts w:eastAsia="Arial Japanese"/>
          <w:color w:val="000000" w:themeColor="text1"/>
          <w:sz w:val="24"/>
          <w:lang w:val="es-CR"/>
        </w:rPr>
      </w:pPr>
    </w:p>
    <w:p w:rsidR="00153958" w:rsidP="00153958" w:rsidRDefault="00153958" w14:paraId="512CDC0D" w14:textId="3BCB7D10">
      <w:pPr>
        <w:numPr>
          <w:ilvl w:val="0"/>
          <w:numId w:val="7"/>
        </w:numPr>
        <w:autoSpaceDE w:val="0"/>
        <w:autoSpaceDN w:val="0"/>
        <w:adjustRightInd w:val="0"/>
        <w:spacing w:line="240" w:lineRule="auto"/>
        <w:contextualSpacing/>
        <w:rPr>
          <w:rFonts w:eastAsiaTheme="minorHAnsi" w:cstheme="minorBidi"/>
          <w:color w:val="000000" w:themeColor="text1"/>
          <w:szCs w:val="22"/>
          <w:lang w:val="es-CR"/>
        </w:rPr>
      </w:pPr>
      <w:r w:rsidRPr="00153958">
        <w:rPr>
          <w:rFonts w:eastAsiaTheme="minorHAnsi" w:cstheme="minorBidi"/>
          <w:color w:val="000000" w:themeColor="text1"/>
          <w:szCs w:val="22"/>
          <w:lang w:val="es-CR"/>
        </w:rPr>
        <w:t>Para per</w:t>
      </w:r>
      <w:r w:rsidR="007820C2">
        <w:rPr>
          <w:rFonts w:eastAsiaTheme="minorHAnsi" w:cstheme="minorBidi"/>
          <w:color w:val="000000" w:themeColor="text1"/>
          <w:szCs w:val="22"/>
          <w:lang w:val="es-CR"/>
        </w:rPr>
        <w:t>í</w:t>
      </w:r>
      <w:r w:rsidRPr="00153958">
        <w:rPr>
          <w:rFonts w:eastAsiaTheme="minorHAnsi" w:cstheme="minorBidi"/>
          <w:color w:val="000000" w:themeColor="text1"/>
          <w:szCs w:val="22"/>
          <w:lang w:val="es-CR"/>
        </w:rPr>
        <w:t xml:space="preserve">odos posteriores o iguales a febrero 2023, cuando </w:t>
      </w:r>
      <w:r w:rsidRPr="00153958">
        <w:rPr>
          <w:rFonts w:eastAsiaTheme="minorHAnsi" w:cstheme="minorBidi"/>
          <w:i/>
          <w:iCs/>
          <w:color w:val="000000" w:themeColor="text1"/>
          <w:szCs w:val="22"/>
          <w:lang w:val="es-CR"/>
        </w:rPr>
        <w:t>CodigoTipoOperacion</w:t>
      </w:r>
      <w:r w:rsidRPr="00153958">
        <w:rPr>
          <w:rFonts w:eastAsiaTheme="minorHAnsi" w:cstheme="minorBidi"/>
          <w:color w:val="000000" w:themeColor="text1"/>
          <w:szCs w:val="22"/>
          <w:lang w:val="es-CR"/>
        </w:rPr>
        <w:t xml:space="preserve"> es 3 y el IdOperacion es diferente al IdLinea, y el </w:t>
      </w:r>
      <w:r w:rsidRPr="00153958">
        <w:rPr>
          <w:rFonts w:eastAsiaTheme="minorHAnsi" w:cstheme="minorBidi"/>
          <w:i/>
          <w:iCs/>
          <w:color w:val="000000" w:themeColor="text1"/>
          <w:szCs w:val="22"/>
          <w:lang w:val="es-CR"/>
        </w:rPr>
        <w:t>SaldoPrincipal</w:t>
      </w:r>
      <w:r w:rsidRPr="00153958">
        <w:rPr>
          <w:rFonts w:eastAsiaTheme="minorHAnsi" w:cstheme="minorBidi"/>
          <w:color w:val="000000" w:themeColor="text1"/>
          <w:szCs w:val="22"/>
          <w:lang w:val="es-CR"/>
        </w:rPr>
        <w:t xml:space="preserve"> o </w:t>
      </w:r>
      <w:r w:rsidRPr="00153958">
        <w:rPr>
          <w:rFonts w:eastAsiaTheme="minorHAnsi" w:cstheme="minorBidi"/>
          <w:i/>
          <w:iCs/>
          <w:color w:val="000000" w:themeColor="text1"/>
          <w:szCs w:val="22"/>
          <w:lang w:val="es-CR"/>
        </w:rPr>
        <w:t>SaldoProductos</w:t>
      </w:r>
      <w:r w:rsidRPr="00153958">
        <w:rPr>
          <w:rFonts w:eastAsiaTheme="minorHAnsi" w:cstheme="minorBidi"/>
          <w:color w:val="000000" w:themeColor="text1"/>
          <w:szCs w:val="22"/>
          <w:lang w:val="es-CR"/>
        </w:rPr>
        <w:t xml:space="preserve"> es mayor que cero debe reportarse el campo </w:t>
      </w:r>
      <w:r w:rsidRPr="00153958">
        <w:rPr>
          <w:rFonts w:eastAsiaTheme="minorHAnsi" w:cstheme="minorBidi"/>
          <w:i/>
          <w:iCs/>
          <w:color w:val="000000" w:themeColor="text1"/>
          <w:szCs w:val="22"/>
          <w:lang w:val="es-CR"/>
        </w:rPr>
        <w:t>TasaLey7472</w:t>
      </w:r>
      <w:r w:rsidRPr="00153958">
        <w:rPr>
          <w:rFonts w:eastAsiaTheme="minorHAnsi" w:cstheme="minorBidi"/>
          <w:color w:val="000000" w:themeColor="text1"/>
          <w:szCs w:val="22"/>
          <w:lang w:val="es-CR"/>
        </w:rPr>
        <w:t xml:space="preserve"> con un valor mayor a </w:t>
      </w:r>
      <w:r w:rsidRPr="00153958">
        <w:rPr>
          <w:rFonts w:eastAsiaTheme="minorHAnsi" w:cstheme="minorBidi"/>
          <w:i/>
          <w:iCs/>
          <w:color w:val="000000" w:themeColor="text1"/>
          <w:szCs w:val="22"/>
          <w:lang w:val="es-CR"/>
        </w:rPr>
        <w:t>0</w:t>
      </w:r>
      <w:r w:rsidRPr="00153958">
        <w:rPr>
          <w:rFonts w:eastAsiaTheme="minorHAnsi" w:cstheme="minorBidi"/>
          <w:color w:val="000000" w:themeColor="text1"/>
          <w:szCs w:val="22"/>
          <w:lang w:val="es-CR"/>
        </w:rPr>
        <w:t>.</w:t>
      </w:r>
    </w:p>
    <w:p w:rsidR="007820C2" w:rsidP="007820C2" w:rsidRDefault="007820C2" w14:paraId="2CA52D8A" w14:textId="77777777">
      <w:pPr>
        <w:pStyle w:val="Prrafodelista"/>
        <w:rPr>
          <w:rFonts w:eastAsiaTheme="minorHAnsi" w:cstheme="minorBidi"/>
          <w:color w:val="000000" w:themeColor="text1"/>
          <w:szCs w:val="22"/>
          <w:lang w:val="es-CR"/>
        </w:rPr>
      </w:pPr>
    </w:p>
    <w:p w:rsidRPr="00C9735C" w:rsidR="007820C2" w:rsidP="00C9735C" w:rsidRDefault="007820C2" w14:paraId="5DD1A14D" w14:textId="7E674DA8">
      <w:pPr>
        <w:pStyle w:val="Prrafodelista"/>
        <w:numPr>
          <w:ilvl w:val="0"/>
          <w:numId w:val="6"/>
        </w:numPr>
        <w:autoSpaceDE w:val="0"/>
        <w:autoSpaceDN w:val="0"/>
        <w:adjustRightInd w:val="0"/>
        <w:spacing w:line="240" w:lineRule="auto"/>
        <w:rPr>
          <w:rFonts w:eastAsiaTheme="minorHAnsi" w:cstheme="minorBidi"/>
          <w:color w:val="000000" w:themeColor="text1"/>
          <w:szCs w:val="22"/>
          <w:lang w:val="es-CR"/>
        </w:rPr>
      </w:pPr>
      <w:r>
        <w:rPr>
          <w:rFonts w:eastAsiaTheme="minorHAnsi" w:cstheme="minorBidi"/>
          <w:color w:val="000000" w:themeColor="text1"/>
          <w:szCs w:val="22"/>
          <w:lang w:val="es-CR"/>
        </w:rPr>
        <w:t xml:space="preserve">Lo anterior </w:t>
      </w:r>
      <w:r w:rsidR="00C9735C">
        <w:rPr>
          <w:rFonts w:eastAsiaTheme="minorHAnsi" w:cstheme="minorBidi"/>
          <w:color w:val="000000" w:themeColor="text1"/>
          <w:szCs w:val="22"/>
          <w:lang w:val="es-CR"/>
        </w:rPr>
        <w:t>implica que ello regirá a partir de la información remitida con corte a febrero 2023 y para las operaciones crediticias que se hayan formalizado a partir del 1° febrero de 2023.</w:t>
      </w:r>
    </w:p>
    <w:p w:rsidRPr="00153958" w:rsidR="00153958" w:rsidP="00153958" w:rsidRDefault="00153958" w14:paraId="6945C322" w14:textId="77777777">
      <w:pPr>
        <w:spacing w:line="240" w:lineRule="auto"/>
        <w:rPr>
          <w:rFonts w:eastAsia="Arial Japanese" w:cstheme="minorHAnsi"/>
          <w:sz w:val="24"/>
          <w:lang w:val="es-CR"/>
        </w:rPr>
      </w:pPr>
    </w:p>
    <w:p w:rsidRPr="00153958" w:rsidR="00153958" w:rsidP="00C9735C" w:rsidRDefault="00153958" w14:paraId="345BE72A" w14:textId="5A3F2CF3">
      <w:pPr>
        <w:pStyle w:val="Prrafodelista"/>
        <w:numPr>
          <w:ilvl w:val="0"/>
          <w:numId w:val="6"/>
        </w:numPr>
        <w:autoSpaceDE w:val="0"/>
        <w:autoSpaceDN w:val="0"/>
        <w:adjustRightInd w:val="0"/>
        <w:spacing w:line="240" w:lineRule="auto"/>
        <w:rPr>
          <w:rFonts w:eastAsiaTheme="minorHAnsi" w:cstheme="minorBidi"/>
          <w:color w:val="000000" w:themeColor="text1"/>
          <w:szCs w:val="22"/>
          <w:lang w:val="es-CR"/>
        </w:rPr>
      </w:pPr>
      <w:r w:rsidRPr="00153958">
        <w:rPr>
          <w:rFonts w:eastAsiaTheme="minorHAnsi" w:cstheme="minorBidi"/>
          <w:color w:val="000000" w:themeColor="text1"/>
          <w:szCs w:val="22"/>
          <w:lang w:val="es-CR"/>
        </w:rPr>
        <w:t>Informar que</w:t>
      </w:r>
      <w:r w:rsidR="00C9735C">
        <w:rPr>
          <w:rFonts w:eastAsiaTheme="minorHAnsi" w:cstheme="minorBidi"/>
          <w:color w:val="000000" w:themeColor="text1"/>
          <w:szCs w:val="22"/>
          <w:lang w:val="es-CR"/>
        </w:rPr>
        <w:t>,</w:t>
      </w:r>
      <w:r w:rsidRPr="00153958">
        <w:rPr>
          <w:rFonts w:eastAsiaTheme="minorHAnsi" w:cstheme="minorBidi"/>
          <w:color w:val="000000" w:themeColor="text1"/>
          <w:szCs w:val="22"/>
          <w:lang w:val="es-CR"/>
        </w:rPr>
        <w:t xml:space="preserve"> </w:t>
      </w:r>
      <w:r w:rsidR="00772566">
        <w:rPr>
          <w:rFonts w:eastAsiaTheme="minorHAnsi" w:cstheme="minorBidi"/>
          <w:color w:val="000000" w:themeColor="text1"/>
          <w:szCs w:val="22"/>
          <w:lang w:val="es-CR"/>
        </w:rPr>
        <w:t xml:space="preserve">a </w:t>
      </w:r>
      <w:r w:rsidRPr="00153958">
        <w:rPr>
          <w:rFonts w:eastAsiaTheme="minorHAnsi" w:cstheme="minorBidi"/>
          <w:color w:val="000000" w:themeColor="text1"/>
          <w:szCs w:val="22"/>
          <w:lang w:val="es-CR"/>
        </w:rPr>
        <w:t>más tardar el 27 de febrero</w:t>
      </w:r>
      <w:r w:rsidR="00C9735C">
        <w:rPr>
          <w:rFonts w:eastAsiaTheme="minorHAnsi" w:cstheme="minorBidi"/>
          <w:color w:val="000000" w:themeColor="text1"/>
          <w:szCs w:val="22"/>
          <w:lang w:val="es-CR"/>
        </w:rPr>
        <w:t xml:space="preserve"> de</w:t>
      </w:r>
      <w:r w:rsidRPr="00153958">
        <w:rPr>
          <w:rFonts w:eastAsiaTheme="minorHAnsi" w:cstheme="minorBidi"/>
          <w:color w:val="000000" w:themeColor="text1"/>
          <w:szCs w:val="22"/>
          <w:lang w:val="es-CR"/>
        </w:rPr>
        <w:t xml:space="preserve"> 2023, se publicará en la </w:t>
      </w:r>
      <w:r w:rsidR="00C9735C">
        <w:rPr>
          <w:rFonts w:eastAsiaTheme="minorHAnsi" w:cstheme="minorBidi"/>
          <w:color w:val="000000" w:themeColor="text1"/>
          <w:szCs w:val="22"/>
          <w:lang w:val="es-CR"/>
        </w:rPr>
        <w:t>s</w:t>
      </w:r>
      <w:r w:rsidRPr="00153958">
        <w:rPr>
          <w:rFonts w:eastAsiaTheme="minorHAnsi" w:cstheme="minorBidi"/>
          <w:color w:val="000000" w:themeColor="text1"/>
          <w:szCs w:val="22"/>
          <w:lang w:val="es-CR"/>
        </w:rPr>
        <w:t>ección</w:t>
      </w:r>
      <w:r w:rsidR="00C9735C">
        <w:rPr>
          <w:rFonts w:eastAsiaTheme="minorHAnsi" w:cstheme="minorBidi"/>
          <w:color w:val="000000" w:themeColor="text1"/>
          <w:szCs w:val="22"/>
          <w:lang w:val="es-CR"/>
        </w:rPr>
        <w:t xml:space="preserve"> de </w:t>
      </w:r>
      <w:r w:rsidRPr="00C9735C" w:rsidR="004A5028">
        <w:rPr>
          <w:rFonts w:eastAsiaTheme="minorHAnsi" w:cstheme="minorBidi"/>
          <w:i/>
          <w:iCs/>
          <w:color w:val="000000" w:themeColor="text1"/>
          <w:szCs w:val="22"/>
          <w:lang w:val="es-CR"/>
        </w:rPr>
        <w:t>Información Relevante</w:t>
      </w:r>
      <w:r w:rsidR="00C9735C">
        <w:rPr>
          <w:rFonts w:eastAsiaTheme="minorHAnsi" w:cstheme="minorBidi"/>
          <w:i/>
          <w:iCs/>
          <w:color w:val="000000" w:themeColor="text1"/>
          <w:szCs w:val="22"/>
          <w:lang w:val="es-CR"/>
        </w:rPr>
        <w:t xml:space="preserve">, </w:t>
      </w:r>
      <w:r w:rsidRPr="00C9735C" w:rsidR="00C9735C">
        <w:rPr>
          <w:rFonts w:eastAsiaTheme="minorHAnsi" w:cstheme="minorBidi"/>
          <w:color w:val="000000" w:themeColor="text1"/>
          <w:szCs w:val="22"/>
          <w:lang w:val="es-CR"/>
        </w:rPr>
        <w:t>apartado</w:t>
      </w:r>
      <w:r w:rsidRPr="00C9735C" w:rsidR="00C9735C">
        <w:rPr>
          <w:rFonts w:eastAsiaTheme="minorHAnsi" w:cstheme="minorBidi"/>
          <w:i/>
          <w:iCs/>
          <w:color w:val="000000" w:themeColor="text1"/>
          <w:szCs w:val="22"/>
          <w:lang w:val="es-CR"/>
        </w:rPr>
        <w:t xml:space="preserve"> Manual de Información</w:t>
      </w:r>
      <w:r w:rsidRPr="00153958">
        <w:rPr>
          <w:rFonts w:eastAsiaTheme="minorHAnsi" w:cstheme="minorBidi"/>
          <w:i/>
          <w:iCs/>
          <w:color w:val="000000" w:themeColor="text1"/>
          <w:szCs w:val="22"/>
          <w:lang w:val="es-CR"/>
        </w:rPr>
        <w:t xml:space="preserve"> SICVECA</w:t>
      </w:r>
      <w:r w:rsidRPr="00153958">
        <w:rPr>
          <w:rFonts w:eastAsiaTheme="minorHAnsi" w:cstheme="minorBidi"/>
          <w:color w:val="000000" w:themeColor="text1"/>
          <w:szCs w:val="22"/>
          <w:lang w:val="es-CR"/>
        </w:rPr>
        <w:t xml:space="preserve"> </w:t>
      </w:r>
      <w:r w:rsidR="00C9735C">
        <w:rPr>
          <w:rFonts w:eastAsiaTheme="minorHAnsi" w:cstheme="minorBidi"/>
          <w:color w:val="000000" w:themeColor="text1"/>
          <w:szCs w:val="22"/>
          <w:lang w:val="es-CR"/>
        </w:rPr>
        <w:t xml:space="preserve">localizados en </w:t>
      </w:r>
      <w:r w:rsidR="004A5028">
        <w:rPr>
          <w:rFonts w:eastAsiaTheme="minorHAnsi" w:cstheme="minorBidi"/>
          <w:color w:val="000000" w:themeColor="text1"/>
          <w:szCs w:val="22"/>
          <w:lang w:val="es-CR"/>
        </w:rPr>
        <w:t xml:space="preserve">el </w:t>
      </w:r>
      <w:r w:rsidRPr="00153958" w:rsidR="004A5028">
        <w:rPr>
          <w:rFonts w:eastAsiaTheme="minorHAnsi" w:cstheme="minorBidi"/>
          <w:color w:val="000000" w:themeColor="text1"/>
          <w:szCs w:val="22"/>
          <w:lang w:val="es-CR"/>
        </w:rPr>
        <w:t>sitio</w:t>
      </w:r>
      <w:r w:rsidRPr="00153958">
        <w:rPr>
          <w:rFonts w:eastAsiaTheme="minorHAnsi" w:cstheme="minorBidi"/>
          <w:color w:val="000000" w:themeColor="text1"/>
          <w:szCs w:val="22"/>
          <w:lang w:val="es-CR"/>
        </w:rPr>
        <w:t xml:space="preserve"> WEB</w:t>
      </w:r>
      <w:r w:rsidR="00C9735C">
        <w:rPr>
          <w:rFonts w:eastAsiaTheme="minorHAnsi" w:cstheme="minorBidi"/>
          <w:color w:val="000000" w:themeColor="text1"/>
          <w:szCs w:val="22"/>
          <w:lang w:val="es-CR"/>
        </w:rPr>
        <w:t xml:space="preserve"> de </w:t>
      </w:r>
      <w:r w:rsidR="004A5028">
        <w:rPr>
          <w:rFonts w:eastAsiaTheme="minorHAnsi" w:cstheme="minorBidi"/>
          <w:color w:val="000000" w:themeColor="text1"/>
          <w:szCs w:val="22"/>
          <w:lang w:val="es-CR"/>
        </w:rPr>
        <w:t xml:space="preserve">esta </w:t>
      </w:r>
      <w:r w:rsidRPr="00153958" w:rsidR="004A5028">
        <w:rPr>
          <w:rFonts w:eastAsiaTheme="minorHAnsi" w:cstheme="minorBidi"/>
          <w:color w:val="000000" w:themeColor="text1"/>
          <w:szCs w:val="22"/>
          <w:lang w:val="es-CR"/>
        </w:rPr>
        <w:t>Superintendencia, los</w:t>
      </w:r>
      <w:r w:rsidRPr="00153958">
        <w:rPr>
          <w:rFonts w:eastAsiaTheme="minorHAnsi" w:cstheme="minorBidi"/>
          <w:color w:val="000000" w:themeColor="text1"/>
          <w:szCs w:val="22"/>
          <w:lang w:val="es-CR"/>
        </w:rPr>
        <w:t xml:space="preserve"> archivos descargables XML y XSD correspondientes. El Manual de la Clase de Datos (3) de Operaciones Crediticias con los cambios referidos se estará publicando posteriormente. El enlace</w:t>
      </w:r>
      <w:r w:rsidR="00C9735C">
        <w:rPr>
          <w:rFonts w:eastAsiaTheme="minorHAnsi" w:cstheme="minorBidi"/>
          <w:color w:val="000000" w:themeColor="text1"/>
          <w:szCs w:val="22"/>
          <w:lang w:val="es-CR"/>
        </w:rPr>
        <w:t xml:space="preserve"> indicado</w:t>
      </w:r>
      <w:r w:rsidRPr="00153958">
        <w:rPr>
          <w:rFonts w:eastAsiaTheme="minorHAnsi" w:cstheme="minorBidi"/>
          <w:color w:val="000000" w:themeColor="text1"/>
          <w:szCs w:val="22"/>
          <w:lang w:val="es-CR"/>
        </w:rPr>
        <w:t xml:space="preserve"> al sitio WEB es el siguiente: </w:t>
      </w:r>
    </w:p>
    <w:p w:rsidRPr="00153958" w:rsidR="00153958" w:rsidP="00C9735C" w:rsidRDefault="00E3519E" w14:paraId="1403259D" w14:textId="3E4E919B">
      <w:pPr>
        <w:spacing w:line="240" w:lineRule="auto"/>
        <w:ind w:left="284"/>
        <w:rPr>
          <w:rFonts w:eastAsiaTheme="minorHAnsi" w:cstheme="minorBidi"/>
          <w:szCs w:val="22"/>
          <w:lang w:val="es-CR"/>
        </w:rPr>
      </w:pPr>
      <w:hyperlink w:history="1" r:id="rId12">
        <w:r w:rsidRPr="00153958" w:rsidR="00153958">
          <w:rPr>
            <w:rFonts w:asciiTheme="minorHAnsi" w:hAnsiTheme="minorHAnsi" w:eastAsiaTheme="minorHAnsi" w:cstheme="minorBidi"/>
            <w:color w:val="0563C1"/>
            <w:szCs w:val="22"/>
            <w:u w:val="single"/>
            <w:lang w:val="es-CR"/>
          </w:rPr>
          <w:t>https://www.sugef.fi.cr/informacion_relevante/manuales/manual_de_informacion_sicveca.aspx</w:t>
        </w:r>
      </w:hyperlink>
    </w:p>
    <w:p w:rsidRPr="00153958" w:rsidR="00153958" w:rsidP="007820C2" w:rsidRDefault="00153958" w14:paraId="57C6C2AA" w14:textId="6734B096">
      <w:pPr>
        <w:numPr>
          <w:ilvl w:val="0"/>
          <w:numId w:val="6"/>
        </w:numPr>
        <w:spacing w:line="240" w:lineRule="auto"/>
        <w:rPr>
          <w:rFonts w:eastAsiaTheme="minorHAnsi" w:cstheme="minorBidi"/>
          <w:color w:val="000000" w:themeColor="text1"/>
          <w:szCs w:val="22"/>
          <w:lang w:val="es-CR"/>
        </w:rPr>
      </w:pPr>
      <w:r w:rsidRPr="00153958">
        <w:rPr>
          <w:rFonts w:eastAsiaTheme="minorHAnsi" w:cstheme="minorBidi"/>
          <w:color w:val="000000" w:themeColor="text1"/>
          <w:szCs w:val="22"/>
          <w:lang w:val="es-CR"/>
        </w:rPr>
        <w:t xml:space="preserve">Las consultas técnicas, sobre estos cambios deben realizarse únicamente a la dirección de correo: </w:t>
      </w:r>
      <w:hyperlink w:history="1" r:id="rId13">
        <w:r w:rsidRPr="00153958">
          <w:rPr>
            <w:rFonts w:eastAsiaTheme="minorHAnsi" w:cstheme="minorBidi"/>
            <w:b/>
            <w:bCs/>
            <w:color w:val="0070C0"/>
            <w:szCs w:val="22"/>
            <w:lang w:val="es-CR"/>
          </w:rPr>
          <w:t>consultassicvecacredito@sugef.fi.cr</w:t>
        </w:r>
      </w:hyperlink>
    </w:p>
    <w:p w:rsidR="00C9735C" w:rsidP="00181ABF" w:rsidRDefault="00C9735C" w14:paraId="7769D7DF" w14:textId="77777777">
      <w:pPr>
        <w:pStyle w:val="Texto"/>
        <w:spacing w:before="0" w:after="0" w:line="240" w:lineRule="auto"/>
        <w:rPr>
          <w:sz w:val="24"/>
        </w:rPr>
      </w:pPr>
    </w:p>
    <w:p w:rsidR="00C9735C" w:rsidP="00181ABF" w:rsidRDefault="00C9735C" w14:paraId="2B025C40" w14:textId="77777777">
      <w:pPr>
        <w:pStyle w:val="Texto"/>
        <w:spacing w:before="0" w:after="0" w:line="240" w:lineRule="auto"/>
        <w:rPr>
          <w:sz w:val="24"/>
        </w:rPr>
      </w:pPr>
    </w:p>
    <w:p w:rsidRPr="00C9735C" w:rsidR="00181ABF" w:rsidP="00181ABF" w:rsidRDefault="00C9735C" w14:paraId="5CFAB8D2" w14:textId="0188CDBC">
      <w:pPr>
        <w:pStyle w:val="Texto"/>
        <w:spacing w:before="0" w:after="0" w:line="240" w:lineRule="auto"/>
        <w:rPr>
          <w:szCs w:val="22"/>
        </w:rPr>
      </w:pPr>
      <w:r w:rsidRPr="00C9735C">
        <w:rPr>
          <w:noProof/>
          <w:szCs w:val="22"/>
          <w:lang w:val="es-CR" w:eastAsia="es-CR"/>
        </w:rPr>
        <w:drawing>
          <wp:anchor distT="0" distB="0" distL="114300" distR="114300" simplePos="0" relativeHeight="251659264" behindDoc="1" locked="0" layoutInCell="1" allowOverlap="1" wp14:editId="7FBC79E1" wp14:anchorId="09CBBE70">
            <wp:simplePos x="0" y="0"/>
            <wp:positionH relativeFrom="column">
              <wp:posOffset>-163830</wp:posOffset>
            </wp:positionH>
            <wp:positionV relativeFrom="paragraph">
              <wp:posOffset>182880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9735C" w:rsidR="00181ABF">
        <w:rPr>
          <w:szCs w:val="22"/>
        </w:rPr>
        <w:t>Atentamente,</w:t>
      </w:r>
    </w:p>
    <w:p w:rsidRPr="00C9735C" w:rsidR="00181ABF" w:rsidP="00181ABF" w:rsidRDefault="00181ABF" w14:paraId="1991342C" w14:textId="42E5B620">
      <w:pPr>
        <w:spacing w:line="240" w:lineRule="auto"/>
        <w:rPr>
          <w:szCs w:val="22"/>
        </w:rPr>
      </w:pPr>
    </w:p>
    <w:p w:rsidRPr="00C9735C" w:rsidR="00181ABF" w:rsidP="00181ABF" w:rsidRDefault="00181ABF" w14:paraId="728B3454" w14:textId="7BD55194">
      <w:pPr>
        <w:spacing w:line="240" w:lineRule="auto"/>
        <w:rPr>
          <w:szCs w:val="22"/>
        </w:rPr>
      </w:pPr>
    </w:p>
    <w:p w:rsidRPr="00C9735C" w:rsidR="00181ABF" w:rsidP="00181ABF" w:rsidRDefault="00181ABF" w14:paraId="61636B22" w14:textId="2EE9B21A">
      <w:pPr>
        <w:spacing w:after="160" w:line="259" w:lineRule="auto"/>
        <w:jc w:val="left"/>
        <w:rPr>
          <w:szCs w:val="22"/>
        </w:rPr>
      </w:pPr>
      <w:bookmarkStart w:name="_Hlk53758837" w:id="1"/>
      <w:r w:rsidRPr="00C9735C">
        <w:rPr>
          <w:szCs w:val="22"/>
        </w:rPr>
        <w:t>Rocío Aguilar Montoya</w:t>
      </w:r>
      <w:r w:rsidRPr="00C9735C">
        <w:rPr>
          <w:szCs w:val="22"/>
        </w:rPr>
        <w:br/>
      </w:r>
      <w:r w:rsidRPr="00C9735C">
        <w:rPr>
          <w:b/>
          <w:bCs/>
          <w:szCs w:val="22"/>
        </w:rPr>
        <w:t>Superintendente General</w:t>
      </w:r>
    </w:p>
    <w:bookmarkEnd w:id="1"/>
    <w:p w:rsidR="00090356" w:rsidP="00090356" w:rsidRDefault="00090356" w14:paraId="5C5046A6" w14:textId="583AE6BF">
      <w:pPr>
        <w:pStyle w:val="Negrita"/>
        <w:spacing w:line="240" w:lineRule="auto"/>
        <w:jc w:val="left"/>
        <w:rPr>
          <w:noProof/>
          <w:lang w:val="es-CR" w:eastAsia="es-CR"/>
        </w:rPr>
      </w:pPr>
    </w:p>
    <w:p w:rsidRPr="004A5028" w:rsidR="00181ABF" w:rsidP="00181ABF" w:rsidRDefault="004A5028" w14:paraId="0EB3291F" w14:textId="0C9A3468">
      <w:pPr>
        <w:pStyle w:val="Negrita"/>
        <w:spacing w:line="240" w:lineRule="auto"/>
        <w:rPr>
          <w:b w:val="0"/>
          <w:bCs/>
          <w:sz w:val="18"/>
          <w:szCs w:val="18"/>
        </w:rPr>
      </w:pPr>
      <w:r w:rsidRPr="004A5028">
        <w:rPr>
          <w:b w:val="0"/>
          <w:bCs/>
          <w:sz w:val="18"/>
          <w:szCs w:val="18"/>
        </w:rPr>
        <w:t>MHA/PSD/LAL/pjp</w:t>
      </w:r>
    </w:p>
    <w:p w:rsidR="00181ABF" w:rsidP="00181ABF" w:rsidRDefault="00181ABF" w14:paraId="0A3D4370" w14:textId="77777777">
      <w:pPr>
        <w:pStyle w:val="Negrita"/>
        <w:spacing w:line="240" w:lineRule="auto"/>
      </w:pPr>
    </w:p>
    <w:p w:rsidR="00181ABF" w:rsidP="00181ABF" w:rsidRDefault="00181ABF" w14:paraId="6B50C380" w14:textId="77777777">
      <w:pPr>
        <w:pStyle w:val="Negrita"/>
        <w:spacing w:line="240" w:lineRule="auto"/>
      </w:pPr>
    </w:p>
    <w:p w:rsidR="00E42AAC" w:rsidRDefault="00E42AAC" w14:paraId="2A9DFBA5" w14:textId="77777777"/>
    <w:sectPr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04D1" w14:textId="77777777" w:rsidR="008F1B4E" w:rsidRDefault="008F1B4E" w:rsidP="00181ABF">
      <w:pPr>
        <w:spacing w:line="240" w:lineRule="auto"/>
      </w:pPr>
      <w:r>
        <w:separator/>
      </w:r>
    </w:p>
  </w:endnote>
  <w:endnote w:type="continuationSeparator" w:id="0">
    <w:p w14:paraId="6E04F3EE" w14:textId="77777777" w:rsidR="008F1B4E" w:rsidRDefault="008F1B4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66" w:rsidRDefault="00772566" w14:paraId="43864C6C"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36C82991" w14:textId="77777777">
      <w:tc>
        <w:tcPr>
          <w:tcW w:w="2942" w:type="dxa"/>
        </w:tcPr>
        <w:p w:rsidR="00181ABF" w:rsidP="00181ABF" w:rsidRDefault="00320936" w14:paraId="20E6BB5C"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1AA7E594" wp14:anchorId="762593E6">
                    <wp:simplePos x="0" y="0"/>
                    <wp:positionH relativeFrom="page">
                      <wp:posOffset>0</wp:posOffset>
                    </wp:positionH>
                    <wp:positionV relativeFrom="page">
                      <wp:posOffset>9594215</wp:posOffset>
                    </wp:positionV>
                    <wp:extent cx="7772400" cy="273050"/>
                    <wp:effectExtent l="0" t="0" r="0" b="12700"/>
                    <wp:wrapNone/>
                    <wp:docPr id="2" name="MSIPCM24d74406a832f3580e6b2f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20936" w:rsidR="00320936" w:rsidP="00320936" w:rsidRDefault="00320936" w14:paraId="361F1E88" w14:textId="77777777">
                                <w:pPr>
                                  <w:jc w:val="center"/>
                                  <w:rPr>
                                    <w:rFonts w:ascii="Calibri" w:hAnsi="Calibri" w:cs="Calibri"/>
                                    <w:color w:val="000000"/>
                                    <w:sz w:val="20"/>
                                  </w:rPr>
                                </w:pPr>
                                <w:r w:rsidRPr="0032093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62593E6">
                    <v:stroke joinstyle="miter"/>
                    <v:path gradientshapeok="t" o:connecttype="rect"/>
                  </v:shapetype>
                  <v:shape id="MSIPCM24d74406a832f3580e6b2f65"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320936" w:rsidR="00320936" w:rsidP="00320936" w:rsidRDefault="00320936" w14:paraId="361F1E88" w14:textId="77777777">
                          <w:pPr>
                            <w:jc w:val="center"/>
                            <w:rPr>
                              <w:rFonts w:ascii="Calibri" w:hAnsi="Calibri" w:cs="Calibri"/>
                              <w:color w:val="000000"/>
                              <w:sz w:val="20"/>
                            </w:rPr>
                          </w:pPr>
                          <w:r w:rsidRPr="00320936">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4EAE6E98"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14D5A393" w14:textId="77777777">
          <w:pPr>
            <w:pStyle w:val="Piedepgina"/>
            <w:rPr>
              <w:b/>
              <w:color w:val="7F7F7F" w:themeColor="text1" w:themeTint="80"/>
              <w:sz w:val="16"/>
              <w:szCs w:val="16"/>
            </w:rPr>
          </w:pPr>
        </w:p>
      </w:tc>
      <w:tc>
        <w:tcPr>
          <w:tcW w:w="2943" w:type="dxa"/>
        </w:tcPr>
        <w:p w:rsidRPr="009349F3" w:rsidR="00181ABF" w:rsidP="00181ABF" w:rsidRDefault="00181ABF" w14:paraId="62F0F68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12E4E6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88238C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7EF776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66" w:rsidRDefault="00772566" w14:paraId="1DFB05A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263F" w14:textId="77777777" w:rsidR="008F1B4E" w:rsidRDefault="008F1B4E" w:rsidP="00181ABF">
      <w:pPr>
        <w:spacing w:line="240" w:lineRule="auto"/>
      </w:pPr>
      <w:r>
        <w:separator/>
      </w:r>
    </w:p>
  </w:footnote>
  <w:footnote w:type="continuationSeparator" w:id="0">
    <w:p w14:paraId="179C0095" w14:textId="77777777" w:rsidR="008F1B4E" w:rsidRDefault="008F1B4E"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66" w:rsidRDefault="00772566" w14:paraId="54175B2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ECA1572" w14:textId="77777777">
    <w:pPr>
      <w:pStyle w:val="Encabezado"/>
    </w:pPr>
  </w:p>
  <w:p w:rsidR="00181ABF" w:rsidP="00181ABF" w:rsidRDefault="00181ABF" w14:paraId="79A5701B" w14:textId="77777777">
    <w:pPr>
      <w:pStyle w:val="Encabezado"/>
      <w:jc w:val="center"/>
    </w:pPr>
    <w:r>
      <w:rPr>
        <w:noProof/>
        <w:lang w:val="es-CR" w:eastAsia="es-CR"/>
      </w:rPr>
      <w:drawing>
        <wp:inline distT="0" distB="0" distL="0" distR="0" wp14:anchorId="1026B5EE" wp14:editId="381E1C0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566" w:rsidRDefault="00772566" w14:paraId="2218203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5FC6A94"/>
    <w:multiLevelType w:val="hybridMultilevel"/>
    <w:tmpl w:val="6DD0335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5D429B"/>
    <w:multiLevelType w:val="hybridMultilevel"/>
    <w:tmpl w:val="B0DA1FE8"/>
    <w:lvl w:ilvl="0" w:tplc="51F2206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1343481"/>
    <w:multiLevelType w:val="hybridMultilevel"/>
    <w:tmpl w:val="8BC6CB3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356"/>
    <w:rsid w:val="00153958"/>
    <w:rsid w:val="00154D24"/>
    <w:rsid w:val="00181ABF"/>
    <w:rsid w:val="003125D2"/>
    <w:rsid w:val="003172BE"/>
    <w:rsid w:val="00320936"/>
    <w:rsid w:val="0036189A"/>
    <w:rsid w:val="00462A49"/>
    <w:rsid w:val="004A5028"/>
    <w:rsid w:val="004A72A6"/>
    <w:rsid w:val="00772566"/>
    <w:rsid w:val="007820C2"/>
    <w:rsid w:val="008F1B4E"/>
    <w:rsid w:val="00937EF0"/>
    <w:rsid w:val="00BE784E"/>
    <w:rsid w:val="00C612B2"/>
    <w:rsid w:val="00C9735C"/>
    <w:rsid w:val="00CF2E13"/>
    <w:rsid w:val="00D2422E"/>
    <w:rsid w:val="00D90222"/>
    <w:rsid w:val="00E3519E"/>
    <w:rsid w:val="00E42AAC"/>
    <w:rsid w:val="00F202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1DD5"/>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uiPriority w:val="34"/>
    <w:qFormat/>
    <w:rsid w:val="00154D24"/>
    <w:pPr>
      <w:ind w:left="720"/>
      <w:contextualSpacing/>
    </w:pPr>
  </w:style>
  <w:style w:type="character" w:customStyle="1" w:styleId="spelle">
    <w:name w:val="spelle"/>
    <w:basedOn w:val="Fuentedeprrafopredeter"/>
    <w:rsid w:val="0015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informacion_relevante/manuales/manual_de_informacion_sicvec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55413B"/>
    <w:rsid w:val="00981874"/>
    <w:rsid w:val="009F7D41"/>
    <w:rsid w:val="00A67E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fcqSlw54yuG/9jCnWEX2zWyOxrjia3HzUTIPd8Oj8XE=</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UVNjRL2aBm11PLeC3zzvLdlEL1TYx7DY0ekGd4htFXk=</DigestValue>
    </Reference>
  </SignedInfo>
  <SignatureValue>e0cmYpN1Hrsra8UGprq7Z3zRrVRnwTRoJW4htGUpAOH6U0iPRERLiq6GNipeBBSYU01XdLokc7KR
+h2VBpI7Lr5YsO36Xux9K0H0NwNlfAwKo3D0WrjnOLoMpDUm43nKfW1BofZoBYdK81KqFujU4tTr
ZC8eSAFEiaLncmH1upwilySehuF6sYTAkZjOEGVqWCxAtVBAIW2aCs+dcsQ29Fnj7GzTOwmrqZfa
6RPgR+sXmM+li3vIeDPBOAYA1mBY/SrZsFO6EsnL03l09K0ML2jpDBQxtiZULGWLZrkGp/bQobDK
8TLaPnValPfBi7rGRDmW2fptEiU78kAFZQWzQg==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sqYuMQD+t85zJtpfL42qMgspMFOPNLhrSLEBbjmQmjQ=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BP8PC58UondGu1ClLKxpMGfianw6p6ozxG4mneRIpTQ=</DigestValue>
      </Reference>
      <Reference URI="/word/endnotes.xml?ContentType=application/vnd.openxmlformats-officedocument.wordprocessingml.endnotes+xml">
        <DigestMethod Algorithm="http://www.w3.org/2001/04/xmlenc#sha256"/>
        <DigestValue>TmFsou06H4rIMJW1zuRXf66AQaYob4ESBIZyOyZZUu4=</DigestValue>
      </Reference>
      <Reference URI="/word/fontTable.xml?ContentType=application/vnd.openxmlformats-officedocument.wordprocessingml.fontTable+xml">
        <DigestMethod Algorithm="http://www.w3.org/2001/04/xmlenc#sha256"/>
        <DigestValue>LAW0Cbc6Pga3H9XTIxnf/BEIh2XT2mRaRWjKNufJNe8=</DigestValue>
      </Reference>
      <Reference URI="/word/footer1.xml?ContentType=application/vnd.openxmlformats-officedocument.wordprocessingml.footer+xml">
        <DigestMethod Algorithm="http://www.w3.org/2001/04/xmlenc#sha256"/>
        <DigestValue>k3yFJ5nQtHVKG+Zfab4eVCxcFHkMPOG1B5ZPbON1FT8=</DigestValue>
      </Reference>
      <Reference URI="/word/footer2.xml?ContentType=application/vnd.openxmlformats-officedocument.wordprocessingml.footer+xml">
        <DigestMethod Algorithm="http://www.w3.org/2001/04/xmlenc#sha256"/>
        <DigestValue>lIiQCdGZ71ytX7lRJQGG58ijXaesVJgJFHC0kl4y+PI=</DigestValue>
      </Reference>
      <Reference URI="/word/footer3.xml?ContentType=application/vnd.openxmlformats-officedocument.wordprocessingml.footer+xml">
        <DigestMethod Algorithm="http://www.w3.org/2001/04/xmlenc#sha256"/>
        <DigestValue>A4Wsf6iyOnFU8jOHHg6LfMCr7gNtutX2mpvs9pFzSOg=</DigestValue>
      </Reference>
      <Reference URI="/word/footnotes.xml?ContentType=application/vnd.openxmlformats-officedocument.wordprocessingml.footnotes+xml">
        <DigestMethod Algorithm="http://www.w3.org/2001/04/xmlenc#sha256"/>
        <DigestValue>NnN0oLe0Oux/0buAjv4UA4DexSorURtEr/fUQ8OtPXg=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LAW0Cbc6Pga3H9XTIxnf/BEIh2XT2mRaRWjKNufJNe8=</DigestValue>
      </Reference>
      <Reference URI="/word/glossary/settings.xml?ContentType=application/vnd.openxmlformats-officedocument.wordprocessingml.settings+xml">
        <DigestMethod Algorithm="http://www.w3.org/2001/04/xmlenc#sha256"/>
        <DigestValue>Dsd39inNxx5MNDcQtZDvidPy1Fz+Cn5JLluRaAn/VNA=</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hBBT933uCg5JtrJsrvmzcPWAIQ7292g3z271t200teI=</DigestValue>
      </Reference>
      <Reference URI="/word/header2.xml?ContentType=application/vnd.openxmlformats-officedocument.wordprocessingml.header+xml">
        <DigestMethod Algorithm="http://www.w3.org/2001/04/xmlenc#sha256"/>
        <DigestValue>K7JH3u1eW3hOQ9L79zoPEhm0B+AvhDUZnZkewgpxBzA=</DigestValue>
      </Reference>
      <Reference URI="/word/header3.xml?ContentType=application/vnd.openxmlformats-officedocument.wordprocessingml.header+xml">
        <DigestMethod Algorithm="http://www.w3.org/2001/04/xmlenc#sha256"/>
        <DigestValue>INeVwTubAwqcztjP8qGOghSqW+Jx/oFu634jXxv9EL8=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+u9R/Pb2gM42qVELguyu2fux6WSnfSV8Qlyo6XxBdLc=</DigestValue>
      </Reference>
      <Reference URI="/word/settings.xml?ContentType=application/vnd.openxmlformats-officedocument.wordprocessingml.settings+xml">
        <DigestMethod Algorithm="http://www.w3.org/2001/04/xmlenc#sha256"/>
        <DigestValue>z+/zBzfisH7rWdSAWo0QGAUOZiQSj3K7do07akMNBGI=</DigestValue>
      </Reference>
      <Reference URI="/word/styles.xml?ContentType=application/vnd.openxmlformats-officedocument.wordprocessingml.styles+xml">
        <DigestMethod Algorithm="http://www.w3.org/2001/04/xmlenc#sha256"/>
        <DigestValue>xrzHmHPOuySW7Jl9nRLjAfTMcWNof4I9/GM1FBHG/oQ=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2023-02-24T23:35:14Z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2023-02-24T23:35:14Z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1riUQ9dSfZrjA8A4bE75WQE7kILgS+u2Ggq+j83HKioCBBLytNAYDzIwMjMwMjI0MjMzNTE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dD3ThGON6wUI+dcL6C319nvE64M=</xd:ByKey>
                  </xd:ResponderID>
                  <xd:ProducedAt>2023-02-24T23:33:39Z</xd:ProducedAt>
                </xd:OCSPIdentifier>
                <xd:DigestAlgAndValue>
                  <DigestMethod Algorithm="http://www.w3.org/2001/04/xmlenc#sha256"/>
                  <DigestValue>xhs4noXqQ24OaPU3rhAO2RRf/gRH61e6FbkI4wfF3Bc=</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LOYD1890Ynq/SqN2TtkcJSGOuPtK1+6C4QKeCpSBhUCBBLytNEYDzIwMjMwMjI0MjMzNTE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2023-02-24T06:00:00+00:00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Informar sobre la reactivación del campo Tasa Ley 7472</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83ED0A6-A443-4232-8D0A-9AD3D67BF527}"/>
</file>

<file path=customXml/itemProps2.xml><?xml version="1.0" encoding="utf-8"?>
<ds:datastoreItem xmlns:ds="http://schemas.openxmlformats.org/officeDocument/2006/customXml" ds:itemID="{841303CF-A2AD-49F5-B11C-DAF6B00E4A53}">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b875e23b-67d9-4b2e-bdec-edacbf90b326"/>
    <ds:schemaRef ds:uri="http://www.w3.org/XML/1998/namespace"/>
  </ds:schemaRefs>
</ds:datastoreItem>
</file>

<file path=customXml/itemProps3.xml><?xml version="1.0" encoding="utf-8"?>
<ds:datastoreItem xmlns:ds="http://schemas.openxmlformats.org/officeDocument/2006/customXml" ds:itemID="{D13F2564-94B9-476A-ABBA-08C5A34F00B8}">
  <ds:schemaRefs>
    <ds:schemaRef ds:uri="Microsoft.SharePoint.Taxonomy.ContentTypeSync"/>
  </ds:schemaRefs>
</ds:datastoreItem>
</file>

<file path=customXml/itemProps4.xml><?xml version="1.0" encoding="utf-8"?>
<ds:datastoreItem xmlns:ds="http://schemas.openxmlformats.org/officeDocument/2006/customXml" ds:itemID="{896316EE-1406-45A6-A0F1-EA523361DC5D}"/>
</file>

<file path=customXml/itemProps5.xml><?xml version="1.0" encoding="utf-8"?>
<ds:datastoreItem xmlns:ds="http://schemas.openxmlformats.org/officeDocument/2006/customXml" ds:itemID="{8CEEC444-1EFF-4B14-952F-299DF375D3F5}"/>
</file>

<file path=customXml/itemProps6.xml><?xml version="1.0" encoding="utf-8"?>
<ds:datastoreItem xmlns:ds="http://schemas.openxmlformats.org/officeDocument/2006/customXml" ds:itemID="{89489095-5A73-4A5B-B89C-3A720D2F8E4D}"/>
</file>

<file path=docProps/app.xml><?xml version="1.0" encoding="utf-8"?>
<Properties xmlns="http://schemas.openxmlformats.org/officeDocument/2006/extended-properties" xmlns:vt="http://schemas.openxmlformats.org/officeDocument/2006/docPropsVTypes">
  <Template>Normal</Template>
  <TotalTime>106</TotalTime>
  <Pages>3</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cp:lastModifiedBy>
  <cp:revision>13</cp:revision>
  <dcterms:created xsi:type="dcterms:W3CDTF">2023-02-24T17:29:00Z</dcterms:created>
  <dcterms:modified xsi:type="dcterms:W3CDTF">2023-02-24T20:27:00Z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ConfidencialidadNueva">
    <vt:lpwstr>1;#Público|99c2402f-8ec3-4ca8-8024-be52e4e7f629</vt:lpwstr>
  </property>
  <property fmtid="{D5CDD505-2E9C-101B-9397-08002B2CF9AE}" pid="5" name="Disponibilidad">
    <vt:lpwstr>161;#Alta|7fca731c-4c62-4f1c-9061-e9f164c964b2</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2022-12-29T22:05:52Z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1ffe67c9-98b1-49ac-ba87-000005ed7bdc</vt:lpwstr>
  </property>
  <property fmtid="{D5CDD505-2E9C-101B-9397-08002B2CF9AE}" pid="17" name="MSIP_Label_b8b4be34-365a-4a68-b9fb-75c1b6874315_ContentBits">
    <vt:lpwstr>2</vt:lpwstr>
  </property>
  <property fmtid="{D5CDD505-2E9C-101B-9397-08002B2CF9AE}" pid="18" name="Order">
    <vt:r8>249600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f1fd9d7f-da86-405a-9476-87cbb240632e,4;769919c7-9da3-41ff-b395-8ac0bca7c92c,6;</vt:lpwstr>
  </property>
</Properties>
</file>