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2183" w:rsidR="003554C5" w:rsidP="00062183" w:rsidRDefault="00062183" w14:paraId="61A6174E" w14:textId="77777777">
      <w:pPr>
        <w:pStyle w:val="Texto0"/>
        <w:spacing w:before="0" w:after="0" w:line="240" w:lineRule="auto"/>
        <w:jc w:val="center"/>
        <w:rPr>
          <w:b/>
          <w:sz w:val="24"/>
        </w:rPr>
      </w:pPr>
      <w:r w:rsidRPr="00062183">
        <w:rPr>
          <w:b/>
          <w:sz w:val="24"/>
        </w:rPr>
        <w:t>CIRCULAR EXTERNA</w:t>
      </w:r>
    </w:p>
    <w:sdt>
      <w:sdtPr>
        <w:rPr>
          <w:sz w:val="24"/>
        </w:rPr>
        <w:alias w:val="Consecutivo"/>
        <w:tag w:val="Consecutivo"/>
        <w:id w:val="2052717023"/>
        <w:placeholder>
          <w:docPart w:val="2A17619CEA4747AFAE8E02C75A823483"/>
        </w:placeholder>
        <w:text/>
      </w:sdtPr>
      <w:sdtEndPr/>
      <w:sdtContent>
        <w:p w:rsidR="00E0013C" w:rsidP="00062183" w:rsidRDefault="00DB7D64" w14:paraId="3BD8E540" w14:textId="77777777">
          <w:pPr>
            <w:tabs>
              <w:tab w:val="left" w:pos="2843"/>
            </w:tabs>
            <w:spacing w:line="240" w:lineRule="auto"/>
            <w:jc w:val="center"/>
            <w:rPr>
              <w:sz w:val="24"/>
            </w:rPr>
          </w:pPr>
          <w:r>
            <w:t>SGF-0476-2019</w:t>
          </w:r>
        </w:p>
      </w:sdtContent>
    </w:sdt>
    <w:p w:rsidR="00062183" w:rsidP="00062183" w:rsidRDefault="004873F5" w14:paraId="0ADFA0E5" w14:textId="699A2001">
      <w:pPr>
        <w:tabs>
          <w:tab w:val="left" w:pos="2843"/>
        </w:tabs>
        <w:spacing w:line="240" w:lineRule="auto"/>
        <w:jc w:val="center"/>
        <w:rPr>
          <w:sz w:val="24"/>
        </w:rPr>
      </w:pPr>
      <w:r>
        <w:rPr>
          <w:sz w:val="24"/>
        </w:rPr>
        <w:t>1</w:t>
      </w:r>
      <w:r w:rsidR="00C05F7C">
        <w:rPr>
          <w:sz w:val="24"/>
        </w:rPr>
        <w:t>4</w:t>
      </w:r>
      <w:bookmarkStart w:name="_GoBack" w:id="0"/>
      <w:bookmarkEnd w:id="0"/>
      <w:r w:rsidR="00062183">
        <w:rPr>
          <w:sz w:val="24"/>
        </w:rPr>
        <w:t xml:space="preserve"> de </w:t>
      </w:r>
      <w:r w:rsidR="00DA54DF">
        <w:rPr>
          <w:sz w:val="24"/>
        </w:rPr>
        <w:t>f</w:t>
      </w:r>
      <w:r w:rsidR="00062183">
        <w:rPr>
          <w:sz w:val="24"/>
        </w:rPr>
        <w:t>e</w:t>
      </w:r>
      <w:r w:rsidR="00DA54DF">
        <w:rPr>
          <w:sz w:val="24"/>
        </w:rPr>
        <w:t>br</w:t>
      </w:r>
      <w:r w:rsidR="00062183">
        <w:rPr>
          <w:sz w:val="24"/>
        </w:rPr>
        <w:t>ero de 2019</w:t>
      </w:r>
    </w:p>
    <w:p w:rsidR="002A14D5" w:rsidP="00062183" w:rsidRDefault="00C05F7C" w14:paraId="402C2019" w14:textId="77777777">
      <w:pPr>
        <w:tabs>
          <w:tab w:val="left" w:pos="2843"/>
        </w:tabs>
        <w:spacing w:line="240" w:lineRule="auto"/>
        <w:jc w:val="center"/>
        <w:rPr>
          <w:sz w:val="24"/>
        </w:rPr>
      </w:pPr>
      <w:sdt>
        <w:sdtPr>
          <w:rPr>
            <w:sz w:val="24"/>
          </w:rPr>
          <w:alias w:val="Confidencialidad"/>
          <w:tag w:val="Confidencialidad"/>
          <w:id w:val="1447896894"/>
          <w:placeholder>
            <w:docPart w:val="2B35A4B79CE54F759ABABF6EC16599D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62183">
            <w:rPr>
              <w:sz w:val="24"/>
            </w:rPr>
            <w:t>SGF-PUBLICO</w:t>
          </w:r>
        </w:sdtContent>
      </w:sdt>
    </w:p>
    <w:p w:rsidR="003554C5" w:rsidP="00D26EDE" w:rsidRDefault="003554C5" w14:paraId="77D82DAE" w14:textId="77777777">
      <w:pPr>
        <w:tabs>
          <w:tab w:val="left" w:pos="2843"/>
        </w:tabs>
        <w:spacing w:line="240" w:lineRule="auto"/>
        <w:rPr>
          <w:sz w:val="24"/>
        </w:rPr>
      </w:pPr>
    </w:p>
    <w:p w:rsidR="004873F5" w:rsidP="004873F5" w:rsidRDefault="004873F5" w14:paraId="26184F52" w14:textId="77777777">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 xml:space="preserve">Dirigida a: </w:t>
      </w:r>
    </w:p>
    <w:p w:rsidR="004873F5" w:rsidP="004873F5" w:rsidRDefault="004873F5" w14:paraId="0DA7CDB7" w14:textId="77777777">
      <w:pPr>
        <w:widowControl w:val="0"/>
        <w:spacing w:line="240" w:lineRule="auto"/>
        <w:ind w:left="34" w:right="86"/>
        <w:outlineLvl w:val="0"/>
        <w:rPr>
          <w:rFonts w:asciiTheme="majorHAnsi" w:hAnsiTheme="majorHAnsi"/>
          <w:b/>
          <w:sz w:val="24"/>
          <w:lang w:val="es-CR"/>
        </w:rPr>
      </w:pPr>
    </w:p>
    <w:p w:rsidR="004873F5" w:rsidP="004873F5" w:rsidRDefault="004873F5" w14:paraId="798B9F8C"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Comerciales del Estado</w:t>
      </w:r>
    </w:p>
    <w:p w:rsidR="004873F5" w:rsidP="004873F5" w:rsidRDefault="004873F5" w14:paraId="7C74B54B"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Creados por Leyes Especiales</w:t>
      </w:r>
    </w:p>
    <w:p w:rsidR="004873F5" w:rsidP="004873F5" w:rsidRDefault="004873F5" w14:paraId="245BECC4"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Bancos Privados</w:t>
      </w:r>
    </w:p>
    <w:p w:rsidR="004873F5" w:rsidP="004873F5" w:rsidRDefault="004873F5" w14:paraId="7596F20B"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Empresas Financieras no Bancarias</w:t>
      </w:r>
    </w:p>
    <w:p w:rsidR="004873F5" w:rsidP="004873F5" w:rsidRDefault="004873F5" w14:paraId="3AD07DD7"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Otras Entidades Financieras</w:t>
      </w:r>
    </w:p>
    <w:p w:rsidR="004873F5" w:rsidP="004873F5" w:rsidRDefault="004873F5" w14:paraId="6B788608"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Organizaciones Cooperativas de Ahorro y Crédito</w:t>
      </w:r>
    </w:p>
    <w:p w:rsidR="004873F5" w:rsidP="004873F5" w:rsidRDefault="004873F5" w14:paraId="09BAD473"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Entidades Autorizadas del Sistema Financiera Nacional para la Vivienda</w:t>
      </w:r>
    </w:p>
    <w:p w:rsidR="004873F5" w:rsidP="004873F5" w:rsidRDefault="004873F5" w14:paraId="5F74F6D9" w14:textId="77777777">
      <w:pPr>
        <w:widowControl w:val="0"/>
        <w:spacing w:line="240" w:lineRule="auto"/>
        <w:ind w:left="34" w:right="86"/>
        <w:rPr>
          <w:rFonts w:asciiTheme="majorHAnsi" w:hAnsiTheme="majorHAnsi"/>
          <w:sz w:val="24"/>
          <w:lang w:val="es-CR"/>
        </w:rPr>
      </w:pPr>
    </w:p>
    <w:p w:rsidR="004873F5" w:rsidP="004873F5" w:rsidRDefault="004873F5" w14:paraId="252ED014" w14:textId="08E0CF39">
      <w:pPr>
        <w:pStyle w:val="Texto0"/>
        <w:spacing w:after="0" w:line="240" w:lineRule="auto"/>
        <w:rPr>
          <w:rFonts w:asciiTheme="majorHAnsi" w:hAnsiTheme="majorHAnsi"/>
          <w:sz w:val="24"/>
        </w:rPr>
      </w:pPr>
      <w:r>
        <w:rPr>
          <w:rFonts w:asciiTheme="majorHAnsi" w:hAnsiTheme="majorHAnsi"/>
          <w:b/>
          <w:sz w:val="24"/>
        </w:rPr>
        <w:t xml:space="preserve">Asunto: </w:t>
      </w:r>
      <w:r>
        <w:rPr>
          <w:rFonts w:asciiTheme="majorHAnsi" w:hAnsiTheme="majorHAnsi"/>
          <w:sz w:val="24"/>
        </w:rPr>
        <w:t>Variación de ponderaciones por Riesgo de Crédito. (Acuerdo SUGEF 3-06).</w:t>
      </w:r>
    </w:p>
    <w:p w:rsidR="004873F5" w:rsidP="004873F5" w:rsidRDefault="004873F5" w14:paraId="06BC8256" w14:textId="77777777">
      <w:pPr>
        <w:pStyle w:val="Texto0"/>
        <w:spacing w:after="0" w:line="240" w:lineRule="auto"/>
        <w:rPr>
          <w:rFonts w:asciiTheme="majorHAnsi" w:hAnsiTheme="majorHAnsi"/>
          <w:b/>
          <w:sz w:val="24"/>
        </w:rPr>
      </w:pPr>
    </w:p>
    <w:p w:rsidRPr="004873F5" w:rsidR="004873F5" w:rsidP="004873F5" w:rsidRDefault="004873F5" w14:paraId="27B1CC7C" w14:textId="4DCF30A2">
      <w:pPr>
        <w:spacing w:line="240" w:lineRule="auto"/>
        <w:ind w:left="34"/>
        <w:jc w:val="left"/>
        <w:outlineLvl w:val="0"/>
        <w:rPr>
          <w:rFonts w:asciiTheme="majorHAnsi" w:hAnsiTheme="majorHAnsi"/>
          <w:sz w:val="24"/>
        </w:rPr>
      </w:pPr>
      <w:r w:rsidRPr="004873F5">
        <w:rPr>
          <w:rFonts w:asciiTheme="majorHAnsi" w:hAnsiTheme="majorHAnsi"/>
          <w:sz w:val="24"/>
        </w:rPr>
        <w:t>El Superintendente General de Entidades Financieras,</w:t>
      </w:r>
    </w:p>
    <w:p w:rsidR="004873F5" w:rsidP="004873F5" w:rsidRDefault="004873F5" w14:paraId="687AE5CF" w14:textId="77777777">
      <w:pPr>
        <w:spacing w:line="240" w:lineRule="auto"/>
        <w:ind w:left="34"/>
        <w:jc w:val="left"/>
        <w:outlineLvl w:val="0"/>
        <w:rPr>
          <w:rFonts w:asciiTheme="majorHAnsi" w:hAnsiTheme="majorHAnsi"/>
          <w:sz w:val="24"/>
        </w:rPr>
      </w:pPr>
    </w:p>
    <w:p w:rsidR="00062183" w:rsidP="00062183" w:rsidRDefault="00062183" w14:paraId="25ABB9CC" w14:textId="77777777">
      <w:pPr>
        <w:tabs>
          <w:tab w:val="left" w:pos="2843"/>
        </w:tabs>
        <w:spacing w:line="240" w:lineRule="auto"/>
        <w:rPr>
          <w:b/>
        </w:rPr>
      </w:pPr>
      <w:r w:rsidRPr="002E6017">
        <w:rPr>
          <w:b/>
        </w:rPr>
        <w:t>Considerando que:</w:t>
      </w:r>
    </w:p>
    <w:p w:rsidRPr="00062183" w:rsidR="00062183" w:rsidP="00062183" w:rsidRDefault="00062183" w14:paraId="48038A05" w14:textId="77777777">
      <w:pPr>
        <w:tabs>
          <w:tab w:val="left" w:pos="2843"/>
        </w:tabs>
        <w:spacing w:line="240" w:lineRule="auto"/>
      </w:pPr>
    </w:p>
    <w:p w:rsidR="00DE2125" w:rsidP="002F5B25" w:rsidRDefault="00062183" w14:paraId="2F0E5A4D" w14:textId="0852A036">
      <w:pPr>
        <w:pStyle w:val="Prrafodelista"/>
        <w:numPr>
          <w:ilvl w:val="0"/>
          <w:numId w:val="14"/>
        </w:numPr>
        <w:tabs>
          <w:tab w:val="left" w:pos="2843"/>
        </w:tabs>
        <w:spacing w:line="240" w:lineRule="auto"/>
      </w:pPr>
      <w:r>
        <w:t xml:space="preserve">El Consejo Nacional de Supervisión del Sistema Financiero, </w:t>
      </w:r>
      <w:r w:rsidR="00DE2125">
        <w:t xml:space="preserve">mediante Artículo 14, de la Sesión 547-2006 de 5 de enero del 2006, aprobó el </w:t>
      </w:r>
      <w:r w:rsidRPr="00DE2125" w:rsidR="00DE2125">
        <w:rPr>
          <w:i/>
        </w:rPr>
        <w:t>Reglamento sobre la suficiencia patrimonial de entidades financieras</w:t>
      </w:r>
      <w:r w:rsidR="00DE2125">
        <w:t>, Acuerdo SUGEF 3-06. Publicado en el Diario Oficial La Gaceta N° 13 el 18 de enero del 2006.</w:t>
      </w:r>
    </w:p>
    <w:p w:rsidR="00DE2125" w:rsidP="00DE2125" w:rsidRDefault="00DE2125" w14:paraId="54AB0B2C" w14:textId="77777777">
      <w:pPr>
        <w:pStyle w:val="Prrafodelista"/>
        <w:tabs>
          <w:tab w:val="left" w:pos="2843"/>
        </w:tabs>
        <w:spacing w:line="240" w:lineRule="auto"/>
      </w:pPr>
    </w:p>
    <w:p w:rsidR="00F95342" w:rsidP="00F95342" w:rsidRDefault="00F95342" w14:paraId="41030C89" w14:textId="42552ED1">
      <w:pPr>
        <w:pStyle w:val="Prrafodelista"/>
        <w:numPr>
          <w:ilvl w:val="0"/>
          <w:numId w:val="14"/>
        </w:numPr>
        <w:tabs>
          <w:tab w:val="left" w:pos="2843"/>
        </w:tabs>
        <w:spacing w:line="240" w:lineRule="auto"/>
      </w:pPr>
      <w:r>
        <w:t>El Acuerdo SUGEF 3-06 incluye el ANEXO 1 “</w:t>
      </w:r>
      <w:r w:rsidRPr="00F95342">
        <w:rPr>
          <w:i/>
        </w:rPr>
        <w:t>Equivalencias de las calificaciones de las agencias calificadoras de riesgo internacionales”</w:t>
      </w:r>
      <w:r>
        <w:t xml:space="preserve">, en cuyo primer cuadro, se asocian las calificaciones de riesgo de largo plazo emitidas por agencias calificadoras, a 7 categorías de calificación (De categoría 0 a 6). En el tercer cuadro </w:t>
      </w:r>
      <w:r w:rsidRPr="00F95342">
        <w:t xml:space="preserve">del </w:t>
      </w:r>
      <w:r>
        <w:t xml:space="preserve">mismo </w:t>
      </w:r>
      <w:r w:rsidRPr="00F95342">
        <w:t xml:space="preserve">Anexo, </w:t>
      </w:r>
      <w:r>
        <w:t xml:space="preserve">se indican los </w:t>
      </w:r>
      <w:r w:rsidRPr="00F95342">
        <w:t>porcentaje</w:t>
      </w:r>
      <w:r>
        <w:t>s</w:t>
      </w:r>
      <w:r w:rsidRPr="00F95342">
        <w:t xml:space="preserve"> de ponderación correspondientes a </w:t>
      </w:r>
      <w:r>
        <w:t xml:space="preserve">cada una de las siete </w:t>
      </w:r>
      <w:r w:rsidRPr="00F95342">
        <w:t>categorías</w:t>
      </w:r>
      <w:r>
        <w:t>.</w:t>
      </w:r>
      <w:r w:rsidRPr="00F95342">
        <w:t xml:space="preserve"> </w:t>
      </w:r>
    </w:p>
    <w:p w:rsidR="00E91E18" w:rsidP="00D00ED8" w:rsidRDefault="00E91E18" w14:paraId="46195DB0" w14:textId="77777777"/>
    <w:p w:rsidR="00BA56B5" w:rsidP="002F5B25" w:rsidRDefault="00BA56B5" w14:paraId="6990C343" w14:textId="12A1AB46">
      <w:pPr>
        <w:pStyle w:val="Prrafodelista"/>
        <w:numPr>
          <w:ilvl w:val="0"/>
          <w:numId w:val="14"/>
        </w:numPr>
        <w:tabs>
          <w:tab w:val="left" w:pos="2843"/>
        </w:tabs>
        <w:spacing w:line="240" w:lineRule="auto"/>
      </w:pPr>
      <w:r>
        <w:t>El 5 de diciembre de 2018, la agencia clasificadora de riesgos Moody´s disminuyó la calificación a los instrumentos financieros de Costa Rica de Ba2 a B1, categoría 4 a categoría 5, respectivamente, de acuerdo con el Anexo 1 al Acuerdo SUGEF 3-06.</w:t>
      </w:r>
      <w:r w:rsidR="00AD0F77">
        <w:t xml:space="preserve"> </w:t>
      </w:r>
    </w:p>
    <w:p w:rsidR="00BA56B5" w:rsidP="00BA56B5" w:rsidRDefault="00BA56B5" w14:paraId="309E2693" w14:textId="77777777">
      <w:pPr>
        <w:pStyle w:val="Prrafodelista"/>
        <w:tabs>
          <w:tab w:val="left" w:pos="2843"/>
        </w:tabs>
        <w:spacing w:line="240" w:lineRule="auto"/>
      </w:pPr>
    </w:p>
    <w:p w:rsidR="00BA56B5" w:rsidP="002F5B25" w:rsidRDefault="00BA56B5" w14:paraId="719FE30A" w14:textId="4AEE20BA">
      <w:pPr>
        <w:pStyle w:val="Prrafodelista"/>
        <w:numPr>
          <w:ilvl w:val="0"/>
          <w:numId w:val="14"/>
        </w:numPr>
        <w:tabs>
          <w:tab w:val="left" w:pos="2843"/>
        </w:tabs>
        <w:spacing w:line="240" w:lineRule="auto"/>
      </w:pPr>
      <w:r>
        <w:t>El 21 de diciembre de 2018, la agencia calificadora de riesgos Standard &amp; Poor’s bajó la calificación de la deuda en moneda extranjera y local a largo plazo de Costa Rica de BB- a B+, esto es categoría 4 a categoría 5, respectivamente, de acuerdo con el Anexo 1 al Acuerdo SUGEF 3-06.</w:t>
      </w:r>
    </w:p>
    <w:p w:rsidR="00BA56B5" w:rsidP="00BA56B5" w:rsidRDefault="00BA56B5" w14:paraId="06E96356" w14:textId="77777777">
      <w:pPr>
        <w:pStyle w:val="Prrafodelista"/>
      </w:pPr>
    </w:p>
    <w:p w:rsidR="00BA56B5" w:rsidP="00C0383A" w:rsidRDefault="00BA56B5" w14:paraId="17980558" w14:textId="6297A266">
      <w:pPr>
        <w:pStyle w:val="Prrafodelista"/>
        <w:numPr>
          <w:ilvl w:val="0"/>
          <w:numId w:val="14"/>
        </w:numPr>
        <w:tabs>
          <w:tab w:val="left" w:pos="2843"/>
        </w:tabs>
        <w:spacing w:line="240" w:lineRule="auto"/>
      </w:pPr>
      <w:r>
        <w:lastRenderedPageBreak/>
        <w:t>El 16 de enero de 2018, la agencia calificadora Fitch Ratings redujo la calificación en moneda extranjera a largo plazo de Costa Rica de “BB” a “B+”, categoría 4 a categoría 5, respectivamente, de acuerdo con el Anexo 1 al Acuerdo SUGEF 3-06.</w:t>
      </w:r>
    </w:p>
    <w:p w:rsidR="002F5B25" w:rsidP="002F5B25" w:rsidRDefault="002F5B25" w14:paraId="33F46A47" w14:textId="77777777">
      <w:pPr>
        <w:pStyle w:val="Prrafodelista"/>
        <w:tabs>
          <w:tab w:val="left" w:pos="2843"/>
        </w:tabs>
        <w:spacing w:line="240" w:lineRule="auto"/>
      </w:pPr>
    </w:p>
    <w:p w:rsidR="00BA56B5" w:rsidP="002F5B25" w:rsidRDefault="002F5B25" w14:paraId="3E11B139" w14:textId="00FB4332">
      <w:pPr>
        <w:pStyle w:val="Prrafodelista"/>
        <w:numPr>
          <w:ilvl w:val="0"/>
          <w:numId w:val="14"/>
        </w:numPr>
        <w:tabs>
          <w:tab w:val="left" w:pos="2843"/>
        </w:tabs>
        <w:spacing w:line="240" w:lineRule="auto"/>
      </w:pPr>
      <w:r>
        <w:t xml:space="preserve">El Artículo 19, Uso de calificaciones, de ese reglamento señala que: “[…] La calificación de largo plazo del emisor o deudor se utiliza para los activos más pasivos contingentes de largo plazo y la calificación de corto plazo se utiliza para los activos más pasivos contingentes cuya fecha de vencimiento esté dentro del plazo que abarca la calificación de corto plazo. Cuando el emisor o deudor solo cuente con una calificación de largo plazo, ésta puede utilizarse para ponderar los activos más pasivos contingentes de largo y corto plazo. Cuando el emisor o deudor solo cuente con una calificación de corto plazo, ésta solo puede utilizarse para ponderar los activos más pasivos contingentes cuya fecha de vencimiento esté dentro del plazo que abarca la calificación de corto plazo. </w:t>
      </w:r>
      <w:r w:rsidRPr="00DE2125">
        <w:rPr>
          <w:b/>
          <w:i/>
        </w:rPr>
        <w:t>Cuando existan dos calificaciones de dos agencias calificadoras, se aplica la de mayor riesgo. Cuando existan más de dos calificaciones de diferentes agencias calificadoras, se aplica la segunda de mayor riesgo. En caso de que la emisión tenga una calificación de riesgo propia, debe usarse esta calificación y no la del emisor para determinar la ponderación de la inversión</w:t>
      </w:r>
      <w:r>
        <w:t>.” (El resaltado no forma parte del original).</w:t>
      </w:r>
    </w:p>
    <w:p w:rsidR="00AD0F77" w:rsidP="00E540C8" w:rsidRDefault="00AD0F77" w14:paraId="73610FCD" w14:textId="77777777">
      <w:pPr>
        <w:pStyle w:val="Prrafodelista"/>
        <w:tabs>
          <w:tab w:val="left" w:pos="2843"/>
        </w:tabs>
        <w:spacing w:line="240" w:lineRule="auto"/>
      </w:pPr>
    </w:p>
    <w:p w:rsidR="00AD0F77" w:rsidP="00AD0F77" w:rsidRDefault="00AD0F77" w14:paraId="6B2714F0" w14:textId="48EFA4E1">
      <w:pPr>
        <w:pStyle w:val="Prrafodelista"/>
        <w:numPr>
          <w:ilvl w:val="0"/>
          <w:numId w:val="14"/>
        </w:numPr>
        <w:tabs>
          <w:tab w:val="left" w:pos="2843"/>
        </w:tabs>
        <w:spacing w:line="240" w:lineRule="auto"/>
      </w:pPr>
      <w:r>
        <w:t xml:space="preserve">En consideración de lo anterior, la categoría aplicable a </w:t>
      </w:r>
      <w:r w:rsidRPr="00AD0F77">
        <w:t>los activos a plazo más pasivos contingentes denominados moneda extranjera en el Banco Central de Costa Rica y en el Gobierno de la República de Costa Rica</w:t>
      </w:r>
      <w:r>
        <w:t>, será de 5. Esta categoría implica el aumento en el ponderador de riesgo de 75% a 90%, cuyo cómputo se rige por lo dispuesto en el Transitorio V del Acuerdo SUGEF 3-06.</w:t>
      </w:r>
    </w:p>
    <w:p w:rsidR="00AD0F77" w:rsidP="00E540C8" w:rsidRDefault="00AD0F77" w14:paraId="47268D0B" w14:textId="77777777">
      <w:pPr>
        <w:pStyle w:val="Prrafodelista"/>
      </w:pPr>
    </w:p>
    <w:p w:rsidR="00AD0F77" w:rsidP="00AD0F77" w:rsidRDefault="00AD0F77" w14:paraId="6A931AC4" w14:textId="0CE4A1F1">
      <w:pPr>
        <w:pStyle w:val="Prrafodelista"/>
        <w:numPr>
          <w:ilvl w:val="0"/>
          <w:numId w:val="14"/>
        </w:numPr>
        <w:tabs>
          <w:tab w:val="left" w:pos="2843"/>
        </w:tabs>
        <w:spacing w:line="240" w:lineRule="auto"/>
      </w:pPr>
      <w:r>
        <w:t xml:space="preserve">El Transitorio V del Acuerdo SUGEF 3-06 indica que: </w:t>
      </w:r>
      <w:r w:rsidRPr="00F95342">
        <w:rPr>
          <w:i/>
        </w:rPr>
        <w:t>“Cuando la calificación internacional de riesgo de Costa Rica, según el cuadro de categorías de riesgo incluido en el Anexo de este Reglamento, corresponda a un porcentaje de ponderación menor al indicado en el tramo de gradualidad vigente en ese momento, deberá aplicarse el menor de los dos porcentajes de ponderación. Asimismo, cuando la calificación internacional de riesgo de Costa Rica, según el cuadro de categorías de riesgo incluido en el Anexo de este Reglamento, corresponda a un porcentaje de ponderación mayor al 75%, la gradualidad se extenderá hasta alcanzar el nuevo porcentaje de ponderación, a razón de un incremento trimestral de 10 puntos porcentuales, o menos en el último trimestre si fuese necesario.”</w:t>
      </w:r>
      <w:r>
        <w:t xml:space="preserve"> </w:t>
      </w:r>
    </w:p>
    <w:p w:rsidR="00BA56B5" w:rsidP="002F5B25" w:rsidRDefault="00BA56B5" w14:paraId="47C8B0A6" w14:textId="02E4D2A8">
      <w:pPr>
        <w:tabs>
          <w:tab w:val="left" w:pos="2843"/>
        </w:tabs>
        <w:spacing w:line="240" w:lineRule="auto"/>
      </w:pPr>
    </w:p>
    <w:p w:rsidRPr="00DA54DF" w:rsidR="00DA54DF" w:rsidP="00DA54DF" w:rsidRDefault="002F5B25" w14:paraId="07DDAEB2" w14:textId="2C71178E">
      <w:pPr>
        <w:spacing w:before="120" w:after="240" w:line="240" w:lineRule="auto"/>
        <w:rPr>
          <w:b/>
        </w:rPr>
      </w:pPr>
      <w:r>
        <w:rPr>
          <w:b/>
        </w:rPr>
        <w:t>D</w:t>
      </w:r>
      <w:r w:rsidRPr="002E6017">
        <w:rPr>
          <w:b/>
        </w:rPr>
        <w:t xml:space="preserve">ispone: </w:t>
      </w:r>
    </w:p>
    <w:p w:rsidR="00DA54DF" w:rsidP="00DA54DF" w:rsidRDefault="00AD0F77" w14:paraId="5E83A559" w14:textId="73F87100">
      <w:pPr>
        <w:pStyle w:val="Prrafodelista"/>
        <w:numPr>
          <w:ilvl w:val="0"/>
          <w:numId w:val="13"/>
        </w:numPr>
        <w:tabs>
          <w:tab w:val="left" w:pos="2843"/>
        </w:tabs>
        <w:spacing w:line="240" w:lineRule="auto"/>
      </w:pPr>
      <w:r>
        <w:t xml:space="preserve">Para </w:t>
      </w:r>
      <w:r w:rsidR="006D05AF">
        <w:t xml:space="preserve">la información con corte a </w:t>
      </w:r>
      <w:r w:rsidR="00DA54DF">
        <w:t>enero y febrero de 2019, la categoría de riesgo a aplicar contin</w:t>
      </w:r>
      <w:r>
        <w:t xml:space="preserve">uará </w:t>
      </w:r>
      <w:r w:rsidR="00DA54DF">
        <w:t>siendo 4. Por lo que se debe aplicar una ponderación igual al 75% para "los activos a plazo más pasivos contingentes denominados moneda extranjera en el Banco Central de Costa Rica y en el Gobierno de la República de Costa Rica".</w:t>
      </w:r>
    </w:p>
    <w:p w:rsidR="00DA54DF" w:rsidP="00DA54DF" w:rsidRDefault="00DA54DF" w14:paraId="7B6B3A7E" w14:textId="77777777">
      <w:pPr>
        <w:pStyle w:val="Prrafodelista"/>
        <w:tabs>
          <w:tab w:val="left" w:pos="2843"/>
        </w:tabs>
        <w:spacing w:line="240" w:lineRule="auto"/>
      </w:pPr>
    </w:p>
    <w:p w:rsidR="00DA54DF" w:rsidP="00DA54DF" w:rsidRDefault="00DA54DF" w14:paraId="5BAFFAF1" w14:textId="6F54C939">
      <w:pPr>
        <w:pStyle w:val="Prrafodelista"/>
        <w:numPr>
          <w:ilvl w:val="0"/>
          <w:numId w:val="13"/>
        </w:numPr>
        <w:tabs>
          <w:tab w:val="left" w:pos="2843"/>
        </w:tabs>
        <w:spacing w:line="240" w:lineRule="auto"/>
      </w:pPr>
      <w:r>
        <w:lastRenderedPageBreak/>
        <w:t xml:space="preserve">Para la información con corte a marzo de 2019, según el Transitorio V ya descrito corresponde aplicar un incremento de 10 puntos porcentuales para "los activos a plazo más pasivos contingentes denominados moneda extranjera en el Banco Central de Costa Rica y en el Gobierno de la República de Costa Rica", con lo cual el ponderador total sería del 85% para ese  trimestre. </w:t>
      </w:r>
    </w:p>
    <w:p w:rsidR="00DA54DF" w:rsidP="00DA54DF" w:rsidRDefault="00DA54DF" w14:paraId="008B88CC" w14:textId="77777777">
      <w:pPr>
        <w:pStyle w:val="Prrafodelista"/>
      </w:pPr>
    </w:p>
    <w:p w:rsidR="00BA56B5" w:rsidP="002F5B25" w:rsidRDefault="00BA56B5" w14:paraId="3ACDCA8C" w14:textId="77777777">
      <w:pPr>
        <w:pStyle w:val="Prrafodelista"/>
        <w:tabs>
          <w:tab w:val="left" w:pos="2843"/>
        </w:tabs>
        <w:spacing w:line="240" w:lineRule="auto"/>
      </w:pPr>
    </w:p>
    <w:p w:rsidR="00BA56B5" w:rsidP="00DA54DF" w:rsidRDefault="00DA54DF" w14:paraId="03E02445" w14:textId="227AE05E">
      <w:pPr>
        <w:pStyle w:val="Prrafodelista"/>
        <w:numPr>
          <w:ilvl w:val="0"/>
          <w:numId w:val="13"/>
        </w:numPr>
        <w:tabs>
          <w:tab w:val="left" w:pos="2843"/>
        </w:tabs>
        <w:spacing w:line="240" w:lineRule="auto"/>
      </w:pPr>
      <w:r>
        <w:t xml:space="preserve">A partir de </w:t>
      </w:r>
      <w:r w:rsidR="00E540C8">
        <w:t xml:space="preserve">la información con corte a </w:t>
      </w:r>
      <w:r>
        <w:t xml:space="preserve">junio de 2019  y en adelante,  en concordancia con el Transitorio V  citado, corresponde incrementar </w:t>
      </w:r>
      <w:r w:rsidR="00E540C8">
        <w:t xml:space="preserve">el ponderador </w:t>
      </w:r>
      <w:r>
        <w:t>en 5 puntos porcentuales</w:t>
      </w:r>
      <w:r w:rsidR="00E540C8">
        <w:t>,</w:t>
      </w:r>
      <w:r>
        <w:t xml:space="preserve"> a fin de aplicar una ponderación total del 90% a "los activos a plazo más pasivos contingentes denominados moneda extranjera en el Banco Central de Costa Rica y en el Gobierno de la República de Costa Rica".</w:t>
      </w:r>
    </w:p>
    <w:p w:rsidR="00BA56B5" w:rsidP="007D1467" w:rsidRDefault="00BA56B5" w14:paraId="48DC2283" w14:textId="77777777">
      <w:pPr>
        <w:tabs>
          <w:tab w:val="left" w:pos="2843"/>
        </w:tabs>
        <w:spacing w:line="240" w:lineRule="auto"/>
      </w:pPr>
    </w:p>
    <w:p w:rsidRPr="002E2B0A" w:rsidR="007F1723" w:rsidP="002F5B25" w:rsidRDefault="007F1723" w14:paraId="4A9A17BC" w14:textId="591CBBF4">
      <w:pPr>
        <w:pStyle w:val="CentradoResaltado"/>
        <w:spacing w:before="0" w:after="0" w:line="240" w:lineRule="auto"/>
        <w:jc w:val="both"/>
        <w:rPr>
          <w:sz w:val="24"/>
        </w:rPr>
      </w:pPr>
    </w:p>
    <w:p w:rsidRPr="002E2B0A" w:rsidR="0071134B" w:rsidP="00D26EDE" w:rsidRDefault="00DA0158" w14:paraId="148D60C4" w14:textId="7777777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297F45D6" wp14:anchorId="533814B5">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000F34AE" w:rsidP="00D26EDE" w:rsidRDefault="000F34AE" w14:paraId="0EC5EE09" w14:textId="77777777">
      <w:pPr>
        <w:spacing w:line="240" w:lineRule="auto"/>
        <w:rPr>
          <w:sz w:val="24"/>
        </w:rPr>
      </w:pPr>
    </w:p>
    <w:p w:rsidRPr="002E2B0A" w:rsidR="00DA0158" w:rsidP="00D26EDE" w:rsidRDefault="00DA0158" w14:paraId="5A4996E6" w14:textId="77777777">
      <w:pPr>
        <w:spacing w:line="240" w:lineRule="auto"/>
        <w:rPr>
          <w:sz w:val="24"/>
        </w:rPr>
      </w:pPr>
    </w:p>
    <w:p w:rsidR="004C7711" w:rsidP="004C7711" w:rsidRDefault="004C7711" w14:paraId="542EE845" w14:textId="77777777">
      <w:pPr>
        <w:jc w:val="left"/>
        <w:rPr>
          <w:sz w:val="24"/>
        </w:rPr>
      </w:pPr>
      <w:r>
        <w:rPr>
          <w:sz w:val="24"/>
        </w:rPr>
        <w:t>Bernardo Alfaro A.</w:t>
      </w:r>
      <w:r>
        <w:rPr>
          <w:sz w:val="24"/>
        </w:rPr>
        <w:br/>
      </w:r>
      <w:r w:rsidRPr="00072CDB">
        <w:rPr>
          <w:b/>
          <w:sz w:val="24"/>
        </w:rPr>
        <w:t>Superintendente</w:t>
      </w:r>
    </w:p>
    <w:p w:rsidR="00577A95" w:rsidP="0085692C" w:rsidRDefault="00577A95" w14:paraId="47499AC6" w14:textId="77777777">
      <w:pPr>
        <w:pStyle w:val="Negrita"/>
      </w:pPr>
    </w:p>
    <w:p w:rsidR="004873F5" w:rsidP="004873F5" w:rsidRDefault="00C05F7C" w14:paraId="40356DBF" w14:textId="77777777">
      <w:pPr>
        <w:spacing w:before="120" w:after="120" w:line="240" w:lineRule="auto"/>
        <w:contextualSpacing/>
        <w:rPr>
          <w:rFonts w:eastAsia="Calibri" w:asciiTheme="majorHAnsi" w:hAnsiTheme="majorHAnsi"/>
          <w:bCs/>
          <w:sz w:val="16"/>
          <w:szCs w:val="16"/>
        </w:rPr>
      </w:pPr>
      <w:sdt>
        <w:sdtPr>
          <w:rPr>
            <w:rFonts w:eastAsia="Calibri" w:asciiTheme="majorHAnsi" w:hAnsiTheme="majorHAnsi"/>
            <w:bCs/>
            <w:sz w:val="16"/>
            <w:szCs w:val="16"/>
          </w:rPr>
          <w:alias w:val="Unidad generadora"/>
          <w:tag w:val="unidad generadora"/>
          <w:id w:val="11415835"/>
          <w:placeholder>
            <w:docPart w:val="0CD4E03E79CB4281B4E0ACE1B6B0ECF4"/>
          </w:placeholder>
        </w:sdtPr>
        <w:sdtEndPr/>
        <w:sdtContent>
          <w:r w:rsidR="004873F5">
            <w:rPr>
              <w:rFonts w:eastAsia="Calibri" w:asciiTheme="majorHAnsi" w:hAnsiTheme="majorHAnsi"/>
              <w:bCs/>
              <w:sz w:val="16"/>
              <w:szCs w:val="16"/>
            </w:rPr>
            <w:t>Unidad generadora:</w:t>
          </w:r>
        </w:sdtContent>
      </w:sdt>
      <w:r w:rsidR="004873F5">
        <w:rPr>
          <w:rFonts w:eastAsia="Calibri" w:asciiTheme="majorHAnsi" w:hAnsiTheme="majorHAnsi"/>
          <w:bCs/>
          <w:sz w:val="16"/>
          <w:szCs w:val="16"/>
        </w:rPr>
        <w:t xml:space="preserve"> Departamento de Normas, Dirección General de Servicios Técnicos</w:t>
      </w:r>
    </w:p>
    <w:p w:rsidR="004873F5" w:rsidP="004873F5" w:rsidRDefault="004873F5" w14:paraId="5CC01AFE" w14:textId="77777777">
      <w:pPr>
        <w:spacing w:before="120" w:after="120" w:line="240" w:lineRule="auto"/>
        <w:contextualSpacing/>
        <w:rPr>
          <w:rFonts w:eastAsia="Calibri" w:asciiTheme="majorHAnsi" w:hAnsiTheme="majorHAnsi"/>
          <w:bCs/>
          <w:sz w:val="16"/>
          <w:szCs w:val="16"/>
        </w:rPr>
      </w:pPr>
    </w:p>
    <w:p w:rsidR="004873F5" w:rsidP="004873F5" w:rsidRDefault="004873F5" w14:paraId="50D85D9C" w14:textId="0C58CFC2">
      <w:pPr>
        <w:spacing w:before="120" w:after="120" w:line="240" w:lineRule="auto"/>
        <w:contextualSpacing/>
        <w:rPr>
          <w:rFonts w:eastAsia="Calibri" w:asciiTheme="majorHAnsi" w:hAnsiTheme="majorHAnsi"/>
          <w:bCs/>
          <w:sz w:val="16"/>
          <w:szCs w:val="16"/>
        </w:rPr>
      </w:pPr>
      <w:r>
        <w:rPr>
          <w:rFonts w:eastAsia="Calibri" w:asciiTheme="majorHAnsi" w:hAnsiTheme="majorHAnsi"/>
          <w:bCs/>
          <w:sz w:val="16"/>
          <w:szCs w:val="16"/>
        </w:rPr>
        <w:t xml:space="preserve">Categoría: </w:t>
      </w:r>
      <w:sdt>
        <w:sdtPr>
          <w:rPr>
            <w:rFonts w:eastAsia="Calibri" w:asciiTheme="majorHAnsi" w:hAnsiTheme="majorHAnsi"/>
            <w:bCs/>
            <w:sz w:val="16"/>
            <w:szCs w:val="16"/>
          </w:rPr>
          <w:alias w:val="Categoria"/>
          <w:tag w:val="categoria"/>
          <w:id w:val="11415837"/>
          <w:placeholder>
            <w:docPart w:val="1CF8ECD7312C4509AE5638F82662D1FF"/>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Pr>
              <w:rFonts w:eastAsia="Calibri" w:asciiTheme="majorHAnsi" w:hAnsiTheme="majorHAnsi"/>
              <w:bCs/>
              <w:sz w:val="16"/>
              <w:szCs w:val="16"/>
            </w:rPr>
            <w:t>Recordatorio</w:t>
          </w:r>
        </w:sdtContent>
      </w:sdt>
      <w:r>
        <w:rPr>
          <w:rFonts w:eastAsia="Calibri" w:asciiTheme="majorHAnsi" w:hAnsiTheme="majorHAnsi"/>
          <w:bCs/>
          <w:sz w:val="16"/>
          <w:szCs w:val="16"/>
        </w:rPr>
        <w:t xml:space="preserve"> </w:t>
      </w:r>
    </w:p>
    <w:p w:rsidR="004873F5" w:rsidP="004873F5" w:rsidRDefault="004873F5" w14:paraId="178C13A0" w14:textId="77777777">
      <w:pPr>
        <w:spacing w:before="120" w:after="120" w:line="240" w:lineRule="auto"/>
        <w:contextualSpacing/>
        <w:rPr>
          <w:rFonts w:eastAsia="Calibri" w:asciiTheme="majorHAnsi" w:hAnsiTheme="majorHAnsi"/>
          <w:bCs/>
          <w:sz w:val="16"/>
          <w:szCs w:val="16"/>
        </w:rPr>
      </w:pPr>
    </w:p>
    <w:p w:rsidR="004873F5" w:rsidP="004873F5" w:rsidRDefault="005D2301" w14:paraId="73D98E74" w14:textId="3D56CE97">
      <w:pPr>
        <w:spacing w:before="120" w:after="120" w:line="240" w:lineRule="auto"/>
        <w:contextualSpacing/>
        <w:rPr>
          <w:rFonts w:eastAsia="Calibri" w:asciiTheme="majorHAnsi" w:hAnsiTheme="majorHAnsi"/>
          <w:b/>
          <w:bCs/>
          <w:sz w:val="16"/>
          <w:szCs w:val="16"/>
          <w:lang w:val="es-CR"/>
        </w:rPr>
      </w:pPr>
      <w:r>
        <w:rPr>
          <w:rFonts w:eastAsia="Calibri" w:asciiTheme="majorHAnsi" w:hAnsiTheme="majorHAnsi"/>
          <w:b/>
          <w:bCs/>
          <w:sz w:val="16"/>
          <w:szCs w:val="16"/>
          <w:lang w:val="es-CR"/>
        </w:rPr>
        <w:t>J</w:t>
      </w:r>
      <w:r w:rsidR="00D00ED8">
        <w:rPr>
          <w:rFonts w:eastAsia="Calibri" w:asciiTheme="majorHAnsi" w:hAnsiTheme="majorHAnsi"/>
          <w:b/>
          <w:bCs/>
          <w:sz w:val="16"/>
          <w:szCs w:val="16"/>
          <w:lang w:val="es-CR"/>
        </w:rPr>
        <w:t>SC</w:t>
      </w:r>
      <w:r w:rsidR="004873F5">
        <w:rPr>
          <w:rFonts w:eastAsia="Calibri" w:asciiTheme="majorHAnsi" w:hAnsiTheme="majorHAnsi"/>
          <w:b/>
          <w:bCs/>
          <w:sz w:val="16"/>
          <w:szCs w:val="16"/>
          <w:lang w:val="es-CR"/>
        </w:rPr>
        <w:t>/GAA/gvl*</w:t>
      </w:r>
    </w:p>
    <w:p w:rsidRPr="004873F5" w:rsidR="00577A95" w:rsidP="0085692C" w:rsidRDefault="00577A95" w14:paraId="6DC38554" w14:textId="77777777">
      <w:pPr>
        <w:pStyle w:val="Negrita"/>
        <w:rPr>
          <w:lang w:val="es-CR"/>
        </w:rPr>
      </w:pPr>
    </w:p>
    <w:p w:rsidR="008F1461" w:rsidP="0085692C" w:rsidRDefault="008F1461" w14:paraId="00DEDAD6" w14:textId="77777777">
      <w:pPr>
        <w:pStyle w:val="Negrita"/>
      </w:pPr>
    </w:p>
    <w:p w:rsidRPr="0085692C" w:rsidR="00A26E9E" w:rsidP="002F5B25" w:rsidRDefault="00A26E9E" w14:paraId="78E70F04" w14:textId="77777777">
      <w:pPr>
        <w:pStyle w:val="Negrita"/>
      </w:pP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689AA" w14:textId="77777777" w:rsidR="00D00ED8" w:rsidRDefault="00D00ED8" w:rsidP="00D43D57">
      <w:r>
        <w:separator/>
      </w:r>
    </w:p>
  </w:endnote>
  <w:endnote w:type="continuationSeparator" w:id="0">
    <w:p w14:paraId="4EBCE2F7" w14:textId="77777777" w:rsidR="00D00ED8" w:rsidRDefault="00D00ED8" w:rsidP="00D43D57">
      <w:r>
        <w:continuationSeparator/>
      </w:r>
    </w:p>
  </w:endnote>
  <w:endnote w:type="continuationNotice" w:id="1">
    <w:p w14:paraId="06A35022" w14:textId="77777777" w:rsidR="00361338" w:rsidRDefault="003613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D8" w:rsidRDefault="00D00ED8" w14:paraId="63203801"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D00ED8" w:rsidTr="008F1461" w14:paraId="78BC913D" w14:textId="77777777">
      <w:trPr>
        <w:trHeight w:val="546"/>
      </w:trPr>
      <w:tc>
        <w:tcPr>
          <w:tcW w:w="3189" w:type="dxa"/>
          <w:shd w:val="clear" w:color="auto" w:fill="FFFFFF"/>
          <w:vAlign w:val="center"/>
        </w:tcPr>
        <w:p w:rsidR="00D00ED8" w:rsidP="000C62BB" w:rsidRDefault="00D00ED8" w14:paraId="661170DA" w14:textId="77777777">
          <w:pPr>
            <w:pStyle w:val="Piepagina"/>
          </w:pPr>
          <w:r>
            <w:rPr>
              <w:b/>
              <w:bCs/>
            </w:rPr>
            <w:t>Teléfono</w:t>
          </w:r>
          <w:r>
            <w:t xml:space="preserve">   (506) 2243-4848</w:t>
          </w:r>
        </w:p>
        <w:p w:rsidR="00D00ED8" w:rsidP="000C62BB" w:rsidRDefault="00D00ED8" w14:paraId="46234A04" w14:textId="77777777">
          <w:pPr>
            <w:pStyle w:val="Piepagina"/>
          </w:pPr>
          <w:r>
            <w:rPr>
              <w:b/>
              <w:bCs/>
            </w:rPr>
            <w:t>Facsímile</w:t>
          </w:r>
          <w:r>
            <w:t xml:space="preserve">  (506) 2243-4849</w:t>
          </w:r>
        </w:p>
      </w:tc>
      <w:tc>
        <w:tcPr>
          <w:tcW w:w="2835" w:type="dxa"/>
          <w:shd w:val="clear" w:color="auto" w:fill="FFFFFF"/>
          <w:vAlign w:val="center"/>
        </w:tcPr>
        <w:p w:rsidR="00D00ED8" w:rsidP="000C62BB" w:rsidRDefault="00D00ED8" w14:paraId="52DB47BB" w14:textId="77777777">
          <w:pPr>
            <w:pStyle w:val="Piepagina"/>
          </w:pPr>
          <w:r>
            <w:rPr>
              <w:b/>
              <w:bCs/>
            </w:rPr>
            <w:t>Apartado</w:t>
          </w:r>
          <w:r>
            <w:t xml:space="preserve"> 2762-1000</w:t>
          </w:r>
        </w:p>
        <w:p w:rsidR="00D00ED8" w:rsidP="000C62BB" w:rsidRDefault="00D00ED8" w14:paraId="415BA753" w14:textId="77777777">
          <w:pPr>
            <w:pStyle w:val="Piepagina"/>
          </w:pPr>
          <w:r>
            <w:t>San José, Costa Rica</w:t>
          </w:r>
        </w:p>
      </w:tc>
      <w:tc>
        <w:tcPr>
          <w:tcW w:w="2410" w:type="dxa"/>
          <w:shd w:val="clear" w:color="auto" w:fill="FFFFFF"/>
          <w:vAlign w:val="center"/>
        </w:tcPr>
        <w:p w:rsidR="00D00ED8" w:rsidP="000C62BB" w:rsidRDefault="00D00ED8" w14:paraId="742F058C" w14:textId="77777777">
          <w:pPr>
            <w:pStyle w:val="Piepagina"/>
          </w:pPr>
          <w:r>
            <w:t>www.sugef.fi.cr</w:t>
          </w:r>
        </w:p>
        <w:p w:rsidR="00D00ED8" w:rsidP="000C62BB" w:rsidRDefault="00D00ED8" w14:paraId="4AF4C95D" w14:textId="77777777">
          <w:pPr>
            <w:pStyle w:val="Piepagina"/>
          </w:pPr>
          <w:r>
            <w:t>sugefcr@sugef.fi.cr</w:t>
          </w:r>
        </w:p>
      </w:tc>
      <w:tc>
        <w:tcPr>
          <w:tcW w:w="260" w:type="dxa"/>
          <w:shd w:val="clear" w:color="auto" w:fill="FFFFFF"/>
        </w:tcPr>
        <w:p w:rsidR="00D00ED8" w:rsidP="000C62BB" w:rsidRDefault="00D00ED8" w14:paraId="2BDDD837" w14:textId="77777777">
          <w:pPr>
            <w:pStyle w:val="Piepagina"/>
          </w:pPr>
          <w:r>
            <w:fldChar w:fldCharType="begin"/>
          </w:r>
          <w:r>
            <w:instrText>PAGE   \* MERGEFORMAT</w:instrText>
          </w:r>
          <w:r>
            <w:fldChar w:fldCharType="separate"/>
          </w:r>
          <w:r w:rsidR="00C05F7C">
            <w:rPr>
              <w:noProof/>
            </w:rPr>
            <w:t>1</w:t>
          </w:r>
          <w:r>
            <w:fldChar w:fldCharType="end"/>
          </w:r>
        </w:p>
      </w:tc>
    </w:tr>
  </w:tbl>
  <w:p w:rsidRPr="000C62BB" w:rsidR="00D00ED8" w:rsidRDefault="00D00ED8" w14:paraId="751CDA80" w14:textId="77777777">
    <w:pPr>
      <w:pStyle w:val="Piedepgina"/>
      <w:jc w:val="right"/>
      <w:rPr>
        <w:color w:val="969696"/>
        <w:sz w:val="20"/>
        <w:szCs w:val="20"/>
      </w:rPr>
    </w:pPr>
  </w:p>
  <w:p w:rsidR="00D00ED8" w:rsidP="00FA54DF" w:rsidRDefault="00D00ED8" w14:paraId="6EF75EC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D8" w:rsidP="008C0BF0" w:rsidRDefault="00D00ED8" w14:paraId="614707A6" w14:textId="77777777">
    <w:pPr>
      <w:pStyle w:val="Piepagina"/>
      <w:jc w:val="center"/>
    </w:pPr>
    <w:r>
      <w:rPr>
        <w:noProof/>
        <w:lang w:val="es-CR" w:eastAsia="es-CR"/>
      </w:rPr>
      <w:drawing>
        <wp:anchor distT="0" distB="0" distL="114300" distR="114300" simplePos="0" relativeHeight="251658240" behindDoc="1" locked="0" layoutInCell="1" allowOverlap="1" wp14:editId="5B8E2F38" wp14:anchorId="0CA9722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58241" behindDoc="0" locked="0" layoutInCell="1" allowOverlap="1" wp14:editId="05104CDB" wp14:anchorId="78B64F6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00ED8" w:rsidRDefault="00D00ED8" w14:paraId="5D61108C" w14:textId="77777777">
                          <w:pPr>
                            <w:rPr>
                              <w:color w:val="003A68"/>
                              <w:sz w:val="14"/>
                              <w:szCs w:val="14"/>
                            </w:rPr>
                          </w:pPr>
                          <w:r w:rsidRPr="00FA54DF">
                            <w:rPr>
                              <w:color w:val="003A68"/>
                              <w:sz w:val="14"/>
                              <w:szCs w:val="14"/>
                            </w:rPr>
                            <w:t xml:space="preserve">T. (506) 2243-3631   </w:t>
                          </w:r>
                        </w:p>
                        <w:p w:rsidRPr="00FA54DF" w:rsidR="00D00ED8" w:rsidRDefault="00D00ED8" w14:paraId="6FC4C464" w14:textId="77777777">
                          <w:pPr>
                            <w:rPr>
                              <w:color w:val="003A68"/>
                              <w:sz w:val="14"/>
                              <w:szCs w:val="14"/>
                            </w:rPr>
                          </w:pPr>
                          <w:r w:rsidRPr="00FA54DF">
                            <w:rPr>
                              <w:color w:val="003A68"/>
                              <w:sz w:val="14"/>
                              <w:szCs w:val="14"/>
                            </w:rPr>
                            <w:t xml:space="preserve">F. (506) 2243-4579   </w:t>
                          </w:r>
                        </w:p>
                        <w:p w:rsidR="00D00ED8" w:rsidRDefault="00D00ED8" w14:paraId="6AAF21FE" w14:textId="77777777">
                          <w:pPr>
                            <w:rPr>
                              <w:color w:val="003A68"/>
                              <w:sz w:val="14"/>
                              <w:szCs w:val="14"/>
                            </w:rPr>
                          </w:pPr>
                          <w:r w:rsidRPr="00FA54DF">
                            <w:rPr>
                              <w:color w:val="003A68"/>
                              <w:sz w:val="14"/>
                              <w:szCs w:val="14"/>
                            </w:rPr>
                            <w:t>Apdo. 10058-1000</w:t>
                          </w:r>
                        </w:p>
                        <w:p w:rsidR="00D00ED8" w:rsidRDefault="00D00ED8" w14:paraId="5BB7FC3E" w14:textId="77777777">
                          <w:pPr>
                            <w:rPr>
                              <w:color w:val="003A68"/>
                              <w:sz w:val="14"/>
                              <w:szCs w:val="14"/>
                            </w:rPr>
                          </w:pPr>
                          <w:r w:rsidRPr="00FA54DF">
                            <w:rPr>
                              <w:color w:val="003A68"/>
                              <w:sz w:val="14"/>
                              <w:szCs w:val="14"/>
                            </w:rPr>
                            <w:t>Av. 1 y Central, Calles 2 y 4</w:t>
                          </w:r>
                        </w:p>
                        <w:p w:rsidRPr="00FA54DF" w:rsidR="00D00ED8" w:rsidRDefault="00D00ED8" w14:paraId="3C54B0B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64F62">
              <v:stroke joinstyle="miter"/>
              <v:path gradientshapeok="t" o:connecttype="rect"/>
            </v:shapetype>
            <v:shape id="Text Box 3" style="position:absolute;left:0;text-align:left;margin-left:344.3pt;margin-top:.45pt;width:139.25pt;height:6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D00ED8" w:rsidRDefault="00D00ED8" w14:paraId="5D61108C" w14:textId="77777777">
                    <w:pPr>
                      <w:rPr>
                        <w:color w:val="003A68"/>
                        <w:sz w:val="14"/>
                        <w:szCs w:val="14"/>
                      </w:rPr>
                    </w:pPr>
                    <w:r w:rsidRPr="00FA54DF">
                      <w:rPr>
                        <w:color w:val="003A68"/>
                        <w:sz w:val="14"/>
                        <w:szCs w:val="14"/>
                      </w:rPr>
                      <w:t xml:space="preserve">T. (506) 2243-3631   </w:t>
                    </w:r>
                  </w:p>
                  <w:p w:rsidRPr="00FA54DF" w:rsidR="00D00ED8" w:rsidRDefault="00D00ED8" w14:paraId="6FC4C464" w14:textId="77777777">
                    <w:pPr>
                      <w:rPr>
                        <w:color w:val="003A68"/>
                        <w:sz w:val="14"/>
                        <w:szCs w:val="14"/>
                      </w:rPr>
                    </w:pPr>
                    <w:r w:rsidRPr="00FA54DF">
                      <w:rPr>
                        <w:color w:val="003A68"/>
                        <w:sz w:val="14"/>
                        <w:szCs w:val="14"/>
                      </w:rPr>
                      <w:t xml:space="preserve">F. (506) 2243-4579   </w:t>
                    </w:r>
                  </w:p>
                  <w:p w:rsidR="00D00ED8" w:rsidRDefault="00D00ED8" w14:paraId="6AAF21FE" w14:textId="77777777">
                    <w:pPr>
                      <w:rPr>
                        <w:color w:val="003A68"/>
                        <w:sz w:val="14"/>
                        <w:szCs w:val="14"/>
                      </w:rPr>
                    </w:pPr>
                    <w:r w:rsidRPr="00FA54DF">
                      <w:rPr>
                        <w:color w:val="003A68"/>
                        <w:sz w:val="14"/>
                        <w:szCs w:val="14"/>
                      </w:rPr>
                      <w:t>Apdo. 10058-1000</w:t>
                    </w:r>
                  </w:p>
                  <w:p w:rsidR="00D00ED8" w:rsidRDefault="00D00ED8" w14:paraId="5BB7FC3E" w14:textId="77777777">
                    <w:pPr>
                      <w:rPr>
                        <w:color w:val="003A68"/>
                        <w:sz w:val="14"/>
                        <w:szCs w:val="14"/>
                      </w:rPr>
                    </w:pPr>
                    <w:r w:rsidRPr="00FA54DF">
                      <w:rPr>
                        <w:color w:val="003A68"/>
                        <w:sz w:val="14"/>
                        <w:szCs w:val="14"/>
                      </w:rPr>
                      <w:t>Av. 1 y Central, Calles 2 y 4</w:t>
                    </w:r>
                  </w:p>
                  <w:p w:rsidRPr="00FA54DF" w:rsidR="00D00ED8" w:rsidRDefault="00D00ED8" w14:paraId="3C54B0BD" w14:textId="77777777">
                    <w:pPr>
                      <w:rPr>
                        <w:color w:val="003A68"/>
                        <w:sz w:val="14"/>
                        <w:szCs w:val="14"/>
                      </w:rPr>
                    </w:pPr>
                  </w:p>
                </w:txbxContent>
              </v:textbox>
            </v:shape>
          </w:pict>
        </mc:Fallback>
      </mc:AlternateContent>
    </w:r>
  </w:p>
  <w:p w:rsidRPr="00D43D57" w:rsidR="00D00ED8" w:rsidP="008C0BF0" w:rsidRDefault="00D00ED8" w14:paraId="7CFD5B8B" w14:textId="77777777">
    <w:pPr>
      <w:pStyle w:val="Piepagina"/>
      <w:jc w:val="center"/>
    </w:pPr>
  </w:p>
  <w:p w:rsidR="00D00ED8" w:rsidRDefault="00D00ED8" w14:paraId="1EADE77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D798" w14:textId="77777777" w:rsidR="00D00ED8" w:rsidRDefault="00D00ED8" w:rsidP="00D43D57">
      <w:r>
        <w:separator/>
      </w:r>
    </w:p>
  </w:footnote>
  <w:footnote w:type="continuationSeparator" w:id="0">
    <w:p w14:paraId="4EE493F4" w14:textId="77777777" w:rsidR="00D00ED8" w:rsidRDefault="00D00ED8" w:rsidP="00D43D57">
      <w:r>
        <w:continuationSeparator/>
      </w:r>
    </w:p>
  </w:footnote>
  <w:footnote w:type="continuationNotice" w:id="1">
    <w:p w14:paraId="611A67F9" w14:textId="77777777" w:rsidR="00361338" w:rsidRDefault="00361338">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D8" w:rsidP="001327EB" w:rsidRDefault="00D00ED8" w14:paraId="2F17C224" w14:textId="77777777">
    <w:pPr>
      <w:pStyle w:val="Piedepgina"/>
      <w:jc w:val="center"/>
    </w:pPr>
    <w:r>
      <w:rPr>
        <w:noProof/>
        <w:lang w:val="es-CR" w:eastAsia="es-CR"/>
      </w:rPr>
      <w:drawing>
        <wp:inline distT="0" distB="0" distL="0" distR="0" wp14:anchorId="6D2D9A1F" wp14:editId="097E997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00ED8" w:rsidP="00D96D0A" w:rsidRDefault="00D00ED8" w14:paraId="0F9C7CFE" w14:textId="77777777">
    <w:pPr>
      <w:pStyle w:val="Encabezado"/>
      <w:pBdr>
        <w:bottom w:val="single" w:color="auto" w:sz="4" w:space="3"/>
      </w:pBdr>
      <w:ind w:right="-1"/>
      <w:rPr>
        <w:b/>
        <w:sz w:val="20"/>
        <w:szCs w:val="20"/>
      </w:rPr>
    </w:pPr>
    <w:r>
      <w:rPr>
        <w:noProof/>
        <w:lang w:val="es-CR" w:eastAsia="es-CR"/>
      </w:rPr>
      <w:drawing>
        <wp:inline distT="0" distB="0" distL="0" distR="0" wp14:anchorId="58D31E8F" wp14:editId="36483F1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D00ED8" w:rsidP="00D96D0A" w:rsidRDefault="00D00ED8" w14:paraId="0173E39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822EE"/>
    <w:multiLevelType w:val="hybridMultilevel"/>
    <w:tmpl w:val="3544FD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B3B624D"/>
    <w:multiLevelType w:val="hybridMultilevel"/>
    <w:tmpl w:val="E45A018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83"/>
    <w:rsid w:val="000064A4"/>
    <w:rsid w:val="000235B5"/>
    <w:rsid w:val="00026C85"/>
    <w:rsid w:val="00041BDD"/>
    <w:rsid w:val="000439A6"/>
    <w:rsid w:val="00060C03"/>
    <w:rsid w:val="0006218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2F5B25"/>
    <w:rsid w:val="003060E2"/>
    <w:rsid w:val="00310570"/>
    <w:rsid w:val="00317BBB"/>
    <w:rsid w:val="00322A87"/>
    <w:rsid w:val="003267FB"/>
    <w:rsid w:val="003312B8"/>
    <w:rsid w:val="003503A2"/>
    <w:rsid w:val="003554C5"/>
    <w:rsid w:val="00361338"/>
    <w:rsid w:val="00365794"/>
    <w:rsid w:val="00373B22"/>
    <w:rsid w:val="00385CC2"/>
    <w:rsid w:val="003C4C71"/>
    <w:rsid w:val="003E4EDB"/>
    <w:rsid w:val="00410551"/>
    <w:rsid w:val="00414AB9"/>
    <w:rsid w:val="00414B77"/>
    <w:rsid w:val="00427002"/>
    <w:rsid w:val="00445881"/>
    <w:rsid w:val="00447A41"/>
    <w:rsid w:val="004822E6"/>
    <w:rsid w:val="004873F5"/>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D2301"/>
    <w:rsid w:val="005E07F2"/>
    <w:rsid w:val="005E39BB"/>
    <w:rsid w:val="006033C4"/>
    <w:rsid w:val="00603B3F"/>
    <w:rsid w:val="00604A3D"/>
    <w:rsid w:val="0060703F"/>
    <w:rsid w:val="00614D68"/>
    <w:rsid w:val="00620B23"/>
    <w:rsid w:val="0062633F"/>
    <w:rsid w:val="00630B5C"/>
    <w:rsid w:val="00635AC4"/>
    <w:rsid w:val="00640202"/>
    <w:rsid w:val="00641F25"/>
    <w:rsid w:val="00662901"/>
    <w:rsid w:val="00666129"/>
    <w:rsid w:val="00681F7A"/>
    <w:rsid w:val="00692661"/>
    <w:rsid w:val="006C2059"/>
    <w:rsid w:val="006D05AF"/>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D1467"/>
    <w:rsid w:val="007F1723"/>
    <w:rsid w:val="007F2F7D"/>
    <w:rsid w:val="007F327D"/>
    <w:rsid w:val="007F3A44"/>
    <w:rsid w:val="007F5430"/>
    <w:rsid w:val="00800394"/>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960F7"/>
    <w:rsid w:val="009B5E5E"/>
    <w:rsid w:val="009C47FE"/>
    <w:rsid w:val="009F54CB"/>
    <w:rsid w:val="00A10F2D"/>
    <w:rsid w:val="00A23019"/>
    <w:rsid w:val="00A26E9E"/>
    <w:rsid w:val="00A34523"/>
    <w:rsid w:val="00A650F7"/>
    <w:rsid w:val="00A76A2E"/>
    <w:rsid w:val="00A84CDB"/>
    <w:rsid w:val="00A906DD"/>
    <w:rsid w:val="00AB7BA1"/>
    <w:rsid w:val="00AC5138"/>
    <w:rsid w:val="00AC5E12"/>
    <w:rsid w:val="00AD0F77"/>
    <w:rsid w:val="00AD7B1E"/>
    <w:rsid w:val="00AE3929"/>
    <w:rsid w:val="00AF45B7"/>
    <w:rsid w:val="00B079EC"/>
    <w:rsid w:val="00B1150F"/>
    <w:rsid w:val="00B1318C"/>
    <w:rsid w:val="00B43C40"/>
    <w:rsid w:val="00B464F6"/>
    <w:rsid w:val="00B77CF0"/>
    <w:rsid w:val="00B80284"/>
    <w:rsid w:val="00B84E87"/>
    <w:rsid w:val="00B90216"/>
    <w:rsid w:val="00B94DE2"/>
    <w:rsid w:val="00BA112E"/>
    <w:rsid w:val="00BA56B5"/>
    <w:rsid w:val="00BA711C"/>
    <w:rsid w:val="00BB0F2F"/>
    <w:rsid w:val="00BB470C"/>
    <w:rsid w:val="00BC03D6"/>
    <w:rsid w:val="00BD71E9"/>
    <w:rsid w:val="00BE119A"/>
    <w:rsid w:val="00BE6A0B"/>
    <w:rsid w:val="00BE7B10"/>
    <w:rsid w:val="00C0383A"/>
    <w:rsid w:val="00C039CE"/>
    <w:rsid w:val="00C05F7C"/>
    <w:rsid w:val="00C1795E"/>
    <w:rsid w:val="00C22C6C"/>
    <w:rsid w:val="00C414C9"/>
    <w:rsid w:val="00C42047"/>
    <w:rsid w:val="00C5093E"/>
    <w:rsid w:val="00C60480"/>
    <w:rsid w:val="00C64425"/>
    <w:rsid w:val="00C809BA"/>
    <w:rsid w:val="00C92C68"/>
    <w:rsid w:val="00C9305E"/>
    <w:rsid w:val="00CA3FA8"/>
    <w:rsid w:val="00CB07CA"/>
    <w:rsid w:val="00CC03EB"/>
    <w:rsid w:val="00CD007A"/>
    <w:rsid w:val="00D00ED8"/>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A54DF"/>
    <w:rsid w:val="00DB3508"/>
    <w:rsid w:val="00DB3E70"/>
    <w:rsid w:val="00DB7D64"/>
    <w:rsid w:val="00DC2193"/>
    <w:rsid w:val="00DC3B8E"/>
    <w:rsid w:val="00DE08C6"/>
    <w:rsid w:val="00DE2125"/>
    <w:rsid w:val="00E0013C"/>
    <w:rsid w:val="00E11252"/>
    <w:rsid w:val="00E13C47"/>
    <w:rsid w:val="00E27FDA"/>
    <w:rsid w:val="00E5185D"/>
    <w:rsid w:val="00E540C8"/>
    <w:rsid w:val="00E75AC8"/>
    <w:rsid w:val="00E82177"/>
    <w:rsid w:val="00E85D8D"/>
    <w:rsid w:val="00E91E18"/>
    <w:rsid w:val="00EB4E27"/>
    <w:rsid w:val="00EB71D8"/>
    <w:rsid w:val="00EC2E48"/>
    <w:rsid w:val="00ED0FDD"/>
    <w:rsid w:val="00EE00D4"/>
    <w:rsid w:val="00EE3A47"/>
    <w:rsid w:val="00EF0C8B"/>
    <w:rsid w:val="00F10AFE"/>
    <w:rsid w:val="00F1102D"/>
    <w:rsid w:val="00F1297C"/>
    <w:rsid w:val="00F12A97"/>
    <w:rsid w:val="00F2472F"/>
    <w:rsid w:val="00F33277"/>
    <w:rsid w:val="00F6038D"/>
    <w:rsid w:val="00F654F5"/>
    <w:rsid w:val="00F731A3"/>
    <w:rsid w:val="00F73412"/>
    <w:rsid w:val="00F8680D"/>
    <w:rsid w:val="00F95342"/>
    <w:rsid w:val="00FA06A7"/>
    <w:rsid w:val="00FA1E58"/>
    <w:rsid w:val="00FA54DF"/>
    <w:rsid w:val="00FB79EB"/>
    <w:rsid w:val="00FD1C4F"/>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7B1EA79"/>
  <w15:docId w15:val="{13A1C0A8-7F03-4DE3-A1B1-E5D143A7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locked/>
    <w:rsid w:val="00062183"/>
    <w:pPr>
      <w:ind w:left="720"/>
      <w:contextualSpacing/>
    </w:pPr>
  </w:style>
  <w:style w:type="character" w:styleId="Refdecomentario">
    <w:name w:val="annotation reference"/>
    <w:basedOn w:val="Fuentedeprrafopredeter"/>
    <w:uiPriority w:val="99"/>
    <w:semiHidden/>
    <w:unhideWhenUsed/>
    <w:locked/>
    <w:rsid w:val="00FD1C4F"/>
    <w:rPr>
      <w:sz w:val="16"/>
      <w:szCs w:val="16"/>
    </w:rPr>
  </w:style>
  <w:style w:type="paragraph" w:styleId="Textocomentario">
    <w:name w:val="annotation text"/>
    <w:basedOn w:val="Normal"/>
    <w:link w:val="TextocomentarioCar"/>
    <w:uiPriority w:val="99"/>
    <w:semiHidden/>
    <w:unhideWhenUsed/>
    <w:locked/>
    <w:rsid w:val="00FD1C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C4F"/>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D1C4F"/>
    <w:rPr>
      <w:b/>
      <w:bCs/>
    </w:rPr>
  </w:style>
  <w:style w:type="character" w:customStyle="1" w:styleId="AsuntodelcomentarioCar">
    <w:name w:val="Asunto del comentario Car"/>
    <w:basedOn w:val="TextocomentarioCar"/>
    <w:link w:val="Asuntodelcomentario"/>
    <w:uiPriority w:val="99"/>
    <w:semiHidden/>
    <w:rsid w:val="00FD1C4F"/>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17619CEA4747AFAE8E02C75A823483"/>
        <w:category>
          <w:name w:val="General"/>
          <w:gallery w:val="placeholder"/>
        </w:category>
        <w:types>
          <w:type w:val="bbPlcHdr"/>
        </w:types>
        <w:behaviors>
          <w:behavior w:val="content"/>
        </w:behaviors>
        <w:guid w:val="{FCD6A17C-9191-420F-B415-0E6E7E817EA6}"/>
      </w:docPartPr>
      <w:docPartBody>
        <w:p w:rsidR="007A6B62" w:rsidRDefault="007A6B62">
          <w:pPr>
            <w:pStyle w:val="2A17619CEA4747AFAE8E02C75A823483"/>
          </w:pPr>
          <w:r w:rsidRPr="001E0779">
            <w:rPr>
              <w:rStyle w:val="Textodelmarcadordeposicin"/>
            </w:rPr>
            <w:t>Haga clic aquí para escribir texto.</w:t>
          </w:r>
        </w:p>
      </w:docPartBody>
    </w:docPart>
    <w:docPart>
      <w:docPartPr>
        <w:name w:val="2B35A4B79CE54F759ABABF6EC16599DF"/>
        <w:category>
          <w:name w:val="General"/>
          <w:gallery w:val="placeholder"/>
        </w:category>
        <w:types>
          <w:type w:val="bbPlcHdr"/>
        </w:types>
        <w:behaviors>
          <w:behavior w:val="content"/>
        </w:behaviors>
        <w:guid w:val="{1A585DB0-49BA-46F8-9EE1-79F8167FF107}"/>
      </w:docPartPr>
      <w:docPartBody>
        <w:p w:rsidR="007A6B62" w:rsidRDefault="007A6B62">
          <w:pPr>
            <w:pStyle w:val="2B35A4B79CE54F759ABABF6EC16599DF"/>
          </w:pPr>
          <w:r>
            <w:rPr>
              <w:rStyle w:val="Textodelmarcadordeposicin"/>
            </w:rPr>
            <w:t>Elija un elemento.</w:t>
          </w:r>
        </w:p>
      </w:docPartBody>
    </w:docPart>
    <w:docPart>
      <w:docPartPr>
        <w:name w:val="0CD4E03E79CB4281B4E0ACE1B6B0ECF4"/>
        <w:category>
          <w:name w:val="General"/>
          <w:gallery w:val="placeholder"/>
        </w:category>
        <w:types>
          <w:type w:val="bbPlcHdr"/>
        </w:types>
        <w:behaviors>
          <w:behavior w:val="content"/>
        </w:behaviors>
        <w:guid w:val="{55A9C81A-C8C9-4C3B-A346-8798265C0688}"/>
      </w:docPartPr>
      <w:docPartBody>
        <w:p w:rsidR="00707691" w:rsidRDefault="007A6B62" w:rsidP="007A6B62">
          <w:pPr>
            <w:pStyle w:val="0CD4E03E79CB4281B4E0ACE1B6B0ECF4"/>
          </w:pPr>
          <w:r>
            <w:rPr>
              <w:rStyle w:val="Textodelmarcadordeposicin"/>
            </w:rPr>
            <w:t>Haga clic aquí para escribir texto.</w:t>
          </w:r>
        </w:p>
      </w:docPartBody>
    </w:docPart>
    <w:docPart>
      <w:docPartPr>
        <w:name w:val="1CF8ECD7312C4509AE5638F82662D1FF"/>
        <w:category>
          <w:name w:val="General"/>
          <w:gallery w:val="placeholder"/>
        </w:category>
        <w:types>
          <w:type w:val="bbPlcHdr"/>
        </w:types>
        <w:behaviors>
          <w:behavior w:val="content"/>
        </w:behaviors>
        <w:guid w:val="{C1B860AF-2DBC-4FDC-819B-365D0A2C2F26}"/>
      </w:docPartPr>
      <w:docPartBody>
        <w:p w:rsidR="00707691" w:rsidRDefault="007A6B62" w:rsidP="007A6B62">
          <w:pPr>
            <w:pStyle w:val="1CF8ECD7312C4509AE5638F82662D1F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2"/>
    <w:rsid w:val="00327500"/>
    <w:rsid w:val="00707691"/>
    <w:rsid w:val="007A6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6B62"/>
  </w:style>
  <w:style w:type="paragraph" w:customStyle="1" w:styleId="2A17619CEA4747AFAE8E02C75A823483">
    <w:name w:val="2A17619CEA4747AFAE8E02C75A823483"/>
  </w:style>
  <w:style w:type="paragraph" w:customStyle="1" w:styleId="2B35A4B79CE54F759ABABF6EC16599DF">
    <w:name w:val="2B35A4B79CE54F759ABABF6EC16599DF"/>
  </w:style>
  <w:style w:type="paragraph" w:customStyle="1" w:styleId="0CD4E03E79CB4281B4E0ACE1B6B0ECF4">
    <w:name w:val="0CD4E03E79CB4281B4E0ACE1B6B0ECF4"/>
    <w:rsid w:val="007A6B62"/>
  </w:style>
  <w:style w:type="paragraph" w:customStyle="1" w:styleId="1CF8ECD7312C4509AE5638F82662D1FF">
    <w:name w:val="1CF8ECD7312C4509AE5638F82662D1FF"/>
    <w:rsid w:val="007A6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RUxJLZ3jQcsmg54OaHAq3KKScjX47AozRRVWkIeSskk=</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TI7NsPXpu3bWXEZMU/sHvqB5RhWucA8yKoM5o86u+6M=</DigestValue>
    </Reference>
  </SignedInfo>
  <SignatureValue>WBb9q3LEPMuoxXOAUcoUIfYcJ8vn/KmEktPY29MhEKKbxcZx+I5tocyLb/oDm/y9xUDywLjPf2mT
qiFHUv5ImdOnZEl8EY7Xsmz1PyXKTGJCN1jHnknvPyNfuq9WyxbY9o1ZymO7L3+LRjSSiAEKd2ID
LHrYzzmsISOc/pTqt3aPDHQpChudvGOjN4a83LegjDqRpm9bQylEwxNHlHxcA40fb5c9p3HyfT3w
ZrwG+4XCvZSdqfeK4s7ASXfrl2jKjntLW2ViEl2sJ6018Q7iyZX+hXcl0DPPIX4CKEWiGRdAAuX/
J2CqGT7raL5VGs4MarTnF2SC2yeS88goFFFc9Q==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hCG+IXmsFobW8p/XWWncz+9HJmQBP8v++fhm2ZYi0iM=</DigestValue>
      </Reference>
      <Reference URI="/word/endnotes.xml?ContentType=application/vnd.openxmlformats-officedocument.wordprocessingml.endnotes+xml">
        <DigestMethod Algorithm="http://www.w3.org/2001/04/xmlenc#sha256"/>
        <DigestValue>3vZVV4IZ0NzJJunkUz+pigNi/23DS+9VxUThNXH2U2w=</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Cv2zynHhyJtl/hSeItnl+mhdqfMW8vnJaYNuuZCyV4s=</DigestValue>
      </Reference>
      <Reference URI="/word/footer2.xml?ContentType=application/vnd.openxmlformats-officedocument.wordprocessingml.footer+xml">
        <DigestMethod Algorithm="http://www.w3.org/2001/04/xmlenc#sha256"/>
        <DigestValue>LfL4zvKJzagXtcID7ogbXNftctNRvZ4BB0t2jICodBo=</DigestValue>
      </Reference>
      <Reference URI="/word/footnotes.xml?ContentType=application/vnd.openxmlformats-officedocument.wordprocessingml.footnotes+xml">
        <DigestMethod Algorithm="http://www.w3.org/2001/04/xmlenc#sha256"/>
        <DigestValue>3dm9qQo6neaBMGzSf3Z40HfiysaGA/vy8w5a+vzvaaI=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uWStx9lD2NDwZTeGr1Zdgj6lpWKL0c/eJof8c20IsIw=</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Wp0KvmwFYDzmNkuaoXptBTa96SJVRVTYdmOs4y51XS8=</DigestValue>
      </Reference>
      <Reference URI="/word/glossary/styles.xml?ContentType=application/vnd.openxmlformats-officedocument.wordprocessingml.styles+xml">
        <DigestMethod Algorithm="http://www.w3.org/2001/04/xmlenc#sha256"/>
        <DigestValue>wmu4GBJ1/Romosbk/+CrUs8gBMtmc5qFmav3f/KPbiI=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rqwKoCqUQSfQhB9nyIKX0CL2bhAw9O4FCUHholYRhBc=</DigestValue>
      </Reference>
      <Reference URI="/word/header2.xml?ContentType=application/vnd.openxmlformats-officedocument.wordprocessingml.header+xml">
        <DigestMethod Algorithm="http://www.w3.org/2001/04/xmlenc#sha256"/>
        <DigestValue>q0jK4wGk6fSH+Ij8/e3SPOcvp2RiC5nKEm3pXagC7uU=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2yVpg3p+4YMHUc1qfNH4nBWjZMlH3v01f+Uupk3Qbsg=</DigestValue>
      </Reference>
      <Reference URI="/word/settings.xml?ContentType=application/vnd.openxmlformats-officedocument.wordprocessingml.settings+xml">
        <DigestMethod Algorithm="http://www.w3.org/2001/04/xmlenc#sha256"/>
        <DigestValue>lXz0X46OdjTFEzcXDrbjMTorlXlAi5DL1WfFEJsh4Eo=</DigestValue>
      </Reference>
      <Reference URI="/word/styles.xml?ContentType=application/vnd.openxmlformats-officedocument.wordprocessingml.styles+xml">
        <DigestMethod Algorithm="http://www.w3.org/2001/04/xmlenc#sha256"/>
        <DigestValue>Ej9dmT59IDwazPZpQtF+Dvnq6BsF4LLaGB6zJoikrIo=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2019-02-14T17:15:22Z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2019-02-14T17:15:22Z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Todas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UserInfo>
        <DisplayName>SALIENTE RIESGO GLOBAL</DisplayName>
        <AccountId>716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Variación de Ponderaciones por Riesgo de Crédito.
Copiar a Saliente Normas, Saliente Directores de Supervisión y Saliente Riesgo Global.</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Variación de Ponderaciones por Riesgo de Crédito</Subject1>
    <Entrante_x0020_relacionado xmlns="b875e23b-67d9-4b2e-bdec-edacbf90b326">
      <Url xsi:nil="true"/>
      <Description xsi:nil="true"/>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fdc47046fc10dfa4f3f71041bd66c4b2">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47912D2-45B8-43E5-B860-A2F4ECC10231}"/>
</file>

<file path=customXml/itemProps5.xml><?xml version="1.0" encoding="utf-8"?>
<ds:datastoreItem xmlns:ds="http://schemas.openxmlformats.org/officeDocument/2006/customXml" ds:itemID="{59D60DF7-420F-42CC-81FD-092378DF2FFF}"/>
</file>

<file path=customXml/itemProps6.xml><?xml version="1.0" encoding="utf-8"?>
<ds:datastoreItem xmlns:ds="http://schemas.openxmlformats.org/officeDocument/2006/customXml" ds:itemID="{7B48A6A6-DD5E-4CD3-9195-A354B0043F6B}"/>
</file>

<file path=docProps/app.xml><?xml version="1.0" encoding="utf-8"?>
<Properties xmlns="http://schemas.openxmlformats.org/officeDocument/2006/extended-properties" xmlns:vt="http://schemas.openxmlformats.org/officeDocument/2006/docPropsVTypes">
  <Template>plantilla-SGF-13-Normas</Template>
  <TotalTime>145</TotalTime>
  <Pages>3</Pages>
  <Words>880</Words>
  <Characters>4842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Arce Alpízar</dc:creator>
  <cp:lastModifiedBy>VARGAS LEAL MARIA GABRIELA</cp:lastModifiedBy>
  <cp:revision>24</cp:revision>
  <cp:lastPrinted>2015-07-30T22:36:00Z</cp:lastPrinted>
  <dcterms:created xsi:type="dcterms:W3CDTF">2019-01-24T19:43:00Z</dcterms:created>
  <dcterms:modified xsi:type="dcterms:W3CDTF">2019-02-14T14:20:00Z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28600</vt:r8>
  </property>
  <property fmtid="{D5CDD505-2E9C-101B-9397-08002B2CF9AE}" pid="13" name="Confidencialidad">
    <vt:lpwstr>Público|99c2402f-8ec3-4ca8-8024-be52e4e7f629</vt:lpwstr>
  </property>
  <property fmtid="{D5CDD505-2E9C-101B-9397-08002B2CF9AE}" pid="14" name="WorkflowChangePath">
    <vt:lpwstr>db02241f-29c2-4291-a3e5-2279928b3947,6;4369ec13-e421-46ee-ab08-ca69d5421ae5,9;</vt:lpwstr>
  </property>
</Properties>
</file>