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3A11" w:rsidP="00181ABF" w:rsidRDefault="00CF3A11" w14:paraId="3D8740E2" w14:textId="77777777">
      <w:pPr>
        <w:pStyle w:val="Texto"/>
        <w:spacing w:before="0" w:after="0" w:line="240" w:lineRule="auto"/>
        <w:rPr>
          <w:sz w:val="24"/>
        </w:rPr>
      </w:pPr>
    </w:p>
    <w:p w:rsidR="00CF3A11" w:rsidP="00181ABF" w:rsidRDefault="00CF3A11" w14:paraId="08D10236" w14:textId="77777777">
      <w:pPr>
        <w:pStyle w:val="Texto"/>
        <w:spacing w:before="0" w:after="0" w:line="240" w:lineRule="auto"/>
        <w:rPr>
          <w:sz w:val="24"/>
        </w:rPr>
      </w:pPr>
    </w:p>
    <w:p w:rsidRPr="001061A2" w:rsidR="001061A2" w:rsidP="001061A2" w:rsidRDefault="001061A2" w14:paraId="76E6A72F" w14:textId="3068DD49">
      <w:pPr>
        <w:pStyle w:val="Texto"/>
        <w:spacing w:before="0" w:after="0" w:line="240" w:lineRule="auto"/>
        <w:jc w:val="center"/>
        <w:rPr>
          <w:b/>
          <w:bCs/>
          <w:sz w:val="24"/>
        </w:rPr>
      </w:pPr>
      <w:r w:rsidRPr="001061A2">
        <w:rPr>
          <w:b/>
          <w:bCs/>
          <w:sz w:val="24"/>
        </w:rPr>
        <w:t>CIRCULAR EXTERNA</w:t>
      </w:r>
    </w:p>
    <w:p w:rsidR="00181ABF" w:rsidP="001061A2" w:rsidRDefault="001061A2" w14:paraId="554E7881" w14:textId="617F9792">
      <w:pPr>
        <w:pStyle w:val="Texto"/>
        <w:spacing w:before="0" w:after="0" w:line="240" w:lineRule="auto"/>
        <w:jc w:val="center"/>
        <w:rPr>
          <w:sz w:val="24"/>
        </w:rPr>
      </w:pPr>
      <w:r>
        <w:rPr>
          <w:sz w:val="24"/>
        </w:rPr>
        <w:t>5 de febrero de 2024</w:t>
      </w:r>
    </w:p>
    <w:sdt>
      <w:sdtPr>
        <w:rPr>
          <w:sz w:val="24"/>
        </w:rPr>
        <w:alias w:val="Consecutivo"/>
        <w:tag w:val="Consecutivo"/>
        <w:id w:val="2052717023"/>
        <w:placeholder>
          <w:docPart w:val="E88AE1EFFF624C8690B0FCB255BF33C5"/>
        </w:placeholder>
        <w:text/>
      </w:sdtPr>
      <w:sdtEndPr/>
      <w:sdtContent>
        <w:p w:rsidR="00181ABF" w:rsidP="001061A2" w:rsidRDefault="00181ABF" w14:paraId="3E71D11E" w14:textId="77777777">
          <w:pPr>
            <w:tabs>
              <w:tab w:val="left" w:pos="2843"/>
            </w:tabs>
            <w:spacing w:line="240" w:lineRule="auto"/>
            <w:jc w:val="center"/>
            <w:rPr>
              <w:sz w:val="24"/>
            </w:rPr>
          </w:pPr>
          <w:r>
            <w:t>SGF-0361-2024</w:t>
          </w:r>
        </w:p>
      </w:sdtContent>
    </w:sdt>
    <w:p w:rsidR="00181ABF" w:rsidP="001061A2" w:rsidRDefault="00DA56B1" w14:paraId="2F704716" w14:textId="0FA9005D">
      <w:pPr>
        <w:tabs>
          <w:tab w:val="left" w:pos="2843"/>
        </w:tabs>
        <w:spacing w:line="240" w:lineRule="auto"/>
        <w:jc w:val="center"/>
        <w:rPr>
          <w:sz w:val="24"/>
        </w:rPr>
      </w:pPr>
      <w:sdt>
        <w:sdtPr>
          <w:rPr>
            <w:sz w:val="24"/>
          </w:rPr>
          <w:alias w:val="Confidencialidad"/>
          <w:tag w:val="Confidencialidad"/>
          <w:id w:val="1447896894"/>
          <w:placeholder>
            <w:docPart w:val="C593192AD0B74257B1D46B307172069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1061A2">
            <w:rPr>
              <w:sz w:val="24"/>
            </w:rPr>
            <w:t>SGF-PUBLICO</w:t>
          </w:r>
        </w:sdtContent>
      </w:sdt>
    </w:p>
    <w:p w:rsidR="001061A2" w:rsidP="00181ABF" w:rsidRDefault="001061A2" w14:paraId="15DEB6B0" w14:textId="648CE45F">
      <w:pPr>
        <w:pStyle w:val="Negrita"/>
        <w:spacing w:line="240" w:lineRule="auto"/>
        <w:jc w:val="left"/>
        <w:rPr>
          <w:b w:val="0"/>
          <w:sz w:val="24"/>
        </w:rPr>
      </w:pPr>
    </w:p>
    <w:p w:rsidR="001061A2" w:rsidP="00181ABF" w:rsidRDefault="001061A2" w14:paraId="0C21F1B2" w14:textId="0D4203B2">
      <w:pPr>
        <w:pStyle w:val="Negrita"/>
        <w:spacing w:line="240" w:lineRule="auto"/>
        <w:jc w:val="left"/>
        <w:rPr>
          <w:b w:val="0"/>
          <w:sz w:val="24"/>
        </w:rPr>
      </w:pPr>
    </w:p>
    <w:p w:rsidR="001061A2" w:rsidP="001061A2" w:rsidRDefault="001061A2" w14:paraId="230A5F41" w14:textId="77777777">
      <w:pPr>
        <w:tabs>
          <w:tab w:val="left" w:pos="2843"/>
        </w:tabs>
        <w:ind w:left="1701" w:hanging="1701"/>
        <w:rPr>
          <w:b/>
          <w:color w:val="000000" w:themeColor="text1"/>
        </w:rPr>
      </w:pPr>
      <w:r w:rsidRPr="0017570E">
        <w:rPr>
          <w:b/>
          <w:color w:val="000000" w:themeColor="text1"/>
        </w:rPr>
        <w:t>Dirigida a:</w:t>
      </w:r>
    </w:p>
    <w:p w:rsidRPr="0017570E" w:rsidR="001061A2" w:rsidP="001061A2" w:rsidRDefault="001061A2" w14:paraId="5FF50F37" w14:textId="77777777">
      <w:pPr>
        <w:tabs>
          <w:tab w:val="left" w:pos="2843"/>
        </w:tabs>
        <w:ind w:left="1701" w:hanging="1701"/>
        <w:rPr>
          <w:b/>
          <w:color w:val="000000" w:themeColor="text1"/>
        </w:rPr>
      </w:pPr>
    </w:p>
    <w:p w:rsidRPr="0017570E" w:rsidR="001061A2" w:rsidP="001061A2" w:rsidRDefault="001061A2" w14:paraId="57558799" w14:textId="77777777">
      <w:pPr>
        <w:pStyle w:val="Prrafodelista"/>
        <w:numPr>
          <w:ilvl w:val="0"/>
          <w:numId w:val="3"/>
        </w:numPr>
        <w:ind w:left="567" w:hanging="567"/>
        <w:contextualSpacing w:val="0"/>
        <w:jc w:val="both"/>
        <w:rPr>
          <w:rFonts w:ascii="Cambria" w:hAnsi="Cambria"/>
          <w:b/>
          <w:color w:val="000000" w:themeColor="text1"/>
        </w:rPr>
      </w:pPr>
      <w:r w:rsidRPr="0017570E">
        <w:rPr>
          <w:rFonts w:ascii="Cambria" w:hAnsi="Cambria"/>
          <w:b/>
          <w:color w:val="000000" w:themeColor="text1"/>
        </w:rPr>
        <w:t>Supervisados por Sugef</w:t>
      </w:r>
    </w:p>
    <w:p w:rsidRPr="0017570E" w:rsidR="001061A2" w:rsidP="001061A2" w:rsidRDefault="001061A2" w14:paraId="073FD187" w14:textId="77777777">
      <w:pPr>
        <w:pStyle w:val="Prrafodelista"/>
        <w:numPr>
          <w:ilvl w:val="1"/>
          <w:numId w:val="4"/>
        </w:numPr>
        <w:ind w:left="1134" w:hanging="567"/>
        <w:jc w:val="both"/>
        <w:rPr>
          <w:rFonts w:ascii="Cambria" w:hAnsi="Cambria"/>
          <w:color w:val="000000" w:themeColor="text1"/>
        </w:rPr>
      </w:pPr>
      <w:r w:rsidRPr="0017570E">
        <w:rPr>
          <w:rFonts w:ascii="Cambria" w:hAnsi="Cambria"/>
          <w:color w:val="000000" w:themeColor="text1"/>
        </w:rPr>
        <w:t>Bancos comerciales del estado.</w:t>
      </w:r>
    </w:p>
    <w:p w:rsidRPr="0017570E" w:rsidR="001061A2" w:rsidP="001061A2" w:rsidRDefault="001061A2" w14:paraId="3655CC76" w14:textId="77777777">
      <w:pPr>
        <w:pStyle w:val="Prrafodelista"/>
        <w:numPr>
          <w:ilvl w:val="1"/>
          <w:numId w:val="4"/>
        </w:numPr>
        <w:ind w:left="1134" w:hanging="567"/>
        <w:jc w:val="both"/>
        <w:rPr>
          <w:rFonts w:ascii="Cambria" w:hAnsi="Cambria"/>
          <w:color w:val="000000" w:themeColor="text1"/>
        </w:rPr>
      </w:pPr>
      <w:r w:rsidRPr="0017570E">
        <w:rPr>
          <w:rFonts w:ascii="Cambria" w:hAnsi="Cambria"/>
          <w:color w:val="000000" w:themeColor="text1"/>
        </w:rPr>
        <w:t xml:space="preserve">Bancos creados por ley especial. </w:t>
      </w:r>
    </w:p>
    <w:p w:rsidRPr="0017570E" w:rsidR="001061A2" w:rsidP="001061A2" w:rsidRDefault="001061A2" w14:paraId="149188FC" w14:textId="77777777">
      <w:pPr>
        <w:pStyle w:val="Prrafodelista"/>
        <w:numPr>
          <w:ilvl w:val="1"/>
          <w:numId w:val="4"/>
        </w:numPr>
        <w:ind w:left="1134" w:hanging="567"/>
        <w:jc w:val="both"/>
        <w:rPr>
          <w:rFonts w:ascii="Cambria" w:hAnsi="Cambria"/>
          <w:color w:val="000000" w:themeColor="text1"/>
        </w:rPr>
      </w:pPr>
      <w:r w:rsidRPr="0017570E">
        <w:rPr>
          <w:rFonts w:ascii="Cambria" w:hAnsi="Cambria"/>
          <w:color w:val="000000" w:themeColor="text1"/>
        </w:rPr>
        <w:t xml:space="preserve">Bancos privados. </w:t>
      </w:r>
    </w:p>
    <w:p w:rsidRPr="0017570E" w:rsidR="001061A2" w:rsidP="001061A2" w:rsidRDefault="001061A2" w14:paraId="2E40F547" w14:textId="77777777">
      <w:pPr>
        <w:pStyle w:val="Prrafodelista"/>
        <w:numPr>
          <w:ilvl w:val="1"/>
          <w:numId w:val="4"/>
        </w:numPr>
        <w:ind w:left="1134" w:hanging="567"/>
        <w:jc w:val="both"/>
        <w:rPr>
          <w:rFonts w:ascii="Cambria" w:hAnsi="Cambria"/>
          <w:color w:val="000000" w:themeColor="text1"/>
        </w:rPr>
      </w:pPr>
      <w:r w:rsidRPr="0017570E">
        <w:rPr>
          <w:rFonts w:ascii="Cambria" w:hAnsi="Cambria"/>
          <w:color w:val="000000" w:themeColor="text1"/>
        </w:rPr>
        <w:t xml:space="preserve">Empresas financieras no bancarias. </w:t>
      </w:r>
    </w:p>
    <w:p w:rsidRPr="0017570E" w:rsidR="001061A2" w:rsidP="001061A2" w:rsidRDefault="001061A2" w14:paraId="0D0E7472" w14:textId="77777777">
      <w:pPr>
        <w:pStyle w:val="Prrafodelista"/>
        <w:numPr>
          <w:ilvl w:val="1"/>
          <w:numId w:val="4"/>
        </w:numPr>
        <w:ind w:left="1134" w:hanging="567"/>
        <w:jc w:val="both"/>
        <w:rPr>
          <w:rFonts w:ascii="Cambria" w:hAnsi="Cambria"/>
          <w:color w:val="000000" w:themeColor="text1"/>
        </w:rPr>
      </w:pPr>
      <w:r w:rsidRPr="0017570E">
        <w:rPr>
          <w:rFonts w:ascii="Cambria" w:hAnsi="Cambria"/>
          <w:color w:val="000000" w:themeColor="text1"/>
        </w:rPr>
        <w:t xml:space="preserve">Organizaciones cooperativas de ahorro y crédito. </w:t>
      </w:r>
    </w:p>
    <w:p w:rsidRPr="0017570E" w:rsidR="001061A2" w:rsidP="001061A2" w:rsidRDefault="001061A2" w14:paraId="7E95F01C" w14:textId="77777777">
      <w:pPr>
        <w:pStyle w:val="Prrafodelista"/>
        <w:numPr>
          <w:ilvl w:val="1"/>
          <w:numId w:val="4"/>
        </w:numPr>
        <w:ind w:left="1134" w:hanging="567"/>
        <w:jc w:val="both"/>
        <w:rPr>
          <w:rFonts w:ascii="Cambria" w:hAnsi="Cambria"/>
          <w:color w:val="000000" w:themeColor="text1"/>
        </w:rPr>
      </w:pPr>
      <w:r w:rsidRPr="0017570E">
        <w:rPr>
          <w:rFonts w:ascii="Cambria" w:hAnsi="Cambria"/>
          <w:color w:val="000000" w:themeColor="text1"/>
        </w:rPr>
        <w:t xml:space="preserve">Asociaciones mutualistas de ahorro y préstamo. </w:t>
      </w:r>
    </w:p>
    <w:p w:rsidRPr="0017570E" w:rsidR="001061A2" w:rsidP="001061A2" w:rsidRDefault="001061A2" w14:paraId="592952F0" w14:textId="77777777">
      <w:pPr>
        <w:pStyle w:val="Prrafodelista"/>
        <w:numPr>
          <w:ilvl w:val="1"/>
          <w:numId w:val="4"/>
        </w:numPr>
        <w:ind w:left="1134" w:hanging="567"/>
        <w:jc w:val="both"/>
        <w:rPr>
          <w:rFonts w:ascii="Cambria" w:hAnsi="Cambria"/>
          <w:color w:val="000000" w:themeColor="text1"/>
        </w:rPr>
      </w:pPr>
      <w:r w:rsidRPr="0017570E">
        <w:rPr>
          <w:rFonts w:ascii="Cambria" w:hAnsi="Cambria"/>
          <w:color w:val="000000" w:themeColor="text1"/>
        </w:rPr>
        <w:t xml:space="preserve">Otras entidades financieras. </w:t>
      </w:r>
    </w:p>
    <w:p w:rsidRPr="0017570E" w:rsidR="001061A2" w:rsidP="001061A2" w:rsidRDefault="001061A2" w14:paraId="215FA944" w14:textId="77777777">
      <w:pPr>
        <w:pStyle w:val="Prrafodelista"/>
        <w:numPr>
          <w:ilvl w:val="1"/>
          <w:numId w:val="4"/>
        </w:numPr>
        <w:ind w:left="1134" w:hanging="567"/>
        <w:jc w:val="both"/>
        <w:rPr>
          <w:rFonts w:ascii="Cambria" w:hAnsi="Cambria"/>
          <w:color w:val="000000" w:themeColor="text1"/>
        </w:rPr>
      </w:pPr>
      <w:r w:rsidRPr="0017570E">
        <w:rPr>
          <w:rFonts w:ascii="Cambria" w:hAnsi="Cambria"/>
          <w:color w:val="000000" w:themeColor="text1"/>
        </w:rPr>
        <w:t>Casas de cambio.</w:t>
      </w:r>
    </w:p>
    <w:p w:rsidRPr="0017570E" w:rsidR="001061A2" w:rsidP="001061A2" w:rsidRDefault="001061A2" w14:paraId="6DED54A4" w14:textId="77777777">
      <w:pPr>
        <w:pStyle w:val="Prrafodelista"/>
        <w:numPr>
          <w:ilvl w:val="1"/>
          <w:numId w:val="4"/>
        </w:numPr>
        <w:ind w:left="1134" w:hanging="567"/>
        <w:jc w:val="both"/>
        <w:rPr>
          <w:rFonts w:ascii="Cambria" w:hAnsi="Cambria"/>
          <w:color w:val="000000" w:themeColor="text1"/>
        </w:rPr>
      </w:pPr>
      <w:r w:rsidRPr="0017570E">
        <w:rPr>
          <w:rFonts w:ascii="Cambria" w:hAnsi="Cambria"/>
          <w:bCs/>
          <w:color w:val="000000" w:themeColor="text1"/>
        </w:rPr>
        <w:t>Conglomerados y grupos financieros activos inscritos en la SUGEF.</w:t>
      </w:r>
    </w:p>
    <w:p w:rsidRPr="0017570E" w:rsidR="001061A2" w:rsidP="001061A2" w:rsidRDefault="001061A2" w14:paraId="44D50799" w14:textId="77777777">
      <w:pPr>
        <w:pStyle w:val="Prrafodelista"/>
        <w:ind w:left="1134"/>
        <w:jc w:val="both"/>
        <w:rPr>
          <w:rFonts w:ascii="Cambria" w:hAnsi="Cambria"/>
          <w:color w:val="000000" w:themeColor="text1"/>
        </w:rPr>
      </w:pPr>
    </w:p>
    <w:p w:rsidRPr="0017570E" w:rsidR="001061A2" w:rsidP="001061A2" w:rsidRDefault="001061A2" w14:paraId="3B914157" w14:textId="77777777">
      <w:pPr>
        <w:pStyle w:val="Prrafodelista"/>
        <w:numPr>
          <w:ilvl w:val="0"/>
          <w:numId w:val="3"/>
        </w:numPr>
        <w:ind w:left="567" w:hanging="567"/>
        <w:contextualSpacing w:val="0"/>
        <w:jc w:val="both"/>
        <w:rPr>
          <w:rFonts w:ascii="Cambria" w:hAnsi="Cambria"/>
          <w:bCs/>
          <w:color w:val="000000" w:themeColor="text1"/>
        </w:rPr>
      </w:pPr>
      <w:r w:rsidRPr="0017570E">
        <w:rPr>
          <w:rFonts w:ascii="Cambria" w:hAnsi="Cambria"/>
          <w:b/>
          <w:color w:val="000000" w:themeColor="text1"/>
        </w:rPr>
        <w:t xml:space="preserve">Sujetos Inscritos ante la Sugef por realizar Actividades y Profesiones No Financieras Designadas (APNFD) </w:t>
      </w:r>
      <w:r w:rsidRPr="0017570E">
        <w:rPr>
          <w:rFonts w:ascii="Cambria" w:hAnsi="Cambria"/>
          <w:bCs/>
          <w:color w:val="000000" w:themeColor="text1"/>
        </w:rPr>
        <w:t xml:space="preserve">por los artículos 15 y 15 bis de la </w:t>
      </w:r>
      <w:r w:rsidRPr="0017570E">
        <w:rPr>
          <w:rFonts w:ascii="Cambria" w:hAnsi="Cambria"/>
          <w:bCs/>
          <w:i/>
          <w:iCs/>
          <w:color w:val="000000" w:themeColor="text1"/>
        </w:rPr>
        <w:t>Ley sobre estupefacientes, sustancias psicotrópicas, drogas de uso no autorizado, actividades conexas, legitimación de capitales y financiamiento al terrorismo</w:t>
      </w:r>
      <w:r w:rsidRPr="0017570E">
        <w:rPr>
          <w:rFonts w:ascii="Cambria" w:hAnsi="Cambria"/>
          <w:bCs/>
          <w:color w:val="000000" w:themeColor="text1"/>
        </w:rPr>
        <w:t>, Ley 7786 y sus reformas.</w:t>
      </w:r>
    </w:p>
    <w:p w:rsidRPr="0017570E" w:rsidR="001061A2" w:rsidP="001061A2" w:rsidRDefault="001061A2" w14:paraId="4E846864" w14:textId="77777777">
      <w:pPr>
        <w:pStyle w:val="Prrafodelista"/>
        <w:ind w:left="567"/>
        <w:contextualSpacing w:val="0"/>
        <w:jc w:val="both"/>
        <w:rPr>
          <w:rFonts w:ascii="Cambria" w:hAnsi="Cambria"/>
          <w:bCs/>
          <w:color w:val="000000" w:themeColor="text1"/>
        </w:rPr>
      </w:pPr>
    </w:p>
    <w:p w:rsidRPr="0017570E" w:rsidR="001061A2" w:rsidP="001061A2" w:rsidRDefault="001061A2" w14:paraId="48A5B099" w14:textId="77777777">
      <w:pPr>
        <w:pStyle w:val="Prrafodelista"/>
        <w:numPr>
          <w:ilvl w:val="0"/>
          <w:numId w:val="3"/>
        </w:numPr>
        <w:ind w:left="567" w:hanging="567"/>
        <w:contextualSpacing w:val="0"/>
        <w:jc w:val="both"/>
        <w:rPr>
          <w:rFonts w:ascii="Cambria" w:hAnsi="Cambria"/>
          <w:bCs/>
          <w:color w:val="000000" w:themeColor="text1"/>
        </w:rPr>
      </w:pPr>
      <w:r w:rsidRPr="0017570E">
        <w:rPr>
          <w:rFonts w:ascii="Cambria" w:hAnsi="Cambria"/>
          <w:b/>
          <w:color w:val="000000" w:themeColor="text1"/>
        </w:rPr>
        <w:t>Auditores Externos Inscritos en el Registro de Auditores Externos de la SUGEVAL</w:t>
      </w:r>
      <w:r w:rsidRPr="0017570E">
        <w:rPr>
          <w:rFonts w:ascii="Cambria" w:hAnsi="Cambria"/>
          <w:color w:val="000000" w:themeColor="text1"/>
        </w:rPr>
        <w:t xml:space="preserve"> que forma parte del Registro Nacional de Valores e Intermediarios, dispuesto en la </w:t>
      </w:r>
      <w:r w:rsidRPr="0017570E">
        <w:rPr>
          <w:rFonts w:ascii="Cambria" w:hAnsi="Cambria"/>
          <w:i/>
          <w:iCs/>
          <w:color w:val="000000" w:themeColor="text1"/>
        </w:rPr>
        <w:t>Ley Reguladora del Mercado de Valores.</w:t>
      </w:r>
    </w:p>
    <w:p w:rsidRPr="0017570E" w:rsidR="001061A2" w:rsidP="001061A2" w:rsidRDefault="001061A2" w14:paraId="1774C97B" w14:textId="77777777">
      <w:pPr>
        <w:ind w:left="1701" w:hanging="1701"/>
        <w:rPr>
          <w:b/>
          <w:color w:val="000000" w:themeColor="text1"/>
        </w:rPr>
      </w:pPr>
    </w:p>
    <w:p w:rsidR="00C318B4" w:rsidP="001061A2" w:rsidRDefault="00C318B4" w14:paraId="60FF08E3" w14:textId="77777777">
      <w:pPr>
        <w:ind w:left="1701" w:hanging="1701"/>
        <w:rPr>
          <w:b/>
          <w:color w:val="000000" w:themeColor="text1"/>
        </w:rPr>
      </w:pPr>
    </w:p>
    <w:p w:rsidRPr="00691C02" w:rsidR="001061A2" w:rsidP="001061A2" w:rsidRDefault="001061A2" w14:paraId="76623CBC" w14:textId="5447C936">
      <w:pPr>
        <w:ind w:left="1701" w:hanging="1701"/>
        <w:rPr>
          <w:color w:val="FF0000"/>
          <w:sz w:val="26"/>
          <w:szCs w:val="26"/>
        </w:rPr>
      </w:pPr>
      <w:r w:rsidRPr="00691C02">
        <w:rPr>
          <w:b/>
          <w:color w:val="000000" w:themeColor="text1"/>
          <w:sz w:val="26"/>
          <w:szCs w:val="26"/>
        </w:rPr>
        <w:t>Asunto</w:t>
      </w:r>
      <w:r w:rsidRPr="00691C02">
        <w:rPr>
          <w:color w:val="000000" w:themeColor="text1"/>
          <w:sz w:val="26"/>
          <w:szCs w:val="26"/>
        </w:rPr>
        <w:t>:</w:t>
      </w:r>
      <w:r w:rsidRPr="00691C02">
        <w:rPr>
          <w:color w:val="000000" w:themeColor="text1"/>
          <w:sz w:val="26"/>
          <w:szCs w:val="26"/>
        </w:rPr>
        <w:tab/>
      </w:r>
      <w:r w:rsidRPr="00691C02">
        <w:rPr>
          <w:b/>
          <w:bCs/>
          <w:color w:val="000000" w:themeColor="text1"/>
          <w:sz w:val="26"/>
          <w:szCs w:val="26"/>
        </w:rPr>
        <w:t>Implementación del Sistema de Auditorías Externas (SAE</w:t>
      </w:r>
      <w:r w:rsidRPr="00691C02">
        <w:rPr>
          <w:b/>
          <w:bCs/>
          <w:sz w:val="26"/>
          <w:szCs w:val="26"/>
        </w:rPr>
        <w:t>S).</w:t>
      </w:r>
      <w:r w:rsidRPr="00691C02">
        <w:rPr>
          <w:sz w:val="26"/>
          <w:szCs w:val="26"/>
        </w:rPr>
        <w:t xml:space="preserve"> </w:t>
      </w:r>
    </w:p>
    <w:p w:rsidR="001061A2" w:rsidP="001061A2" w:rsidRDefault="001061A2" w14:paraId="31C0FC52" w14:textId="77777777">
      <w:pPr>
        <w:rPr>
          <w:b/>
          <w:bCs/>
        </w:rPr>
      </w:pPr>
    </w:p>
    <w:p w:rsidRPr="0017570E" w:rsidR="001061A2" w:rsidP="001061A2" w:rsidRDefault="001061A2" w14:paraId="539CB1BA" w14:textId="77777777">
      <w:pPr>
        <w:rPr>
          <w:b/>
          <w:bCs/>
        </w:rPr>
      </w:pPr>
    </w:p>
    <w:p w:rsidRPr="00691C02" w:rsidR="001061A2" w:rsidP="00691C02" w:rsidRDefault="00691C02" w14:paraId="3D5B018A" w14:textId="0C87FCF4">
      <w:pPr>
        <w:rPr>
          <w:b/>
          <w:bCs/>
          <w:sz w:val="24"/>
        </w:rPr>
      </w:pPr>
      <w:r w:rsidRPr="00691C02">
        <w:rPr>
          <w:b/>
          <w:bCs/>
          <w:sz w:val="24"/>
        </w:rPr>
        <w:t xml:space="preserve">La Superintendente </w:t>
      </w:r>
      <w:r w:rsidRPr="00691C02" w:rsidR="001061A2">
        <w:rPr>
          <w:b/>
          <w:bCs/>
          <w:sz w:val="24"/>
        </w:rPr>
        <w:t>General de Entidades Financieras,</w:t>
      </w:r>
    </w:p>
    <w:p w:rsidRPr="0017570E" w:rsidR="001061A2" w:rsidP="001061A2" w:rsidRDefault="001061A2" w14:paraId="6756E438" w14:textId="77777777"/>
    <w:p w:rsidRPr="00691C02" w:rsidR="001061A2" w:rsidP="001061A2" w:rsidRDefault="001061A2" w14:paraId="0B7E376D" w14:textId="77777777">
      <w:pPr>
        <w:rPr>
          <w:b/>
          <w:bCs/>
          <w:sz w:val="24"/>
        </w:rPr>
      </w:pPr>
      <w:r w:rsidRPr="00691C02">
        <w:rPr>
          <w:b/>
          <w:bCs/>
          <w:sz w:val="24"/>
        </w:rPr>
        <w:t xml:space="preserve">Considerando que: </w:t>
      </w:r>
    </w:p>
    <w:p w:rsidRPr="0017570E" w:rsidR="001061A2" w:rsidP="001061A2" w:rsidRDefault="001061A2" w14:paraId="0421067A" w14:textId="77777777">
      <w:pPr>
        <w:pStyle w:val="Prrafodelista"/>
        <w:widowControl w:val="0"/>
        <w:jc w:val="both"/>
        <w:rPr>
          <w:rFonts w:ascii="Cambria" w:hAnsi="Cambria"/>
          <w:highlight w:val="lightGray"/>
        </w:rPr>
      </w:pPr>
      <w:bookmarkStart w:name="_Hlk61869442" w:id="0"/>
      <w:bookmarkStart w:name="_Hlk61870284" w:id="1"/>
    </w:p>
    <w:p w:rsidRPr="0017570E" w:rsidR="001061A2" w:rsidP="001061A2" w:rsidRDefault="001061A2" w14:paraId="02021A71" w14:textId="77777777">
      <w:pPr>
        <w:pStyle w:val="Prrafodelista"/>
        <w:widowControl w:val="0"/>
        <w:numPr>
          <w:ilvl w:val="0"/>
          <w:numId w:val="5"/>
        </w:numPr>
        <w:ind w:left="426" w:hanging="284"/>
        <w:jc w:val="both"/>
        <w:rPr>
          <w:rFonts w:ascii="Cambria" w:hAnsi="Cambria"/>
          <w:i/>
          <w:iCs/>
        </w:rPr>
      </w:pPr>
      <w:r w:rsidRPr="0017570E">
        <w:rPr>
          <w:rFonts w:ascii="Cambria" w:hAnsi="Cambria"/>
        </w:rPr>
        <w:t xml:space="preserve">El numeral xiv), del literal n) del artículo 131 de la </w:t>
      </w:r>
      <w:r w:rsidRPr="0017570E">
        <w:rPr>
          <w:rFonts w:ascii="Cambria" w:hAnsi="Cambria"/>
          <w:i/>
          <w:iCs/>
        </w:rPr>
        <w:t>Ley Orgánica del Banco Central de Costa Rica</w:t>
      </w:r>
      <w:r w:rsidRPr="0017570E">
        <w:rPr>
          <w:rFonts w:ascii="Cambria" w:hAnsi="Cambria"/>
        </w:rPr>
        <w:t>, Ley 7558, establece que la Superintendencia podrá proponer normas: “</w:t>
      </w:r>
      <w:r w:rsidRPr="0017570E">
        <w:rPr>
          <w:rFonts w:ascii="Cambria" w:hAnsi="Cambria"/>
          <w:i/>
          <w:iCs/>
        </w:rPr>
        <w:t>Para definir la periodicidad, el alcance, los procedimientos y la publicación de los informes de las auditorías externas de las entidades fiscalizadas, lo cual incluye la posibilidad de revisar los documentos que respaldan las labores de las auditorías externas.</w:t>
      </w:r>
    </w:p>
    <w:p w:rsidRPr="0017570E" w:rsidR="001061A2" w:rsidP="001061A2" w:rsidRDefault="001061A2" w14:paraId="25BD034C" w14:textId="77777777">
      <w:pPr>
        <w:pStyle w:val="Prrafodelista"/>
        <w:ind w:left="426" w:hanging="284"/>
        <w:jc w:val="both"/>
        <w:rPr>
          <w:rFonts w:ascii="Cambria" w:hAnsi="Cambria"/>
        </w:rPr>
      </w:pPr>
    </w:p>
    <w:p w:rsidRPr="0017570E" w:rsidR="001061A2" w:rsidP="001061A2" w:rsidRDefault="001061A2" w14:paraId="5F342E76" w14:textId="12B3BF65">
      <w:pPr>
        <w:pStyle w:val="Prrafodelista"/>
        <w:numPr>
          <w:ilvl w:val="0"/>
          <w:numId w:val="5"/>
        </w:numPr>
        <w:ind w:left="426" w:hanging="142"/>
        <w:jc w:val="both"/>
        <w:rPr>
          <w:rFonts w:ascii="Cambria" w:hAnsi="Cambria"/>
        </w:rPr>
      </w:pPr>
      <w:r w:rsidRPr="0017570E">
        <w:rPr>
          <w:rFonts w:ascii="Cambria" w:hAnsi="Cambria"/>
        </w:rPr>
        <w:lastRenderedPageBreak/>
        <w:t xml:space="preserve">El artículo 155 ter de la Ley 7558 establece que las personas físicas o jurídicas que realicen informes o auditorías externas sobre entidades y empresas supervisadas o sobre grupos y conglomerados financieros serán sancionadas cuando incumplan las condiciones establecidas en </w:t>
      </w:r>
      <w:r>
        <w:rPr>
          <w:rFonts w:ascii="Cambria" w:hAnsi="Cambria"/>
        </w:rPr>
        <w:t>dicho</w:t>
      </w:r>
      <w:r w:rsidRPr="0017570E">
        <w:rPr>
          <w:rFonts w:ascii="Cambria" w:hAnsi="Cambria"/>
        </w:rPr>
        <w:t xml:space="preserve"> artículo.  </w:t>
      </w:r>
    </w:p>
    <w:p w:rsidR="001061A2" w:rsidP="001061A2" w:rsidRDefault="001061A2" w14:paraId="6FE74A05" w14:textId="77777777">
      <w:pPr>
        <w:pStyle w:val="Prrafodelista"/>
        <w:ind w:left="426" w:hanging="284"/>
        <w:rPr>
          <w:rFonts w:ascii="Cambria" w:hAnsi="Cambria"/>
        </w:rPr>
      </w:pPr>
    </w:p>
    <w:p w:rsidRPr="0017570E" w:rsidR="001061A2" w:rsidP="001061A2" w:rsidRDefault="001061A2" w14:paraId="170F83E6" w14:textId="77777777">
      <w:pPr>
        <w:pStyle w:val="Prrafodelista"/>
        <w:widowControl w:val="0"/>
        <w:numPr>
          <w:ilvl w:val="0"/>
          <w:numId w:val="5"/>
        </w:numPr>
        <w:ind w:left="426" w:hanging="142"/>
        <w:jc w:val="both"/>
        <w:rPr>
          <w:rFonts w:ascii="Cambria" w:hAnsi="Cambria"/>
        </w:rPr>
      </w:pPr>
      <w:r w:rsidRPr="0017570E">
        <w:rPr>
          <w:rFonts w:ascii="Cambria" w:hAnsi="Cambria"/>
        </w:rPr>
        <w:t xml:space="preserve">Los artículos 15 y 16 del </w:t>
      </w:r>
      <w:r w:rsidRPr="0017570E">
        <w:rPr>
          <w:rFonts w:ascii="Cambria" w:hAnsi="Cambria"/>
          <w:i/>
          <w:iCs/>
        </w:rPr>
        <w:t>Reglamento para la prevención del riesgo de legitimación de capitales, financiamiento del terrorismo y de la proliferación de armas de destrucción masiva, aplicable a los sujetos obligados por el artículo 14 de la Ley 7786</w:t>
      </w:r>
      <w:r w:rsidRPr="0017570E">
        <w:rPr>
          <w:rFonts w:ascii="Cambria" w:hAnsi="Cambria"/>
        </w:rPr>
        <w:t xml:space="preserve">, Acuerdo CONASSIF 12-21, señalan que los Superintendentes pueden establecer mediante lineamientos generales, criterios complementarios para la ejecución de la auditoría externa y el medio y la forma de remisión del informe del auditor externo. </w:t>
      </w:r>
    </w:p>
    <w:p w:rsidR="001061A2" w:rsidP="001061A2" w:rsidRDefault="001061A2" w14:paraId="4943DF8D" w14:textId="77777777">
      <w:pPr>
        <w:pStyle w:val="Prrafodelista"/>
        <w:ind w:left="426" w:hanging="284"/>
        <w:rPr>
          <w:rFonts w:ascii="Cambria" w:hAnsi="Cambria"/>
        </w:rPr>
      </w:pPr>
    </w:p>
    <w:bookmarkEnd w:id="0"/>
    <w:p w:rsidRPr="0017570E" w:rsidR="001061A2" w:rsidP="001061A2" w:rsidRDefault="001061A2" w14:paraId="4BE40BA0" w14:textId="77777777">
      <w:pPr>
        <w:pStyle w:val="Prrafodelista"/>
        <w:widowControl w:val="0"/>
        <w:numPr>
          <w:ilvl w:val="0"/>
          <w:numId w:val="5"/>
        </w:numPr>
        <w:ind w:left="426" w:hanging="142"/>
        <w:jc w:val="both"/>
        <w:rPr>
          <w:rFonts w:ascii="Cambria" w:hAnsi="Cambria"/>
        </w:rPr>
      </w:pPr>
      <w:r w:rsidRPr="0017570E">
        <w:rPr>
          <w:rFonts w:ascii="Cambria" w:hAnsi="Cambria"/>
        </w:rPr>
        <w:t xml:space="preserve">La disposición final primera del </w:t>
      </w:r>
      <w:r w:rsidRPr="0017570E">
        <w:rPr>
          <w:rFonts w:ascii="Cambria" w:hAnsi="Cambria"/>
          <w:i/>
          <w:iCs/>
        </w:rPr>
        <w:t>Reglamento para la prevención del riesgo de Legitimación de Capitales, Financiamiento al Terrorismo y Financiamiento de la Proliferación de Armas de Destrucción Masiva, aplicable a los sujetos obligados por los artículos 15 y 15 bis de la Ley 7786</w:t>
      </w:r>
      <w:r w:rsidRPr="0017570E">
        <w:rPr>
          <w:rFonts w:ascii="Cambria" w:hAnsi="Cambria"/>
        </w:rPr>
        <w:t xml:space="preserve">, Acuerdo SUGEF 13-19,  señala que </w:t>
      </w:r>
      <w:r w:rsidRPr="0017570E">
        <w:rPr>
          <w:rStyle w:val="ui-provider"/>
          <w:rFonts w:ascii="Cambria" w:hAnsi="Cambria"/>
        </w:rPr>
        <w:t>el Superintendente deberá emitir, mediante resolución razonada, los lineamientos generales o acuerdos necesarios para la aplicación de las disposiciones contenidas en este Reglamento, los cuales formarán parte integral del mismo.</w:t>
      </w:r>
      <w:r w:rsidRPr="0017570E" w:rsidDel="00056D79">
        <w:rPr>
          <w:rFonts w:ascii="Cambria" w:hAnsi="Cambria"/>
        </w:rPr>
        <w:t xml:space="preserve"> </w:t>
      </w:r>
    </w:p>
    <w:p w:rsidRPr="0017570E" w:rsidR="001061A2" w:rsidP="001061A2" w:rsidRDefault="001061A2" w14:paraId="069EC615" w14:textId="77777777">
      <w:pPr>
        <w:pStyle w:val="Prrafodelista"/>
        <w:ind w:left="426" w:hanging="284"/>
        <w:rPr>
          <w:rFonts w:ascii="Cambria" w:hAnsi="Cambria"/>
        </w:rPr>
      </w:pPr>
    </w:p>
    <w:p w:rsidRPr="0017570E" w:rsidR="001061A2" w:rsidP="001061A2" w:rsidRDefault="001061A2" w14:paraId="1421B5A6" w14:textId="77777777">
      <w:pPr>
        <w:pStyle w:val="Prrafodelista"/>
        <w:widowControl w:val="0"/>
        <w:numPr>
          <w:ilvl w:val="0"/>
          <w:numId w:val="5"/>
        </w:numPr>
        <w:ind w:left="426" w:hanging="142"/>
        <w:jc w:val="both"/>
        <w:rPr>
          <w:rFonts w:ascii="Cambria" w:hAnsi="Cambria"/>
        </w:rPr>
      </w:pPr>
      <w:r w:rsidRPr="0017570E">
        <w:rPr>
          <w:rFonts w:ascii="Cambria" w:hAnsi="Cambria"/>
        </w:rPr>
        <w:t xml:space="preserve">El artículo 11 del </w:t>
      </w:r>
      <w:r w:rsidRPr="0017570E">
        <w:rPr>
          <w:rFonts w:ascii="Cambria" w:hAnsi="Cambria"/>
          <w:i/>
          <w:iCs/>
        </w:rPr>
        <w:t>Reglamento de Gestión de Tecnologías de Información (TI)</w:t>
      </w:r>
      <w:r w:rsidRPr="0017570E">
        <w:rPr>
          <w:rFonts w:ascii="Cambria" w:hAnsi="Cambria"/>
        </w:rPr>
        <w:t>, Acuerdo CONASSIF 5-17, señala que el supervisor solicitará a las entidades supervisadas la contratación de una auditoría externa de TI sobre el marco de gestión de TI y su aplicación. Los Superintendentes podrán emitir Lineamientos Generales con criterios complementarios para la ejecución del ciclo de la auditoría.</w:t>
      </w:r>
    </w:p>
    <w:p w:rsidRPr="0017570E" w:rsidR="001061A2" w:rsidP="001061A2" w:rsidRDefault="001061A2" w14:paraId="6C42669C" w14:textId="77777777">
      <w:pPr>
        <w:pStyle w:val="Prrafodelista"/>
        <w:ind w:left="426" w:hanging="284"/>
        <w:rPr>
          <w:rFonts w:ascii="Cambria" w:hAnsi="Cambria"/>
        </w:rPr>
      </w:pPr>
    </w:p>
    <w:p w:rsidRPr="0017570E" w:rsidR="001061A2" w:rsidP="001061A2" w:rsidRDefault="001061A2" w14:paraId="4A676F8C" w14:textId="77777777">
      <w:pPr>
        <w:pStyle w:val="Prrafodelista"/>
        <w:widowControl w:val="0"/>
        <w:numPr>
          <w:ilvl w:val="0"/>
          <w:numId w:val="5"/>
        </w:numPr>
        <w:ind w:left="426" w:hanging="142"/>
        <w:jc w:val="both"/>
        <w:rPr>
          <w:rFonts w:ascii="Cambria" w:hAnsi="Cambria"/>
        </w:rPr>
      </w:pPr>
      <w:r w:rsidRPr="0017570E">
        <w:rPr>
          <w:rFonts w:ascii="Cambria" w:hAnsi="Cambria"/>
        </w:rPr>
        <w:t>La implementación de herramientas tecnológicas para automatizar las actividades vinculadas a las auditorías externas, acorde con las regulaciones vigentes, promueven el control y la efectividad y facilitan la consolidación de los resultados de la auditoría fomentando las buenas prácticas de supervisión.</w:t>
      </w:r>
      <w:r w:rsidRPr="0017570E" w:rsidDel="00DC5B3F">
        <w:rPr>
          <w:rFonts w:ascii="Cambria" w:hAnsi="Cambria"/>
        </w:rPr>
        <w:t xml:space="preserve"> </w:t>
      </w:r>
    </w:p>
    <w:bookmarkEnd w:id="1"/>
    <w:p w:rsidRPr="0017570E" w:rsidR="001061A2" w:rsidP="001061A2" w:rsidRDefault="001061A2" w14:paraId="7D2F37E1" w14:textId="77777777">
      <w:pPr>
        <w:widowControl w:val="0"/>
        <w:rPr>
          <w:b/>
        </w:rPr>
      </w:pPr>
    </w:p>
    <w:p w:rsidR="00691C02" w:rsidP="001061A2" w:rsidRDefault="00691C02" w14:paraId="2BB20B1B" w14:textId="77777777">
      <w:pPr>
        <w:widowControl w:val="0"/>
        <w:rPr>
          <w:b/>
          <w:sz w:val="26"/>
          <w:szCs w:val="26"/>
        </w:rPr>
      </w:pPr>
    </w:p>
    <w:p w:rsidRPr="00691C02" w:rsidR="001061A2" w:rsidP="001061A2" w:rsidRDefault="001061A2" w14:paraId="177FB3C5" w14:textId="2E52707C">
      <w:pPr>
        <w:widowControl w:val="0"/>
        <w:rPr>
          <w:b/>
          <w:sz w:val="26"/>
          <w:szCs w:val="26"/>
        </w:rPr>
      </w:pPr>
      <w:r w:rsidRPr="00691C02">
        <w:rPr>
          <w:b/>
          <w:sz w:val="26"/>
          <w:szCs w:val="26"/>
        </w:rPr>
        <w:t>Dispone:</w:t>
      </w:r>
    </w:p>
    <w:p w:rsidRPr="001061A2" w:rsidR="001061A2" w:rsidP="001061A2" w:rsidRDefault="001061A2" w14:paraId="192037F4" w14:textId="77777777">
      <w:pPr>
        <w:widowControl w:val="0"/>
        <w:rPr>
          <w:b/>
        </w:rPr>
      </w:pPr>
    </w:p>
    <w:p w:rsidRPr="00691C02" w:rsidR="001061A2" w:rsidP="001061A2" w:rsidRDefault="001061A2" w14:paraId="040F45A4" w14:textId="64AAD5BC">
      <w:pPr>
        <w:widowControl w:val="0"/>
        <w:rPr>
          <w:b/>
          <w:sz w:val="24"/>
        </w:rPr>
      </w:pPr>
      <w:r w:rsidRPr="00691C02">
        <w:rPr>
          <w:b/>
          <w:sz w:val="24"/>
        </w:rPr>
        <w:t>Sobre el Sistema de Auditorías Externas</w:t>
      </w:r>
      <w:r w:rsidR="00032298">
        <w:rPr>
          <w:b/>
          <w:sz w:val="24"/>
        </w:rPr>
        <w:t>:</w:t>
      </w:r>
    </w:p>
    <w:p w:rsidRPr="001061A2" w:rsidR="001061A2" w:rsidP="001061A2" w:rsidRDefault="001061A2" w14:paraId="58EF4851" w14:textId="77777777">
      <w:pPr>
        <w:widowControl w:val="0"/>
        <w:rPr>
          <w:b/>
        </w:rPr>
      </w:pPr>
    </w:p>
    <w:p w:rsidR="001061A2" w:rsidP="001061A2" w:rsidRDefault="001061A2" w14:paraId="2025D427" w14:textId="7F9EB770">
      <w:pPr>
        <w:pStyle w:val="Prrafodelista"/>
        <w:numPr>
          <w:ilvl w:val="0"/>
          <w:numId w:val="6"/>
        </w:numPr>
        <w:ind w:left="426" w:hanging="426"/>
        <w:jc w:val="both"/>
        <w:rPr>
          <w:rFonts w:ascii="Cambria" w:hAnsi="Cambria"/>
        </w:rPr>
      </w:pPr>
      <w:r w:rsidRPr="001061A2">
        <w:rPr>
          <w:rFonts w:ascii="Cambria" w:hAnsi="Cambria"/>
        </w:rPr>
        <w:t>Implementar el Sistema de Auditorías Externas (SAES), el cual será el medio para la presentación por parte de los sujetos obligados y entidades supervisadas de los informes de resultados relacionados con las auditorías externas, que disponen los Acuerdos CONASSIF 12-21, Acuerdo SUGEF 13-19, Acuerdo CONASSIF 5-17, y sus respectivos lineamientos. La herramienta permite automatizar el proceso de presentación de los informes de auditorías externas estipuladas en los citados Acuerdos, desde el nombramiento del auditor externo, preparación del informe, aprobación del informe por parte del sujeto obligado o de las entidades supervisadas y la aceptación del informe por parte de la Superintendencia.</w:t>
      </w:r>
    </w:p>
    <w:p w:rsidRPr="001061A2" w:rsidR="001061A2" w:rsidP="001061A2" w:rsidRDefault="001061A2" w14:paraId="2876032A" w14:textId="77777777">
      <w:pPr>
        <w:pStyle w:val="Prrafodelista"/>
        <w:ind w:left="426"/>
        <w:jc w:val="both"/>
        <w:rPr>
          <w:rFonts w:ascii="Cambria" w:hAnsi="Cambria"/>
        </w:rPr>
      </w:pPr>
    </w:p>
    <w:p w:rsidRPr="0017570E" w:rsidR="001061A2" w:rsidP="001061A2" w:rsidRDefault="001061A2" w14:paraId="1695195F" w14:textId="4EE07A23">
      <w:pPr>
        <w:pStyle w:val="Prrafodelista"/>
        <w:widowControl w:val="0"/>
        <w:numPr>
          <w:ilvl w:val="0"/>
          <w:numId w:val="6"/>
        </w:numPr>
        <w:ind w:left="426" w:hanging="426"/>
        <w:jc w:val="both"/>
        <w:rPr>
          <w:rFonts w:ascii="Cambria" w:hAnsi="Cambria"/>
        </w:rPr>
      </w:pPr>
      <w:r w:rsidRPr="0017570E">
        <w:rPr>
          <w:rFonts w:ascii="Cambria" w:hAnsi="Cambria"/>
        </w:rPr>
        <w:t>Habilitar en el Portal SUGEF DIRECTO, el Sistema de Auditorías Externas (SAES)</w:t>
      </w:r>
      <w:r>
        <w:rPr>
          <w:rFonts w:ascii="Cambria" w:hAnsi="Cambria"/>
        </w:rPr>
        <w:t>. P</w:t>
      </w:r>
      <w:r w:rsidRPr="0017570E">
        <w:rPr>
          <w:rFonts w:ascii="Cambria" w:hAnsi="Cambria"/>
        </w:rPr>
        <w:t xml:space="preserve">ara ingresar debe acceder mediante el enlace </w:t>
      </w:r>
      <w:hyperlink w:history="1" r:id="rId12">
        <w:r w:rsidRPr="0017570E">
          <w:rPr>
            <w:rFonts w:ascii="Cambria" w:hAnsi="Cambria"/>
          </w:rPr>
          <w:t>https://www.sugefdirecto.sugef.fi.cr/Sitio/Portal/Inicio</w:t>
        </w:r>
      </w:hyperlink>
      <w:r w:rsidRPr="0017570E">
        <w:rPr>
          <w:rFonts w:ascii="Cambria" w:hAnsi="Cambria"/>
        </w:rPr>
        <w:t xml:space="preserve"> a la opción “Ingrese”, </w:t>
      </w:r>
      <w:r>
        <w:rPr>
          <w:rFonts w:ascii="Cambria" w:hAnsi="Cambria"/>
        </w:rPr>
        <w:t>y</w:t>
      </w:r>
      <w:r w:rsidRPr="0017570E">
        <w:rPr>
          <w:rFonts w:ascii="Cambria" w:hAnsi="Cambria"/>
        </w:rPr>
        <w:t xml:space="preserve"> seleccion</w:t>
      </w:r>
      <w:r>
        <w:rPr>
          <w:rFonts w:ascii="Cambria" w:hAnsi="Cambria"/>
        </w:rPr>
        <w:t>ar</w:t>
      </w:r>
      <w:r w:rsidRPr="0017570E">
        <w:rPr>
          <w:rFonts w:ascii="Cambria" w:hAnsi="Cambria"/>
        </w:rPr>
        <w:t xml:space="preserve"> en el menú la opción “Auditorías Externas.”  Para el uso del sistema se requiere del certificado de firma digital del BCCR.</w:t>
      </w:r>
    </w:p>
    <w:p w:rsidRPr="0017570E" w:rsidR="001061A2" w:rsidP="001061A2" w:rsidRDefault="001061A2" w14:paraId="70FB0882" w14:textId="77777777">
      <w:pPr>
        <w:pStyle w:val="Prrafodelista"/>
        <w:widowControl w:val="0"/>
        <w:ind w:left="426" w:hanging="426"/>
        <w:jc w:val="both"/>
        <w:rPr>
          <w:rFonts w:ascii="Cambria" w:hAnsi="Cambria"/>
        </w:rPr>
      </w:pPr>
    </w:p>
    <w:p w:rsidRPr="0017570E" w:rsidR="001061A2" w:rsidP="001061A2" w:rsidRDefault="001061A2" w14:paraId="69824980" w14:textId="77777777">
      <w:pPr>
        <w:pStyle w:val="Prrafodelista"/>
        <w:widowControl w:val="0"/>
        <w:numPr>
          <w:ilvl w:val="0"/>
          <w:numId w:val="6"/>
        </w:numPr>
        <w:ind w:left="426" w:hanging="426"/>
        <w:jc w:val="both"/>
        <w:rPr>
          <w:rFonts w:ascii="Cambria" w:hAnsi="Cambria"/>
        </w:rPr>
      </w:pPr>
      <w:r w:rsidRPr="0017570E">
        <w:rPr>
          <w:rFonts w:ascii="Cambria" w:hAnsi="Cambria"/>
        </w:rPr>
        <w:t>Los sujetos obligados y los responsables asignados por las entidades supervisadas deben estar suscritos previamente en el Portal SUGEF DIRECTO</w:t>
      </w:r>
      <w:r>
        <w:rPr>
          <w:rFonts w:ascii="Cambria" w:hAnsi="Cambria"/>
        </w:rPr>
        <w:t>. E</w:t>
      </w:r>
      <w:r w:rsidRPr="0017570E">
        <w:rPr>
          <w:rFonts w:ascii="Cambria" w:hAnsi="Cambria"/>
        </w:rPr>
        <w:t>l funcionario que tenga el rol de “Responsable de Seguridad Total” (RST) es el encargado de dar acceso a los demás funcionarios de la entidad al Sistema SAES. Los funcionarios del sujeto obligado o entidad supervisada responsables de aprobar el informe de auditoría externa deberán estar registrados en el Sistema de Roles del Portal SUGEF DIRECTO.</w:t>
      </w:r>
    </w:p>
    <w:p w:rsidRPr="0017570E" w:rsidR="001061A2" w:rsidP="001061A2" w:rsidRDefault="001061A2" w14:paraId="464AB174" w14:textId="77777777">
      <w:pPr>
        <w:pStyle w:val="Prrafodelista"/>
        <w:widowControl w:val="0"/>
        <w:ind w:left="426" w:hanging="426"/>
        <w:jc w:val="both"/>
        <w:rPr>
          <w:rFonts w:ascii="Cambria" w:hAnsi="Cambria"/>
        </w:rPr>
      </w:pPr>
    </w:p>
    <w:p w:rsidRPr="0017570E" w:rsidR="001061A2" w:rsidP="001061A2" w:rsidRDefault="001061A2" w14:paraId="3A8695F1" w14:textId="77777777">
      <w:pPr>
        <w:pStyle w:val="Prrafodelista"/>
        <w:widowControl w:val="0"/>
        <w:numPr>
          <w:ilvl w:val="0"/>
          <w:numId w:val="6"/>
        </w:numPr>
        <w:ind w:left="426" w:hanging="426"/>
        <w:jc w:val="both"/>
        <w:rPr>
          <w:rFonts w:ascii="Cambria" w:hAnsi="Cambria"/>
        </w:rPr>
      </w:pPr>
      <w:r w:rsidRPr="0017570E">
        <w:rPr>
          <w:rFonts w:ascii="Cambria" w:hAnsi="Cambria"/>
        </w:rPr>
        <w:t>Los auditores externos deben estar suscritos previamente en el Portal SUGEF DIRECTO, sea el representante legal de la persona jurídica de la firma de auditoría o el auditor independiente. El sistema verificará que el auditor se encuentre autorizado en el Registro de Auditores Externos de la SUGEVAL y automáticamente le asignará los privilegios como auditor y como RST del sistema.</w:t>
      </w:r>
    </w:p>
    <w:p w:rsidRPr="0017570E" w:rsidR="001061A2" w:rsidP="001061A2" w:rsidRDefault="001061A2" w14:paraId="5833207B" w14:textId="77777777">
      <w:pPr>
        <w:pStyle w:val="Prrafodelista"/>
        <w:widowControl w:val="0"/>
        <w:ind w:left="426" w:hanging="426"/>
        <w:jc w:val="both"/>
        <w:rPr>
          <w:rFonts w:ascii="Cambria" w:hAnsi="Cambria"/>
        </w:rPr>
      </w:pPr>
    </w:p>
    <w:p w:rsidRPr="0017570E" w:rsidR="001061A2" w:rsidP="001061A2" w:rsidRDefault="001061A2" w14:paraId="3C71F809" w14:textId="77777777">
      <w:pPr>
        <w:pStyle w:val="Prrafodelista"/>
        <w:widowControl w:val="0"/>
        <w:numPr>
          <w:ilvl w:val="0"/>
          <w:numId w:val="6"/>
        </w:numPr>
        <w:ind w:left="426" w:hanging="426"/>
        <w:jc w:val="both"/>
        <w:rPr>
          <w:rFonts w:ascii="Cambria" w:hAnsi="Cambria"/>
        </w:rPr>
      </w:pPr>
      <w:r w:rsidRPr="0017570E">
        <w:rPr>
          <w:rFonts w:ascii="Cambria" w:hAnsi="Cambria"/>
        </w:rPr>
        <w:t xml:space="preserve">Los usuarios de SAES serán conforme el tipo de sujeto obligado, entre ellos, personas físicas inscritas, representantes legales, apoderados, gerentes, oficiales de cumplimiento u otros usuarios autorizados por el sujeto o entidad supervisada.   </w:t>
      </w:r>
    </w:p>
    <w:p w:rsidRPr="0017570E" w:rsidR="001061A2" w:rsidP="001061A2" w:rsidRDefault="001061A2" w14:paraId="7B453394" w14:textId="77777777">
      <w:pPr>
        <w:pStyle w:val="Prrafodelista"/>
        <w:widowControl w:val="0"/>
        <w:ind w:left="426" w:hanging="426"/>
        <w:jc w:val="both"/>
        <w:rPr>
          <w:rFonts w:ascii="Cambria" w:hAnsi="Cambria"/>
        </w:rPr>
      </w:pPr>
    </w:p>
    <w:p w:rsidRPr="0017570E" w:rsidR="001061A2" w:rsidP="001061A2" w:rsidRDefault="001061A2" w14:paraId="28D8AB74" w14:textId="77777777">
      <w:pPr>
        <w:pStyle w:val="Prrafodelista"/>
        <w:widowControl w:val="0"/>
        <w:numPr>
          <w:ilvl w:val="0"/>
          <w:numId w:val="6"/>
        </w:numPr>
        <w:ind w:left="426" w:hanging="426"/>
        <w:jc w:val="both"/>
        <w:rPr>
          <w:rFonts w:ascii="Cambria" w:hAnsi="Cambria"/>
        </w:rPr>
      </w:pPr>
      <w:r w:rsidRPr="0017570E">
        <w:rPr>
          <w:rFonts w:ascii="Cambria" w:hAnsi="Cambria"/>
        </w:rPr>
        <w:t>Las notificaciones de los sujetos obligados se gestionarán a los correos electrónicos dispuestos al momento de la suscripción a las notificaciones. En el caso de los auditores externos las notificaciones se realizarán al correo indicado al momento de la asignación del auditor y su equipo de trabajo.</w:t>
      </w:r>
    </w:p>
    <w:p w:rsidRPr="0017570E" w:rsidR="001061A2" w:rsidP="001061A2" w:rsidRDefault="001061A2" w14:paraId="1B365031" w14:textId="77777777">
      <w:pPr>
        <w:pStyle w:val="Prrafodelista"/>
        <w:widowControl w:val="0"/>
        <w:ind w:left="426" w:hanging="426"/>
        <w:jc w:val="both"/>
        <w:rPr>
          <w:rFonts w:ascii="Cambria" w:hAnsi="Cambria"/>
        </w:rPr>
      </w:pPr>
    </w:p>
    <w:p w:rsidRPr="0017570E" w:rsidR="001061A2" w:rsidP="001061A2" w:rsidRDefault="001061A2" w14:paraId="0DAF337B" w14:textId="77777777">
      <w:pPr>
        <w:pStyle w:val="Prrafodelista"/>
        <w:widowControl w:val="0"/>
        <w:numPr>
          <w:ilvl w:val="0"/>
          <w:numId w:val="6"/>
        </w:numPr>
        <w:ind w:left="426" w:hanging="426"/>
        <w:jc w:val="both"/>
        <w:rPr>
          <w:rFonts w:ascii="Cambria" w:hAnsi="Cambria"/>
        </w:rPr>
      </w:pPr>
      <w:r w:rsidRPr="0017570E">
        <w:rPr>
          <w:rFonts w:ascii="Cambria" w:hAnsi="Cambria"/>
        </w:rPr>
        <w:t>El sistema se habilitará a las entidades supervisadas y auditores externos a partir del 1º de mayo de 2024, para iniciar con el proceso de auditorías con corte a diciembre de 2024:</w:t>
      </w:r>
    </w:p>
    <w:p w:rsidRPr="0017570E" w:rsidR="001061A2" w:rsidP="001061A2" w:rsidRDefault="001061A2" w14:paraId="1556BAB2" w14:textId="77777777">
      <w:pPr>
        <w:pStyle w:val="Prrafodelista"/>
        <w:rPr>
          <w:rFonts w:ascii="Cambria" w:hAnsi="Cambria"/>
        </w:rPr>
      </w:pPr>
    </w:p>
    <w:p w:rsidRPr="0017570E" w:rsidR="001061A2" w:rsidP="001061A2" w:rsidRDefault="001061A2" w14:paraId="3B44FD4E" w14:textId="77777777">
      <w:pPr>
        <w:pStyle w:val="Prrafodelista"/>
        <w:numPr>
          <w:ilvl w:val="1"/>
          <w:numId w:val="6"/>
        </w:numPr>
        <w:ind w:left="851"/>
        <w:jc w:val="both"/>
        <w:rPr>
          <w:rFonts w:ascii="Cambria" w:hAnsi="Cambria"/>
        </w:rPr>
      </w:pPr>
      <w:r w:rsidRPr="0017570E">
        <w:rPr>
          <w:rFonts w:ascii="Cambria" w:hAnsi="Cambria"/>
        </w:rPr>
        <w:t>Para las entidades financieras que deben presentar los resultados de la Auditoría</w:t>
      </w:r>
      <w:r>
        <w:rPr>
          <w:rFonts w:ascii="Cambria" w:hAnsi="Cambria"/>
        </w:rPr>
        <w:t xml:space="preserve"> Externa de LC/FT/FPADM</w:t>
      </w:r>
      <w:r w:rsidRPr="0017570E">
        <w:rPr>
          <w:rFonts w:ascii="Cambria" w:hAnsi="Cambria"/>
        </w:rPr>
        <w:t xml:space="preserve"> el sistema se habilitará a partir del 1º de mayo de cada año, para que la entidad designe por medio del sistema SAES, el Auditor Externo contratado (inscrito en la SUGEVAL) para ejecutar el estudio de auditoría, dicha comunicación se debe realizar a más tardar el 30 de junio de cada año de corte de la información. </w:t>
      </w:r>
    </w:p>
    <w:p w:rsidRPr="0017570E" w:rsidR="001061A2" w:rsidP="001061A2" w:rsidRDefault="001061A2" w14:paraId="60B66D7B" w14:textId="77777777">
      <w:pPr>
        <w:pStyle w:val="Prrafodelista"/>
        <w:numPr>
          <w:ilvl w:val="1"/>
          <w:numId w:val="6"/>
        </w:numPr>
        <w:ind w:left="851"/>
        <w:jc w:val="both"/>
        <w:rPr>
          <w:rFonts w:ascii="Cambria" w:hAnsi="Cambria"/>
        </w:rPr>
      </w:pPr>
      <w:r w:rsidRPr="0017570E">
        <w:rPr>
          <w:rFonts w:ascii="Cambria" w:hAnsi="Cambria"/>
        </w:rPr>
        <w:t>En el caso de las APNFD que deben someterse a una Auditoría Externa</w:t>
      </w:r>
      <w:r>
        <w:rPr>
          <w:rFonts w:ascii="Cambria" w:hAnsi="Cambria"/>
        </w:rPr>
        <w:t xml:space="preserve"> de LC/FT/FPADM</w:t>
      </w:r>
      <w:r w:rsidRPr="0017570E">
        <w:rPr>
          <w:rFonts w:ascii="Cambria" w:hAnsi="Cambria"/>
        </w:rPr>
        <w:t xml:space="preserve"> con corte al 2024, a partir del 1º de mayo el sujeto obligado deberá designar por medio del sistema SAES, el Auditor Externo contratado (inscrito en la SUGEVAL), dicha comunicación se debe realizar a más tardar el 31 de agosto de 2024 y así sucesivamente para los años siguientes.</w:t>
      </w:r>
    </w:p>
    <w:p w:rsidRPr="0017570E" w:rsidR="001061A2" w:rsidP="001061A2" w:rsidRDefault="001061A2" w14:paraId="5192E0D9" w14:textId="77777777">
      <w:pPr>
        <w:pStyle w:val="Prrafodelista"/>
        <w:widowControl w:val="0"/>
        <w:numPr>
          <w:ilvl w:val="1"/>
          <w:numId w:val="6"/>
        </w:numPr>
        <w:ind w:left="851"/>
        <w:jc w:val="both"/>
        <w:rPr>
          <w:rFonts w:ascii="Cambria" w:hAnsi="Cambria"/>
        </w:rPr>
      </w:pPr>
      <w:r w:rsidRPr="0017570E">
        <w:rPr>
          <w:rFonts w:ascii="Cambria" w:hAnsi="Cambria"/>
        </w:rPr>
        <w:t xml:space="preserve">En el caso de las entidades supervisadas que deben presentar los resultados de </w:t>
      </w:r>
      <w:r w:rsidRPr="0017570E">
        <w:rPr>
          <w:rFonts w:ascii="Cambria" w:hAnsi="Cambria"/>
        </w:rPr>
        <w:lastRenderedPageBreak/>
        <w:t xml:space="preserve">la Auditoría Externa de Tecnologías de Información, el sistema se habilitará a partir de la próxima solicitud de auditoría externa. </w:t>
      </w:r>
    </w:p>
    <w:p w:rsidRPr="0017570E" w:rsidR="001061A2" w:rsidP="001061A2" w:rsidRDefault="001061A2" w14:paraId="0AC8C485" w14:textId="77777777">
      <w:pPr>
        <w:pStyle w:val="Prrafodelista"/>
        <w:widowControl w:val="0"/>
        <w:numPr>
          <w:ilvl w:val="1"/>
          <w:numId w:val="6"/>
        </w:numPr>
        <w:ind w:left="851"/>
        <w:jc w:val="both"/>
        <w:rPr>
          <w:rFonts w:ascii="Cambria" w:hAnsi="Cambria"/>
        </w:rPr>
      </w:pPr>
      <w:r w:rsidRPr="0017570E">
        <w:rPr>
          <w:rFonts w:ascii="Cambria" w:hAnsi="Cambria"/>
        </w:rPr>
        <w:t>Los auditores externos inscritos en la SUGEVAL podrán iniciar sus estudios e informes a partir del momento en que la entidad supervisada lo asigne en el Sistema SAES como responsable de la Auditoría Externa.</w:t>
      </w:r>
    </w:p>
    <w:p w:rsidRPr="0017570E" w:rsidR="001061A2" w:rsidP="001061A2" w:rsidRDefault="001061A2" w14:paraId="5327D411" w14:textId="77777777"/>
    <w:p w:rsidRPr="0017570E" w:rsidR="001061A2" w:rsidP="001061A2" w:rsidRDefault="001061A2" w14:paraId="39FF8165" w14:textId="77777777">
      <w:pPr>
        <w:pStyle w:val="Prrafodelista"/>
        <w:widowControl w:val="0"/>
        <w:numPr>
          <w:ilvl w:val="0"/>
          <w:numId w:val="6"/>
        </w:numPr>
        <w:ind w:left="426" w:hanging="426"/>
        <w:jc w:val="both"/>
        <w:rPr>
          <w:rFonts w:ascii="Cambria" w:hAnsi="Cambria"/>
        </w:rPr>
      </w:pPr>
      <w:r w:rsidRPr="0017570E">
        <w:rPr>
          <w:rFonts w:ascii="Cambria" w:hAnsi="Cambria"/>
        </w:rPr>
        <w:t xml:space="preserve">Respecto de los informes de auditores externos con corte a 2023, se aclaran </w:t>
      </w:r>
      <w:r>
        <w:rPr>
          <w:rFonts w:ascii="Cambria" w:hAnsi="Cambria"/>
        </w:rPr>
        <w:t xml:space="preserve">los siguientes </w:t>
      </w:r>
      <w:r w:rsidRPr="0017570E">
        <w:rPr>
          <w:rFonts w:ascii="Cambria" w:hAnsi="Cambria"/>
        </w:rPr>
        <w:t>aspectos:</w:t>
      </w:r>
    </w:p>
    <w:p w:rsidRPr="0017570E" w:rsidR="001061A2" w:rsidP="001061A2" w:rsidRDefault="001061A2" w14:paraId="1A13C4C7" w14:textId="77777777">
      <w:pPr>
        <w:pStyle w:val="Prrafodelista"/>
        <w:rPr>
          <w:rFonts w:ascii="Cambria" w:hAnsi="Cambria"/>
        </w:rPr>
      </w:pPr>
    </w:p>
    <w:p w:rsidRPr="0017570E" w:rsidR="001061A2" w:rsidP="001061A2" w:rsidRDefault="001061A2" w14:paraId="0370CBE8" w14:textId="77777777">
      <w:pPr>
        <w:pStyle w:val="Prrafodelista"/>
        <w:numPr>
          <w:ilvl w:val="1"/>
          <w:numId w:val="6"/>
        </w:numPr>
        <w:ind w:left="851" w:hanging="425"/>
        <w:jc w:val="both"/>
        <w:rPr>
          <w:rFonts w:ascii="Cambria" w:hAnsi="Cambria"/>
        </w:rPr>
      </w:pPr>
      <w:r w:rsidRPr="0017570E">
        <w:rPr>
          <w:rFonts w:ascii="Cambria" w:hAnsi="Cambria"/>
        </w:rPr>
        <w:t xml:space="preserve">Las APNFD que deben someterse a una Auditoría Externa con corte al </w:t>
      </w:r>
      <w:r>
        <w:rPr>
          <w:rFonts w:ascii="Cambria" w:hAnsi="Cambria"/>
        </w:rPr>
        <w:t xml:space="preserve">31 de diciembre de </w:t>
      </w:r>
      <w:r w:rsidRPr="0017570E">
        <w:rPr>
          <w:rFonts w:ascii="Cambria" w:hAnsi="Cambria"/>
        </w:rPr>
        <w:t>2023, de manera habitual, deben tener el informe a disposición de la Superintendencia a más tardar el 31 de marzo del 2024.</w:t>
      </w:r>
    </w:p>
    <w:p w:rsidRPr="0017570E" w:rsidR="001061A2" w:rsidP="001061A2" w:rsidRDefault="001061A2" w14:paraId="194B2CF2" w14:textId="77777777">
      <w:pPr>
        <w:pStyle w:val="Prrafodelista"/>
        <w:numPr>
          <w:ilvl w:val="1"/>
          <w:numId w:val="6"/>
        </w:numPr>
        <w:ind w:left="851" w:hanging="425"/>
        <w:jc w:val="both"/>
        <w:rPr>
          <w:rFonts w:ascii="Cambria" w:hAnsi="Cambria"/>
        </w:rPr>
      </w:pPr>
      <w:r w:rsidRPr="0017570E">
        <w:rPr>
          <w:rFonts w:ascii="Cambria" w:hAnsi="Cambria"/>
        </w:rPr>
        <w:t xml:space="preserve">Las entidades financieras deben presentar el Informe de Auditoría Externa de LC/FT/FPADM con corte al 2023, a más tardar el último día hábil de abril 2024, de la manera habitual por medio del sistema de notificaciones. </w:t>
      </w:r>
    </w:p>
    <w:p w:rsidRPr="0017570E" w:rsidR="001061A2" w:rsidP="001061A2" w:rsidRDefault="001061A2" w14:paraId="7407F316" w14:textId="77777777">
      <w:pPr>
        <w:pStyle w:val="Prrafodelista"/>
        <w:widowControl w:val="0"/>
        <w:ind w:left="924"/>
        <w:jc w:val="both"/>
        <w:rPr>
          <w:rFonts w:ascii="Cambria" w:hAnsi="Cambria"/>
        </w:rPr>
      </w:pPr>
    </w:p>
    <w:p w:rsidRPr="0017570E" w:rsidR="001061A2" w:rsidP="001061A2" w:rsidRDefault="001061A2" w14:paraId="70059584" w14:textId="77777777">
      <w:pPr>
        <w:pStyle w:val="Prrafodelista"/>
        <w:widowControl w:val="0"/>
        <w:numPr>
          <w:ilvl w:val="0"/>
          <w:numId w:val="6"/>
        </w:numPr>
        <w:ind w:left="426" w:hanging="426"/>
        <w:jc w:val="both"/>
        <w:rPr>
          <w:rFonts w:ascii="Cambria" w:hAnsi="Cambria"/>
        </w:rPr>
      </w:pPr>
      <w:r w:rsidRPr="0017570E">
        <w:rPr>
          <w:rFonts w:ascii="Cambria" w:hAnsi="Cambria"/>
        </w:rPr>
        <w:t xml:space="preserve">Emitir el documento </w:t>
      </w:r>
      <w:r w:rsidRPr="0017570E">
        <w:rPr>
          <w:rFonts w:ascii="Cambria" w:hAnsi="Cambria"/>
          <w:b/>
          <w:bCs/>
          <w:i/>
          <w:iCs/>
        </w:rPr>
        <w:t>“Manual de uso del Sistema de Auditorías Externas (SAES)”</w:t>
      </w:r>
      <w:r w:rsidRPr="0017570E">
        <w:rPr>
          <w:rFonts w:ascii="Cambria" w:hAnsi="Cambria"/>
        </w:rPr>
        <w:t xml:space="preserve"> con el detalle de las funcionalidades principales de dicho sistema para cada uno de los participantes en el proceso, entiéndase como usuarios del sistema a los sujetos obligados o entidades supervisadas y los auditores externos. Dicho manual será oportunamente publicado en el sitio web de la SUGEF.</w:t>
      </w:r>
    </w:p>
    <w:p w:rsidRPr="0017570E" w:rsidR="001061A2" w:rsidP="001061A2" w:rsidRDefault="001061A2" w14:paraId="2145D2FB" w14:textId="77777777">
      <w:pPr>
        <w:pStyle w:val="Prrafodelista"/>
        <w:widowControl w:val="0"/>
        <w:ind w:left="924"/>
        <w:jc w:val="both"/>
        <w:rPr>
          <w:rFonts w:ascii="Cambria" w:hAnsi="Cambria"/>
        </w:rPr>
      </w:pPr>
    </w:p>
    <w:p w:rsidRPr="0017570E" w:rsidR="001061A2" w:rsidP="001061A2" w:rsidRDefault="001061A2" w14:paraId="0EBB9B90" w14:textId="77777777">
      <w:pPr>
        <w:pStyle w:val="Prrafodelista"/>
        <w:widowControl w:val="0"/>
        <w:numPr>
          <w:ilvl w:val="0"/>
          <w:numId w:val="6"/>
        </w:numPr>
        <w:ind w:left="426" w:hanging="426"/>
        <w:jc w:val="both"/>
        <w:rPr>
          <w:rFonts w:ascii="Cambria" w:hAnsi="Cambria"/>
        </w:rPr>
      </w:pPr>
      <w:r w:rsidRPr="0017570E">
        <w:rPr>
          <w:rFonts w:ascii="Cambria" w:hAnsi="Cambria"/>
        </w:rPr>
        <w:t>Las consultas se deben realizar según el tipo de informe a las siguientes direcciones de correo electrónico:</w:t>
      </w:r>
    </w:p>
    <w:p w:rsidRPr="0017570E" w:rsidR="001061A2" w:rsidP="001061A2" w:rsidRDefault="001061A2" w14:paraId="4E4B9584" w14:textId="77777777">
      <w:pPr>
        <w:pStyle w:val="Prrafodelista"/>
        <w:rPr>
          <w:rFonts w:ascii="Cambria" w:hAnsi="Cambria"/>
        </w:rPr>
      </w:pPr>
    </w:p>
    <w:p w:rsidRPr="0017570E" w:rsidR="001061A2" w:rsidP="001061A2" w:rsidRDefault="001061A2" w14:paraId="44B3B741" w14:textId="77777777">
      <w:pPr>
        <w:pStyle w:val="Prrafodelista"/>
        <w:widowControl w:val="0"/>
        <w:numPr>
          <w:ilvl w:val="1"/>
          <w:numId w:val="4"/>
        </w:numPr>
        <w:ind w:left="851" w:hanging="425"/>
        <w:rPr>
          <w:rFonts w:ascii="Cambria" w:hAnsi="Cambria"/>
        </w:rPr>
      </w:pPr>
      <w:r w:rsidRPr="0017570E">
        <w:rPr>
          <w:rFonts w:ascii="Cambria" w:hAnsi="Cambria"/>
        </w:rPr>
        <w:t>Auditoría Externa riesgo LC-FT-FPADM:</w:t>
      </w:r>
    </w:p>
    <w:p w:rsidRPr="0017570E" w:rsidR="001061A2" w:rsidP="001061A2" w:rsidRDefault="00DA56B1" w14:paraId="3D8A0B56" w14:textId="77777777">
      <w:pPr>
        <w:pStyle w:val="Prrafodelista"/>
        <w:widowControl w:val="0"/>
        <w:ind w:left="851"/>
        <w:rPr>
          <w:rFonts w:ascii="Cambria" w:hAnsi="Cambria"/>
          <w:u w:val="single"/>
          <w:lang w:val="es-CR"/>
        </w:rPr>
      </w:pPr>
      <w:hyperlink w:history="1" r:id="rId13">
        <w:r w:rsidRPr="0017570E" w:rsidR="001061A2">
          <w:rPr>
            <w:rStyle w:val="Hipervnculo"/>
            <w:rFonts w:ascii="Cambria" w:hAnsi="Cambria"/>
            <w:color w:val="0070C0"/>
            <w:lang w:val="es-CR"/>
          </w:rPr>
          <w:t>consultas-saes-lcft@sugef.fi.cr</w:t>
        </w:r>
      </w:hyperlink>
      <w:r w:rsidRPr="0017570E" w:rsidR="001061A2">
        <w:rPr>
          <w:rFonts w:ascii="Cambria" w:hAnsi="Cambria"/>
          <w:color w:val="0070C0"/>
          <w:u w:val="single"/>
          <w:lang w:val="es-CR"/>
        </w:rPr>
        <w:t xml:space="preserve"> </w:t>
      </w:r>
      <w:r w:rsidRPr="0017570E" w:rsidR="001061A2">
        <w:rPr>
          <w:rFonts w:ascii="Cambria" w:hAnsi="Cambria"/>
          <w:u w:val="single"/>
          <w:lang w:val="es-CR"/>
        </w:rPr>
        <w:t xml:space="preserve"> </w:t>
      </w:r>
    </w:p>
    <w:p w:rsidRPr="0017570E" w:rsidR="001061A2" w:rsidP="001061A2" w:rsidRDefault="001061A2" w14:paraId="73E1AA18" w14:textId="77777777">
      <w:pPr>
        <w:pStyle w:val="Prrafodelista"/>
        <w:widowControl w:val="0"/>
        <w:ind w:left="851" w:hanging="425"/>
        <w:rPr>
          <w:rFonts w:ascii="Cambria" w:hAnsi="Cambria"/>
          <w:u w:val="single"/>
          <w:lang w:val="es-CR"/>
        </w:rPr>
      </w:pPr>
    </w:p>
    <w:p w:rsidRPr="0017570E" w:rsidR="001061A2" w:rsidP="001061A2" w:rsidRDefault="001061A2" w14:paraId="33476257" w14:textId="77777777">
      <w:pPr>
        <w:pStyle w:val="Prrafodelista"/>
        <w:widowControl w:val="0"/>
        <w:numPr>
          <w:ilvl w:val="1"/>
          <w:numId w:val="4"/>
        </w:numPr>
        <w:ind w:left="851" w:hanging="425"/>
        <w:rPr>
          <w:rFonts w:ascii="Cambria" w:hAnsi="Cambria"/>
          <w:lang w:val="es-CR"/>
        </w:rPr>
      </w:pPr>
      <w:r w:rsidRPr="0017570E">
        <w:rPr>
          <w:rFonts w:ascii="Cambria" w:hAnsi="Cambria"/>
        </w:rPr>
        <w:t>Auditoría Externa de Tecnologías de Información</w:t>
      </w:r>
      <w:r w:rsidRPr="0017570E">
        <w:rPr>
          <w:rFonts w:ascii="Cambria" w:hAnsi="Cambria"/>
          <w:lang w:val="es-CR"/>
        </w:rPr>
        <w:t xml:space="preserve">: </w:t>
      </w:r>
    </w:p>
    <w:p w:rsidRPr="0017570E" w:rsidR="001061A2" w:rsidP="001061A2" w:rsidRDefault="00DA56B1" w14:paraId="549474C0" w14:textId="77777777">
      <w:pPr>
        <w:pStyle w:val="Prrafodelista"/>
        <w:widowControl w:val="0"/>
        <w:ind w:left="851"/>
        <w:rPr>
          <w:rStyle w:val="Hipervnculo"/>
          <w:rFonts w:ascii="Cambria" w:hAnsi="Cambria"/>
          <w:color w:val="0070C0"/>
          <w:lang w:val="es-CR"/>
        </w:rPr>
      </w:pPr>
      <w:hyperlink w:history="1" r:id="rId14">
        <w:r w:rsidRPr="0017570E" w:rsidR="001061A2">
          <w:rPr>
            <w:rStyle w:val="Hipervnculo"/>
            <w:rFonts w:ascii="Cambria" w:hAnsi="Cambria"/>
            <w:color w:val="0070C0"/>
            <w:lang w:val="es-CR"/>
          </w:rPr>
          <w:t>consultas-saes-ti@sugef.fi.cr</w:t>
        </w:r>
      </w:hyperlink>
    </w:p>
    <w:p w:rsidRPr="0017570E" w:rsidR="001061A2" w:rsidP="001061A2" w:rsidRDefault="001061A2" w14:paraId="5E4FDF16" w14:textId="77777777">
      <w:pPr>
        <w:rPr>
          <w:b/>
          <w:bCs/>
        </w:rPr>
      </w:pPr>
    </w:p>
    <w:p w:rsidR="00957DBE" w:rsidP="001061A2" w:rsidRDefault="00957DBE" w14:paraId="4A7F3102" w14:textId="77777777">
      <w:pPr>
        <w:rPr>
          <w:b/>
          <w:bCs/>
        </w:rPr>
      </w:pPr>
    </w:p>
    <w:p w:rsidRPr="00957DBE" w:rsidR="001061A2" w:rsidP="001061A2" w:rsidRDefault="001061A2" w14:paraId="392E3A11" w14:textId="2DFFD445">
      <w:pPr>
        <w:rPr>
          <w:b/>
          <w:bCs/>
          <w:sz w:val="24"/>
        </w:rPr>
      </w:pPr>
      <w:r w:rsidRPr="00957DBE">
        <w:rPr>
          <w:b/>
          <w:bCs/>
          <w:sz w:val="24"/>
        </w:rPr>
        <w:t>Capacitación virtual sobre la Implementación del Sistema de Auditorías Externas (SAES).</w:t>
      </w:r>
    </w:p>
    <w:p w:rsidRPr="0017570E" w:rsidR="001061A2" w:rsidP="001061A2" w:rsidRDefault="001061A2" w14:paraId="3D76674E" w14:textId="77777777">
      <w:pPr>
        <w:rPr>
          <w:b/>
          <w:bCs/>
        </w:rPr>
      </w:pPr>
    </w:p>
    <w:p w:rsidRPr="0017570E" w:rsidR="001061A2" w:rsidP="00DE5F57" w:rsidRDefault="001061A2" w14:paraId="0265FFF8" w14:textId="77777777">
      <w:pPr>
        <w:pStyle w:val="Prrafodelista"/>
        <w:widowControl w:val="0"/>
        <w:ind w:left="426"/>
        <w:jc w:val="both"/>
        <w:rPr>
          <w:rFonts w:ascii="Cambria" w:hAnsi="Cambria"/>
          <w:b/>
        </w:rPr>
      </w:pPr>
      <w:r w:rsidRPr="0017570E">
        <w:rPr>
          <w:rFonts w:ascii="Cambria" w:hAnsi="Cambria"/>
          <w:b/>
          <w:bCs/>
        </w:rPr>
        <w:t xml:space="preserve">La capacitación para las partes interesadas de los Acuerdos CONASSIF 12-21 y Acuerdo SUGEF 13-19 se realizará de la siguiente manera: </w:t>
      </w:r>
    </w:p>
    <w:p w:rsidRPr="0017570E" w:rsidR="001061A2" w:rsidP="001061A2" w:rsidRDefault="001061A2" w14:paraId="1E197E66" w14:textId="77777777">
      <w:pPr>
        <w:pStyle w:val="Prrafodelista"/>
        <w:widowControl w:val="0"/>
        <w:ind w:left="924"/>
        <w:jc w:val="both"/>
        <w:rPr>
          <w:rFonts w:ascii="Cambria" w:hAnsi="Cambria"/>
          <w:b/>
        </w:rPr>
      </w:pPr>
    </w:p>
    <w:p w:rsidRPr="0017570E" w:rsidR="001061A2" w:rsidP="001061A2" w:rsidRDefault="001061A2" w14:paraId="5312D676" w14:textId="77777777">
      <w:pPr>
        <w:pStyle w:val="Prrafodelista"/>
        <w:widowControl w:val="0"/>
        <w:numPr>
          <w:ilvl w:val="0"/>
          <w:numId w:val="8"/>
        </w:numPr>
        <w:ind w:left="851" w:hanging="425"/>
        <w:jc w:val="both"/>
        <w:rPr>
          <w:rFonts w:ascii="Cambria" w:hAnsi="Cambria"/>
        </w:rPr>
      </w:pPr>
      <w:r w:rsidRPr="0017570E">
        <w:rPr>
          <w:rFonts w:ascii="Cambria" w:hAnsi="Cambria"/>
        </w:rPr>
        <w:t>En primera instancia se brindará capacitación para los sujetos obligados y entidades financieras que deben someterse periódicamente a una Auditoría Externa de LC/FT/FPADM, así como para los Auditores Externos Inscritos en la SUGEVAL que ejecutan este tipo de auditorías.</w:t>
      </w:r>
    </w:p>
    <w:p w:rsidRPr="0017570E" w:rsidR="001061A2" w:rsidP="001061A2" w:rsidRDefault="001061A2" w14:paraId="14BA61AF" w14:textId="77777777">
      <w:pPr>
        <w:pStyle w:val="Prrafodelista"/>
        <w:widowControl w:val="0"/>
        <w:ind w:left="851" w:hanging="425"/>
        <w:jc w:val="both"/>
        <w:rPr>
          <w:rFonts w:ascii="Cambria" w:hAnsi="Cambria"/>
        </w:rPr>
      </w:pPr>
    </w:p>
    <w:p w:rsidRPr="0017570E" w:rsidR="001061A2" w:rsidP="001061A2" w:rsidRDefault="001061A2" w14:paraId="4D4230DE" w14:textId="77777777">
      <w:pPr>
        <w:pStyle w:val="Prrafodelista"/>
        <w:widowControl w:val="0"/>
        <w:numPr>
          <w:ilvl w:val="0"/>
          <w:numId w:val="8"/>
        </w:numPr>
        <w:ind w:left="851" w:hanging="425"/>
        <w:jc w:val="both"/>
        <w:rPr>
          <w:rFonts w:ascii="Cambria" w:hAnsi="Cambria"/>
        </w:rPr>
      </w:pPr>
      <w:r w:rsidRPr="0017570E">
        <w:rPr>
          <w:rFonts w:ascii="Cambria" w:hAnsi="Cambria"/>
        </w:rPr>
        <w:t xml:space="preserve">El cronograma de capacitación para las partes interesadas en la Auditoría Externa de LC/FT/FPADM, será dirigida por tipo de entidad según se detalla:  </w:t>
      </w:r>
    </w:p>
    <w:p w:rsidRPr="0017570E" w:rsidR="001061A2" w:rsidP="001061A2" w:rsidRDefault="001061A2" w14:paraId="7F599A9F" w14:textId="77777777">
      <w:pPr>
        <w:pStyle w:val="Prrafodelista"/>
        <w:rPr>
          <w:rFonts w:ascii="Cambria" w:hAnsi="Cambria"/>
        </w:rPr>
      </w:pPr>
    </w:p>
    <w:p w:rsidRPr="0017570E" w:rsidR="001061A2" w:rsidP="001061A2" w:rsidRDefault="001061A2" w14:paraId="2B8DCE22" w14:textId="77777777">
      <w:pPr>
        <w:widowControl w:val="0"/>
      </w:pPr>
    </w:p>
    <w:tbl>
      <w:tblPr>
        <w:tblStyle w:val="Tablaconcuadrcula"/>
        <w:tblpPr w:leftFromText="141" w:rightFromText="141" w:vertAnchor="text" w:horzAnchor="margin" w:tblpY="82"/>
        <w:tblW w:w="9476" w:type="dxa"/>
        <w:tblLayout w:type="fixed"/>
        <w:tblLook w:val="04A0" w:firstRow="1" w:lastRow="0" w:firstColumn="1" w:lastColumn="0" w:noHBand="0" w:noVBand="1"/>
      </w:tblPr>
      <w:tblGrid>
        <w:gridCol w:w="2122"/>
        <w:gridCol w:w="1842"/>
        <w:gridCol w:w="2268"/>
        <w:gridCol w:w="3244"/>
      </w:tblGrid>
      <w:tr w:rsidRPr="0017570E" w:rsidR="001061A2" w:rsidTr="00DF5704" w14:paraId="0BBC746F" w14:textId="77777777">
        <w:trPr>
          <w:trHeight w:val="1408"/>
        </w:trPr>
        <w:tc>
          <w:tcPr>
            <w:tcW w:w="2122" w:type="dxa"/>
            <w:shd w:val="clear" w:color="auto" w:fill="8EAADB" w:themeFill="accent1" w:themeFillTint="99"/>
          </w:tcPr>
          <w:p w:rsidRPr="003B0455" w:rsidR="001061A2" w:rsidP="00DF5704" w:rsidRDefault="001061A2" w14:paraId="7A29B84D" w14:textId="77777777">
            <w:pPr>
              <w:widowControl w:val="0"/>
              <w:ind w:left="360"/>
              <w:jc w:val="center"/>
              <w:rPr>
                <w:b/>
                <w:bCs/>
                <w:szCs w:val="22"/>
              </w:rPr>
            </w:pPr>
            <w:bookmarkStart w:name="_Hlk152858799" w:id="2"/>
          </w:p>
          <w:p w:rsidRPr="003B0455" w:rsidR="001061A2" w:rsidP="00DF5704" w:rsidRDefault="001061A2" w14:paraId="2D906CE4" w14:textId="77777777">
            <w:pPr>
              <w:widowControl w:val="0"/>
              <w:ind w:left="360"/>
              <w:jc w:val="center"/>
              <w:rPr>
                <w:b/>
                <w:bCs/>
                <w:szCs w:val="22"/>
              </w:rPr>
            </w:pPr>
            <w:r w:rsidRPr="003B0455">
              <w:rPr>
                <w:b/>
                <w:bCs/>
                <w:szCs w:val="22"/>
              </w:rPr>
              <w:t>Dirigida a</w:t>
            </w:r>
          </w:p>
        </w:tc>
        <w:tc>
          <w:tcPr>
            <w:tcW w:w="1842" w:type="dxa"/>
            <w:shd w:val="clear" w:color="auto" w:fill="8EAADB" w:themeFill="accent1" w:themeFillTint="99"/>
          </w:tcPr>
          <w:p w:rsidRPr="003B0455" w:rsidR="001061A2" w:rsidP="00DF5704" w:rsidRDefault="001061A2" w14:paraId="18AE37AE" w14:textId="77777777">
            <w:pPr>
              <w:widowControl w:val="0"/>
              <w:jc w:val="center"/>
              <w:rPr>
                <w:b/>
                <w:bCs/>
                <w:szCs w:val="22"/>
              </w:rPr>
            </w:pPr>
            <w:r w:rsidRPr="003B0455">
              <w:rPr>
                <w:b/>
                <w:bCs/>
                <w:szCs w:val="22"/>
              </w:rPr>
              <w:t xml:space="preserve">Cantidad de participantes por entidad supervisada o auditor </w:t>
            </w:r>
          </w:p>
        </w:tc>
        <w:tc>
          <w:tcPr>
            <w:tcW w:w="2268" w:type="dxa"/>
            <w:shd w:val="clear" w:color="auto" w:fill="8EAADB" w:themeFill="accent1" w:themeFillTint="99"/>
          </w:tcPr>
          <w:p w:rsidRPr="003B0455" w:rsidR="001061A2" w:rsidP="00DF5704" w:rsidRDefault="001061A2" w14:paraId="6E9AC14F" w14:textId="77777777">
            <w:pPr>
              <w:widowControl w:val="0"/>
              <w:jc w:val="center"/>
              <w:rPr>
                <w:b/>
                <w:bCs/>
                <w:szCs w:val="22"/>
              </w:rPr>
            </w:pPr>
          </w:p>
          <w:p w:rsidRPr="003B0455" w:rsidR="001061A2" w:rsidP="00DF5704" w:rsidRDefault="001061A2" w14:paraId="41F6EF42" w14:textId="77777777">
            <w:pPr>
              <w:widowControl w:val="0"/>
              <w:jc w:val="center"/>
              <w:rPr>
                <w:b/>
                <w:bCs/>
                <w:szCs w:val="22"/>
              </w:rPr>
            </w:pPr>
            <w:r w:rsidRPr="003B0455">
              <w:rPr>
                <w:b/>
                <w:bCs/>
                <w:szCs w:val="22"/>
              </w:rPr>
              <w:t>Día y hora</w:t>
            </w:r>
          </w:p>
        </w:tc>
        <w:tc>
          <w:tcPr>
            <w:tcW w:w="3244" w:type="dxa"/>
            <w:shd w:val="clear" w:color="auto" w:fill="8EAADB" w:themeFill="accent1" w:themeFillTint="99"/>
          </w:tcPr>
          <w:p w:rsidRPr="003B0455" w:rsidR="001061A2" w:rsidP="00DF5704" w:rsidRDefault="001061A2" w14:paraId="39457EAF" w14:textId="77777777">
            <w:pPr>
              <w:widowControl w:val="0"/>
              <w:jc w:val="center"/>
              <w:rPr>
                <w:b/>
                <w:bCs/>
                <w:szCs w:val="22"/>
              </w:rPr>
            </w:pPr>
          </w:p>
          <w:p w:rsidRPr="003B0455" w:rsidR="001061A2" w:rsidP="00DF5704" w:rsidRDefault="001061A2" w14:paraId="3A19D2E5" w14:textId="77777777">
            <w:pPr>
              <w:widowControl w:val="0"/>
              <w:jc w:val="center"/>
              <w:rPr>
                <w:b/>
                <w:bCs/>
                <w:szCs w:val="22"/>
              </w:rPr>
            </w:pPr>
            <w:r w:rsidRPr="003B0455">
              <w:rPr>
                <w:b/>
                <w:bCs/>
                <w:szCs w:val="22"/>
              </w:rPr>
              <w:t>Enlace de registro</w:t>
            </w:r>
          </w:p>
        </w:tc>
      </w:tr>
      <w:tr w:rsidRPr="0017570E" w:rsidR="001061A2" w:rsidTr="00DF5704" w14:paraId="44D2F4CB" w14:textId="77777777">
        <w:trPr>
          <w:trHeight w:val="336"/>
        </w:trPr>
        <w:tc>
          <w:tcPr>
            <w:tcW w:w="2122" w:type="dxa"/>
          </w:tcPr>
          <w:p w:rsidRPr="003B0455" w:rsidR="001061A2" w:rsidP="00DF5704" w:rsidRDefault="001061A2" w14:paraId="57CB869D" w14:textId="77777777">
            <w:pPr>
              <w:widowControl w:val="0"/>
              <w:rPr>
                <w:b/>
                <w:bCs/>
                <w:szCs w:val="22"/>
              </w:rPr>
            </w:pPr>
            <w:r w:rsidRPr="003B0455">
              <w:rPr>
                <w:szCs w:val="22"/>
              </w:rPr>
              <w:t xml:space="preserve">APNFD Tipo 1 </w:t>
            </w:r>
          </w:p>
        </w:tc>
        <w:tc>
          <w:tcPr>
            <w:tcW w:w="1842" w:type="dxa"/>
          </w:tcPr>
          <w:p w:rsidRPr="003B0455" w:rsidR="001061A2" w:rsidP="00DF5704" w:rsidRDefault="001061A2" w14:paraId="35F80908" w14:textId="77777777">
            <w:pPr>
              <w:pStyle w:val="Prrafodelista"/>
              <w:widowControl w:val="0"/>
              <w:ind w:left="924"/>
              <w:rPr>
                <w:rFonts w:ascii="Cambria" w:hAnsi="Cambria"/>
                <w:sz w:val="22"/>
                <w:szCs w:val="22"/>
              </w:rPr>
            </w:pPr>
            <w:r w:rsidRPr="003B0455">
              <w:rPr>
                <w:rFonts w:ascii="Cambria" w:hAnsi="Cambria"/>
                <w:sz w:val="22"/>
                <w:szCs w:val="22"/>
              </w:rPr>
              <w:t>2</w:t>
            </w:r>
          </w:p>
        </w:tc>
        <w:tc>
          <w:tcPr>
            <w:tcW w:w="2268" w:type="dxa"/>
          </w:tcPr>
          <w:p w:rsidRPr="003B0455" w:rsidR="001061A2" w:rsidP="00DF5704" w:rsidRDefault="001061A2" w14:paraId="077F4323" w14:textId="77777777">
            <w:pPr>
              <w:widowControl w:val="0"/>
              <w:rPr>
                <w:szCs w:val="22"/>
              </w:rPr>
            </w:pPr>
            <w:r w:rsidRPr="003B0455">
              <w:rPr>
                <w:szCs w:val="22"/>
              </w:rPr>
              <w:t>15 de febrero de 2024</w:t>
            </w:r>
          </w:p>
          <w:p w:rsidRPr="003B0455" w:rsidR="001061A2" w:rsidP="00DF5704" w:rsidRDefault="001061A2" w14:paraId="383F5747" w14:textId="77777777">
            <w:pPr>
              <w:widowControl w:val="0"/>
              <w:rPr>
                <w:szCs w:val="22"/>
              </w:rPr>
            </w:pPr>
            <w:r w:rsidRPr="003B0455">
              <w:rPr>
                <w:szCs w:val="22"/>
              </w:rPr>
              <w:t>9 a.m. a 12:30 p.m.</w:t>
            </w:r>
          </w:p>
        </w:tc>
        <w:tc>
          <w:tcPr>
            <w:tcW w:w="3244" w:type="dxa"/>
          </w:tcPr>
          <w:p w:rsidRPr="003B0455" w:rsidR="001061A2" w:rsidDel="00221EF3" w:rsidP="00DF5704" w:rsidRDefault="00DA56B1" w14:paraId="71041628" w14:textId="77777777">
            <w:pPr>
              <w:jc w:val="center"/>
              <w:rPr>
                <w:szCs w:val="22"/>
                <w:lang w:val="es-CR"/>
              </w:rPr>
            </w:pPr>
            <w:hyperlink w:history="1" r:id="rId15">
              <w:r w:rsidRPr="003B0455" w:rsidR="001061A2">
                <w:rPr>
                  <w:rStyle w:val="Hipervnculo"/>
                  <w:szCs w:val="22"/>
                </w:rPr>
                <w:t>https://bccr.webex.com/weblink/register/rad10076ff95e7cb996a6fe6a5f76400a</w:t>
              </w:r>
            </w:hyperlink>
          </w:p>
        </w:tc>
      </w:tr>
      <w:tr w:rsidRPr="0017570E" w:rsidR="001061A2" w:rsidTr="00DF5704" w14:paraId="41412924" w14:textId="77777777">
        <w:trPr>
          <w:trHeight w:val="342"/>
        </w:trPr>
        <w:tc>
          <w:tcPr>
            <w:tcW w:w="2122" w:type="dxa"/>
          </w:tcPr>
          <w:p w:rsidRPr="003B0455" w:rsidR="001061A2" w:rsidP="00DF5704" w:rsidRDefault="001061A2" w14:paraId="6C05D7C0" w14:textId="77777777">
            <w:pPr>
              <w:widowControl w:val="0"/>
              <w:rPr>
                <w:b/>
                <w:bCs/>
                <w:szCs w:val="22"/>
              </w:rPr>
            </w:pPr>
            <w:r w:rsidRPr="003B0455">
              <w:rPr>
                <w:szCs w:val="22"/>
              </w:rPr>
              <w:t>Entidades Financieras y empresas relacionadas</w:t>
            </w:r>
          </w:p>
        </w:tc>
        <w:tc>
          <w:tcPr>
            <w:tcW w:w="1842" w:type="dxa"/>
          </w:tcPr>
          <w:p w:rsidRPr="003B0455" w:rsidR="001061A2" w:rsidP="00DF5704" w:rsidRDefault="001061A2" w14:paraId="3732CFF2" w14:textId="77777777">
            <w:pPr>
              <w:pStyle w:val="Prrafodelista"/>
              <w:widowControl w:val="0"/>
              <w:ind w:left="924"/>
              <w:rPr>
                <w:rFonts w:ascii="Cambria" w:hAnsi="Cambria"/>
                <w:sz w:val="22"/>
                <w:szCs w:val="22"/>
              </w:rPr>
            </w:pPr>
            <w:r w:rsidRPr="003B0455">
              <w:rPr>
                <w:rFonts w:ascii="Cambria" w:hAnsi="Cambria"/>
                <w:sz w:val="22"/>
                <w:szCs w:val="22"/>
              </w:rPr>
              <w:t>4</w:t>
            </w:r>
          </w:p>
        </w:tc>
        <w:tc>
          <w:tcPr>
            <w:tcW w:w="2268" w:type="dxa"/>
          </w:tcPr>
          <w:p w:rsidRPr="003B0455" w:rsidR="001061A2" w:rsidP="00DF5704" w:rsidRDefault="001061A2" w14:paraId="33603FAC" w14:textId="77777777">
            <w:pPr>
              <w:widowControl w:val="0"/>
              <w:rPr>
                <w:szCs w:val="22"/>
              </w:rPr>
            </w:pPr>
            <w:r w:rsidRPr="003B0455">
              <w:rPr>
                <w:szCs w:val="22"/>
              </w:rPr>
              <w:t>20 de febrero de 2024</w:t>
            </w:r>
          </w:p>
          <w:p w:rsidRPr="003B0455" w:rsidR="001061A2" w:rsidP="00DF5704" w:rsidRDefault="001061A2" w14:paraId="0E776B46" w14:textId="77777777">
            <w:pPr>
              <w:widowControl w:val="0"/>
              <w:rPr>
                <w:szCs w:val="22"/>
              </w:rPr>
            </w:pPr>
            <w:r w:rsidRPr="003B0455">
              <w:rPr>
                <w:szCs w:val="22"/>
              </w:rPr>
              <w:t>9 a.m. a 12:30 p.m.</w:t>
            </w:r>
          </w:p>
        </w:tc>
        <w:tc>
          <w:tcPr>
            <w:tcW w:w="3244" w:type="dxa"/>
          </w:tcPr>
          <w:p w:rsidRPr="003B0455" w:rsidR="001061A2" w:rsidP="00DF5704" w:rsidRDefault="00DA56B1" w14:paraId="165B2257" w14:textId="77777777">
            <w:pPr>
              <w:widowControl w:val="0"/>
              <w:rPr>
                <w:szCs w:val="22"/>
              </w:rPr>
            </w:pPr>
            <w:hyperlink w:history="1" r:id="rId16">
              <w:r w:rsidRPr="003B0455" w:rsidR="001061A2">
                <w:rPr>
                  <w:rStyle w:val="Hipervnculo"/>
                  <w:szCs w:val="22"/>
                </w:rPr>
                <w:t>https://bccr.webex.com/weblink/register/rc2becd322c3e92a32bbdeb06b8077488</w:t>
              </w:r>
            </w:hyperlink>
          </w:p>
        </w:tc>
      </w:tr>
      <w:tr w:rsidRPr="0017570E" w:rsidR="001061A2" w:rsidTr="00DF5704" w14:paraId="0CF9DEEE" w14:textId="77777777">
        <w:trPr>
          <w:trHeight w:val="336"/>
        </w:trPr>
        <w:tc>
          <w:tcPr>
            <w:tcW w:w="2122" w:type="dxa"/>
          </w:tcPr>
          <w:p w:rsidRPr="003B0455" w:rsidR="001061A2" w:rsidP="00DF5704" w:rsidRDefault="001061A2" w14:paraId="7BD41321" w14:textId="77777777">
            <w:pPr>
              <w:widowControl w:val="0"/>
              <w:rPr>
                <w:b/>
                <w:bCs/>
                <w:szCs w:val="22"/>
              </w:rPr>
            </w:pPr>
            <w:r w:rsidRPr="003B0455">
              <w:rPr>
                <w:szCs w:val="22"/>
              </w:rPr>
              <w:t>Auditores Externos Financieros inscritos en SUGEVAL</w:t>
            </w:r>
          </w:p>
        </w:tc>
        <w:tc>
          <w:tcPr>
            <w:tcW w:w="1842" w:type="dxa"/>
          </w:tcPr>
          <w:p w:rsidRPr="003B0455" w:rsidR="001061A2" w:rsidP="00DF5704" w:rsidRDefault="001061A2" w14:paraId="11EEDD04" w14:textId="77777777">
            <w:pPr>
              <w:pStyle w:val="Prrafodelista"/>
              <w:widowControl w:val="0"/>
              <w:ind w:left="924"/>
              <w:rPr>
                <w:rFonts w:ascii="Cambria" w:hAnsi="Cambria"/>
                <w:sz w:val="22"/>
                <w:szCs w:val="22"/>
              </w:rPr>
            </w:pPr>
            <w:r w:rsidRPr="003B0455">
              <w:rPr>
                <w:rFonts w:ascii="Cambria" w:hAnsi="Cambria"/>
                <w:sz w:val="22"/>
                <w:szCs w:val="22"/>
              </w:rPr>
              <w:t>3</w:t>
            </w:r>
          </w:p>
        </w:tc>
        <w:tc>
          <w:tcPr>
            <w:tcW w:w="2268" w:type="dxa"/>
          </w:tcPr>
          <w:p w:rsidRPr="003B0455" w:rsidR="001061A2" w:rsidP="00DF5704" w:rsidRDefault="001061A2" w14:paraId="13A19808" w14:textId="77777777">
            <w:pPr>
              <w:widowControl w:val="0"/>
              <w:rPr>
                <w:szCs w:val="22"/>
              </w:rPr>
            </w:pPr>
            <w:r w:rsidRPr="003B0455">
              <w:rPr>
                <w:szCs w:val="22"/>
              </w:rPr>
              <w:t>22 de febrero de 2024</w:t>
            </w:r>
          </w:p>
          <w:p w:rsidRPr="003B0455" w:rsidR="001061A2" w:rsidP="00DF5704" w:rsidRDefault="001061A2" w14:paraId="39521983" w14:textId="77777777">
            <w:pPr>
              <w:widowControl w:val="0"/>
              <w:rPr>
                <w:szCs w:val="22"/>
              </w:rPr>
            </w:pPr>
            <w:r w:rsidRPr="003B0455">
              <w:rPr>
                <w:szCs w:val="22"/>
              </w:rPr>
              <w:t>9 a.m. a 12:30 p.m.</w:t>
            </w:r>
          </w:p>
        </w:tc>
        <w:tc>
          <w:tcPr>
            <w:tcW w:w="3244" w:type="dxa"/>
          </w:tcPr>
          <w:p w:rsidRPr="003B0455" w:rsidR="001061A2" w:rsidP="00DF5704" w:rsidRDefault="00DA56B1" w14:paraId="1DA98FAF" w14:textId="77777777">
            <w:pPr>
              <w:widowControl w:val="0"/>
              <w:rPr>
                <w:szCs w:val="22"/>
              </w:rPr>
            </w:pPr>
            <w:hyperlink w:history="1" r:id="rId17">
              <w:r w:rsidRPr="003B0455" w:rsidR="001061A2">
                <w:rPr>
                  <w:rStyle w:val="Hipervnculo"/>
                  <w:szCs w:val="22"/>
                </w:rPr>
                <w:t>https://bccr.webex.com/weblink/register/r35ce9e0ad46806e2271424763f15f66c</w:t>
              </w:r>
            </w:hyperlink>
          </w:p>
        </w:tc>
      </w:tr>
      <w:bookmarkEnd w:id="2"/>
    </w:tbl>
    <w:p w:rsidRPr="0017570E" w:rsidR="001061A2" w:rsidP="001061A2" w:rsidRDefault="001061A2" w14:paraId="68EA0655" w14:textId="77777777">
      <w:pPr>
        <w:widowControl w:val="0"/>
      </w:pPr>
    </w:p>
    <w:p w:rsidRPr="0017570E" w:rsidR="001061A2" w:rsidP="001061A2" w:rsidRDefault="001061A2" w14:paraId="7501DBB8" w14:textId="1A6E2C40">
      <w:pPr>
        <w:widowControl w:val="0"/>
        <w:ind w:left="851"/>
      </w:pPr>
      <w:r w:rsidRPr="0017570E">
        <w:t xml:space="preserve">Al </w:t>
      </w:r>
      <w:r w:rsidRPr="0017570E" w:rsidR="00BF5E88">
        <w:t>acceder</w:t>
      </w:r>
      <w:r w:rsidRPr="0017570E">
        <w:t xml:space="preserve"> el enlace de registro, cada participante debe completar el Formulario de Inscripción para la reserva de su espacio en la </w:t>
      </w:r>
      <w:r w:rsidR="00BF5E88">
        <w:t>a</w:t>
      </w:r>
      <w:r w:rsidRPr="0017570E">
        <w:t>ctividad correspondiente.</w:t>
      </w:r>
    </w:p>
    <w:p w:rsidRPr="0017570E" w:rsidR="001061A2" w:rsidP="001061A2" w:rsidRDefault="001061A2" w14:paraId="635710D0" w14:textId="77777777">
      <w:pPr>
        <w:pStyle w:val="Prrafodelista"/>
        <w:widowControl w:val="0"/>
        <w:ind w:left="1272"/>
        <w:jc w:val="both"/>
        <w:rPr>
          <w:rFonts w:ascii="Cambria" w:hAnsi="Cambria"/>
        </w:rPr>
      </w:pPr>
    </w:p>
    <w:p w:rsidRPr="0017570E" w:rsidR="001061A2" w:rsidP="001061A2" w:rsidRDefault="001061A2" w14:paraId="1E2CD5DA" w14:textId="77777777">
      <w:pPr>
        <w:pStyle w:val="Prrafodelista"/>
        <w:widowControl w:val="0"/>
        <w:numPr>
          <w:ilvl w:val="0"/>
          <w:numId w:val="8"/>
        </w:numPr>
        <w:ind w:left="851" w:hanging="425"/>
        <w:jc w:val="both"/>
        <w:rPr>
          <w:rFonts w:ascii="Cambria" w:hAnsi="Cambria"/>
        </w:rPr>
      </w:pPr>
      <w:r w:rsidRPr="0017570E">
        <w:rPr>
          <w:rFonts w:ascii="Cambria" w:hAnsi="Cambria"/>
        </w:rPr>
        <w:t>En esta primera capacitación se considera necesaria la participación de:</w:t>
      </w:r>
    </w:p>
    <w:p w:rsidRPr="0017570E" w:rsidR="001061A2" w:rsidP="001061A2" w:rsidRDefault="001061A2" w14:paraId="3914E151" w14:textId="77777777">
      <w:pPr>
        <w:pStyle w:val="Prrafodelista"/>
        <w:widowControl w:val="0"/>
        <w:numPr>
          <w:ilvl w:val="0"/>
          <w:numId w:val="7"/>
        </w:numPr>
        <w:ind w:left="1134" w:hanging="283"/>
        <w:jc w:val="both"/>
        <w:rPr>
          <w:rFonts w:ascii="Cambria" w:hAnsi="Cambria"/>
        </w:rPr>
      </w:pPr>
      <w:r w:rsidRPr="0017570E">
        <w:rPr>
          <w:rFonts w:ascii="Cambria" w:hAnsi="Cambria"/>
        </w:rPr>
        <w:t>APNFD: persona física inscrita, representante legal de las personas jurídicas o apoderados o gerentes y oficiales de cumplimientos.</w:t>
      </w:r>
    </w:p>
    <w:p w:rsidRPr="0017570E" w:rsidR="001061A2" w:rsidP="001061A2" w:rsidRDefault="001061A2" w14:paraId="7114A116" w14:textId="77777777">
      <w:pPr>
        <w:pStyle w:val="Prrafodelista"/>
        <w:widowControl w:val="0"/>
        <w:numPr>
          <w:ilvl w:val="0"/>
          <w:numId w:val="7"/>
        </w:numPr>
        <w:ind w:left="1134" w:hanging="283"/>
        <w:jc w:val="both"/>
        <w:rPr>
          <w:rFonts w:ascii="Cambria" w:hAnsi="Cambria"/>
        </w:rPr>
      </w:pPr>
      <w:r w:rsidRPr="0017570E">
        <w:rPr>
          <w:rFonts w:ascii="Cambria" w:hAnsi="Cambria"/>
        </w:rPr>
        <w:t xml:space="preserve">Entidades financieras: representante legal de la entidad y vehículos financieros, gerentes, oficiales de cumplimiento, entre otros que deban cumplir con el </w:t>
      </w:r>
      <w:bookmarkStart w:name="_Hlk156993178" w:id="3"/>
      <w:r w:rsidRPr="0017570E">
        <w:rPr>
          <w:rFonts w:ascii="Cambria" w:hAnsi="Cambria"/>
        </w:rPr>
        <w:t xml:space="preserve">Acuerdo CONASSIF 12-21. </w:t>
      </w:r>
      <w:bookmarkEnd w:id="3"/>
    </w:p>
    <w:p w:rsidR="001061A2" w:rsidP="001061A2" w:rsidRDefault="001061A2" w14:paraId="3F74BFD4" w14:textId="6368113F">
      <w:pPr>
        <w:widowControl w:val="0"/>
        <w:ind w:left="360"/>
      </w:pPr>
    </w:p>
    <w:p w:rsidRPr="0017570E" w:rsidR="0074765B" w:rsidP="001061A2" w:rsidRDefault="0074765B" w14:paraId="2A6A8151" w14:textId="77777777">
      <w:pPr>
        <w:widowControl w:val="0"/>
        <w:ind w:left="360"/>
      </w:pPr>
    </w:p>
    <w:p w:rsidRPr="0017570E" w:rsidR="001061A2" w:rsidP="0074765B" w:rsidRDefault="001061A2" w14:paraId="7CF00526" w14:textId="77777777">
      <w:pPr>
        <w:pStyle w:val="Prrafodelista"/>
        <w:widowControl w:val="0"/>
        <w:ind w:left="426"/>
        <w:jc w:val="both"/>
        <w:rPr>
          <w:rFonts w:ascii="Cambria" w:hAnsi="Cambria"/>
          <w:b/>
        </w:rPr>
      </w:pPr>
      <w:r w:rsidRPr="0017570E">
        <w:rPr>
          <w:rFonts w:ascii="Cambria" w:hAnsi="Cambria"/>
          <w:b/>
          <w:bCs/>
        </w:rPr>
        <w:t xml:space="preserve">Capacitación para las partes interesadas del </w:t>
      </w:r>
      <w:r w:rsidRPr="0017570E">
        <w:rPr>
          <w:rFonts w:ascii="Cambria" w:hAnsi="Cambria"/>
          <w:b/>
        </w:rPr>
        <w:t>Acuerdo CONASSIF 5-17</w:t>
      </w:r>
    </w:p>
    <w:p w:rsidRPr="0017570E" w:rsidR="001061A2" w:rsidP="001061A2" w:rsidRDefault="001061A2" w14:paraId="1F027A8B" w14:textId="77777777">
      <w:pPr>
        <w:widowControl w:val="0"/>
        <w:rPr>
          <w:b/>
        </w:rPr>
      </w:pPr>
    </w:p>
    <w:p w:rsidRPr="0017570E" w:rsidR="001061A2" w:rsidP="001061A2" w:rsidRDefault="001061A2" w14:paraId="3D23E42A" w14:textId="77777777">
      <w:pPr>
        <w:pStyle w:val="Prrafodelista"/>
        <w:widowControl w:val="0"/>
        <w:numPr>
          <w:ilvl w:val="0"/>
          <w:numId w:val="9"/>
        </w:numPr>
        <w:ind w:left="851" w:hanging="425"/>
        <w:jc w:val="both"/>
        <w:rPr>
          <w:rFonts w:ascii="Cambria" w:hAnsi="Cambria"/>
        </w:rPr>
      </w:pPr>
      <w:r w:rsidRPr="0017570E">
        <w:rPr>
          <w:rFonts w:ascii="Cambria" w:hAnsi="Cambria"/>
        </w:rPr>
        <w:t>El esquema de capacitación para las partes interesadas de las entidades supervisadas por el Acuerdo CONASSIF 5-17 se anunciará oportunamente.</w:t>
      </w:r>
    </w:p>
    <w:p w:rsidR="001061A2" w:rsidP="00181ABF" w:rsidRDefault="001061A2" w14:paraId="389488D3" w14:textId="67641BA5">
      <w:pPr>
        <w:pStyle w:val="Negrita"/>
        <w:spacing w:line="240" w:lineRule="auto"/>
        <w:jc w:val="left"/>
        <w:rPr>
          <w:b w:val="0"/>
          <w:sz w:val="24"/>
        </w:rPr>
      </w:pPr>
    </w:p>
    <w:p w:rsidR="001061A2" w:rsidP="00181ABF" w:rsidRDefault="001061A2" w14:paraId="1F214A57" w14:textId="53D96354">
      <w:pPr>
        <w:pStyle w:val="Negrita"/>
        <w:spacing w:line="240" w:lineRule="auto"/>
        <w:jc w:val="left"/>
        <w:rPr>
          <w:b w:val="0"/>
          <w:sz w:val="24"/>
        </w:rPr>
      </w:pPr>
    </w:p>
    <w:p w:rsidR="001061A2" w:rsidP="00181ABF" w:rsidRDefault="001061A2" w14:paraId="003F9A2D" w14:textId="1EDBDD78">
      <w:pPr>
        <w:pStyle w:val="Negrita"/>
        <w:spacing w:line="240" w:lineRule="auto"/>
        <w:jc w:val="left"/>
        <w:rPr>
          <w:b w:val="0"/>
          <w:sz w:val="24"/>
        </w:rPr>
      </w:pPr>
    </w:p>
    <w:p w:rsidR="00695EFE" w:rsidP="00695EFE" w:rsidRDefault="0074765B" w14:paraId="2A0CD30A" w14:textId="73CBF572">
      <w:pPr>
        <w:spacing w:after="160" w:line="259" w:lineRule="auto"/>
        <w:jc w:val="left"/>
        <w:rPr>
          <w:sz w:val="24"/>
        </w:rPr>
      </w:pPr>
      <w:bookmarkStart w:name="_Hlk53758837" w:id="4"/>
      <w:r>
        <w:rPr>
          <w:noProof/>
          <w:lang w:val="es-CR" w:eastAsia="es-CR"/>
        </w:rPr>
        <w:drawing>
          <wp:anchor distT="0" distB="0" distL="114300" distR="114300" simplePos="0" relativeHeight="251659264" behindDoc="1" locked="0" layoutInCell="1" allowOverlap="1" wp14:editId="729400BC" wp14:anchorId="18AA807B">
            <wp:simplePos x="0" y="0"/>
            <wp:positionH relativeFrom="margin">
              <wp:align>left</wp:align>
            </wp:positionH>
            <wp:positionV relativeFrom="paragraph">
              <wp:posOffset>82550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695EFE" w:rsidP="00695EFE" w:rsidRDefault="00695EFE" w14:paraId="7713CE44" w14:textId="77777777">
      <w:pPr>
        <w:spacing w:after="160" w:line="259" w:lineRule="auto"/>
        <w:jc w:val="left"/>
        <w:rPr>
          <w:sz w:val="24"/>
        </w:rPr>
      </w:pPr>
    </w:p>
    <w:p w:rsidRPr="00111293" w:rsidR="00695EFE" w:rsidP="00695EFE" w:rsidRDefault="00695EFE" w14:paraId="52FF9FB8" w14:textId="4908F109">
      <w:pPr>
        <w:spacing w:after="160" w:line="259" w:lineRule="auto"/>
        <w:jc w:val="left"/>
        <w:rPr>
          <w:sz w:val="24"/>
        </w:rPr>
      </w:pPr>
      <w:r w:rsidRPr="00111293">
        <w:rPr>
          <w:sz w:val="24"/>
        </w:rPr>
        <w:t>Rocío Aguilar Montoya</w:t>
      </w:r>
      <w:r w:rsidRPr="00111293">
        <w:rPr>
          <w:sz w:val="24"/>
        </w:rPr>
        <w:br/>
      </w:r>
      <w:r w:rsidRPr="00111293">
        <w:rPr>
          <w:b/>
          <w:bCs/>
          <w:sz w:val="24"/>
        </w:rPr>
        <w:t>Superintendente General</w:t>
      </w:r>
    </w:p>
    <w:bookmarkEnd w:id="4"/>
    <w:p w:rsidR="0028253C" w:rsidP="00181ABF" w:rsidRDefault="0028253C" w14:paraId="4270252A" w14:textId="71A74FBC">
      <w:pPr>
        <w:pStyle w:val="Negrita"/>
        <w:spacing w:line="240" w:lineRule="auto"/>
        <w:jc w:val="left"/>
        <w:rPr>
          <w:noProof/>
          <w:lang w:val="es-CR" w:eastAsia="es-CR"/>
        </w:rPr>
      </w:pPr>
    </w:p>
    <w:p w:rsidR="00181ABF" w:rsidP="00181ABF" w:rsidRDefault="00181ABF" w14:paraId="20F754DC" w14:textId="77777777">
      <w:pPr>
        <w:pStyle w:val="Negrita"/>
        <w:spacing w:line="240" w:lineRule="auto"/>
      </w:pPr>
    </w:p>
    <w:p w:rsidRPr="00E005E1" w:rsidR="00181ABF" w:rsidP="00181ABF" w:rsidRDefault="00E005E1" w14:paraId="4B7F3744" w14:textId="2578F131">
      <w:pPr>
        <w:pStyle w:val="CC"/>
        <w:spacing w:line="240" w:lineRule="auto"/>
        <w:rPr>
          <w:i/>
          <w:iCs/>
          <w:sz w:val="16"/>
          <w:szCs w:val="16"/>
        </w:rPr>
      </w:pPr>
      <w:r w:rsidRPr="00E005E1">
        <w:rPr>
          <w:i/>
          <w:iCs/>
          <w:sz w:val="16"/>
          <w:szCs w:val="16"/>
        </w:rPr>
        <w:t>RAM/</w:t>
      </w:r>
      <w:r w:rsidRPr="00E005E1" w:rsidR="001061A2">
        <w:rPr>
          <w:i/>
          <w:iCs/>
          <w:sz w:val="16"/>
          <w:szCs w:val="16"/>
        </w:rPr>
        <w:t>RCA/</w:t>
      </w:r>
      <w:r w:rsidRPr="00E005E1" w:rsidR="00695EFE">
        <w:rPr>
          <w:i/>
          <w:iCs/>
          <w:sz w:val="16"/>
          <w:szCs w:val="16"/>
        </w:rPr>
        <w:t>KSH-AICA/</w:t>
      </w:r>
    </w:p>
    <w:p w:rsidR="00E42AAC" w:rsidRDefault="00E42AAC" w14:paraId="6A780025" w14:textId="77777777"/>
    <w:sectPr w:rsidR="00E42AAC">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A417" w14:textId="77777777" w:rsidR="001061A2" w:rsidRDefault="001061A2" w:rsidP="00181ABF">
      <w:pPr>
        <w:spacing w:line="240" w:lineRule="auto"/>
      </w:pPr>
      <w:r>
        <w:separator/>
      </w:r>
    </w:p>
  </w:endnote>
  <w:endnote w:type="continuationSeparator" w:id="0">
    <w:p w14:paraId="3703AFB9" w14:textId="77777777" w:rsidR="001061A2" w:rsidRDefault="001061A2"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C32DC7" w:rsidTr="00C32DC7" w14:paraId="57675C0A" w14:textId="77777777">
      <w:tc>
        <w:tcPr>
          <w:tcW w:w="7356" w:type="dxa"/>
        </w:tcPr>
        <w:p w:rsidRPr="00637782" w:rsidR="00DF751E" w:rsidP="00DF751E" w:rsidRDefault="00DF751E" w14:paraId="045A80FB"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1368A948" wp14:anchorId="489EE94A">
                    <wp:simplePos x="0" y="0"/>
                    <wp:positionH relativeFrom="page">
                      <wp:posOffset>0</wp:posOffset>
                    </wp:positionH>
                    <wp:positionV relativeFrom="page">
                      <wp:posOffset>9594215</wp:posOffset>
                    </wp:positionV>
                    <wp:extent cx="7772400" cy="273050"/>
                    <wp:effectExtent l="0" t="0" r="0" b="12700"/>
                    <wp:wrapNone/>
                    <wp:docPr id="4" name="MSIPCMa3bb4dc68daa92cca3e6eb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51E" w:rsidR="00DF751E" w:rsidP="00DF751E" w:rsidRDefault="00DF751E" w14:paraId="3132EA20" w14:textId="77777777">
                                <w:pPr>
                                  <w:jc w:val="center"/>
                                  <w:rPr>
                                    <w:rFonts w:ascii="Calibri" w:hAnsi="Calibri" w:cs="Calibri"/>
                                    <w:color w:val="000000"/>
                                    <w:sz w:val="20"/>
                                  </w:rPr>
                                </w:pPr>
                                <w:r w:rsidRPr="00DF75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89EE94A">
                    <v:stroke joinstyle="miter"/>
                    <v:path gradientshapeok="t" o:connecttype="rect"/>
                  </v:shapetype>
                  <v:shape id="MSIPCMa3bb4dc68daa92cca3e6eb8b"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DF751E" w:rsidR="00DF751E" w:rsidP="00DF751E" w:rsidRDefault="00DF751E" w14:paraId="3132EA20" w14:textId="77777777">
                          <w:pPr>
                            <w:jc w:val="center"/>
                            <w:rPr>
                              <w:rFonts w:ascii="Calibri" w:hAnsi="Calibri" w:cs="Calibri"/>
                              <w:color w:val="000000"/>
                              <w:sz w:val="20"/>
                            </w:rPr>
                          </w:pPr>
                          <w:r w:rsidRPr="00DF751E">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C32DC7" w:rsidP="00181ABF" w:rsidRDefault="00C32DC7" w14:paraId="1F12E019" w14:textId="77777777">
          <w:pPr>
            <w:pStyle w:val="Piedepgina"/>
            <w:rPr>
              <w:b/>
              <w:color w:val="7F7F7F" w:themeColor="text1" w:themeTint="80"/>
              <w:sz w:val="16"/>
              <w:szCs w:val="16"/>
            </w:rPr>
          </w:pPr>
        </w:p>
      </w:tc>
      <w:tc>
        <w:tcPr>
          <w:tcW w:w="1472" w:type="dxa"/>
        </w:tcPr>
        <w:p w:rsidRPr="009349F3" w:rsidR="00C32DC7" w:rsidP="00181ABF" w:rsidRDefault="00C32DC7" w14:paraId="322BDA6D"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3342E0A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60B7" w14:textId="77777777" w:rsidR="001061A2" w:rsidRDefault="001061A2" w:rsidP="00181ABF">
      <w:pPr>
        <w:spacing w:line="240" w:lineRule="auto"/>
      </w:pPr>
      <w:r>
        <w:separator/>
      </w:r>
    </w:p>
  </w:footnote>
  <w:footnote w:type="continuationSeparator" w:id="0">
    <w:p w14:paraId="4542596D" w14:textId="77777777" w:rsidR="001061A2" w:rsidRDefault="001061A2"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CF3A11" w14:paraId="75811F95" w14:textId="77777777">
    <w:pPr>
      <w:pStyle w:val="Encabezado"/>
    </w:pPr>
    <w:r>
      <w:rPr>
        <w:noProof/>
      </w:rPr>
      <w:drawing>
        <wp:anchor distT="0" distB="0" distL="114300" distR="114300" simplePos="0" relativeHeight="251662336" behindDoc="1" locked="0" layoutInCell="1" allowOverlap="1" wp14:editId="63D04975" wp14:anchorId="3961463C">
          <wp:simplePos x="0" y="0"/>
          <wp:positionH relativeFrom="page">
            <wp:align>left</wp:align>
          </wp:positionH>
          <wp:positionV relativeFrom="paragraph">
            <wp:posOffset>-448945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C32DC7" w:rsidRDefault="00181ABF" w14:paraId="75A5A0B2"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028"/>
    <w:multiLevelType w:val="hybridMultilevel"/>
    <w:tmpl w:val="746CCFDC"/>
    <w:lvl w:ilvl="0" w:tplc="140A000F">
      <w:start w:val="1"/>
      <w:numFmt w:val="decimal"/>
      <w:lvlText w:val="%1."/>
      <w:lvlJc w:val="left"/>
      <w:pPr>
        <w:ind w:left="924" w:hanging="564"/>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636B05"/>
    <w:multiLevelType w:val="hybridMultilevel"/>
    <w:tmpl w:val="FBCC7900"/>
    <w:lvl w:ilvl="0" w:tplc="6EC871DE">
      <w:start w:val="1"/>
      <w:numFmt w:val="lowerLetter"/>
      <w:lvlText w:val="%1)"/>
      <w:lvlJc w:val="left"/>
      <w:pPr>
        <w:ind w:left="1068" w:hanging="360"/>
      </w:pPr>
      <w:rPr>
        <w:rFonts w:hint="default"/>
        <w:b/>
        <w:bCs/>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44C746F4"/>
    <w:multiLevelType w:val="hybridMultilevel"/>
    <w:tmpl w:val="8ED4F7CC"/>
    <w:lvl w:ilvl="0" w:tplc="D550E19A">
      <w:start w:val="1"/>
      <w:numFmt w:val="decimal"/>
      <w:lvlText w:val="%1)"/>
      <w:lvlJc w:val="left"/>
      <w:pPr>
        <w:ind w:left="720" w:hanging="360"/>
      </w:pPr>
      <w:rPr>
        <w:rFonts w:hint="default"/>
        <w:b/>
        <w:bCs/>
      </w:rPr>
    </w:lvl>
    <w:lvl w:ilvl="1" w:tplc="BD5ADD2C">
      <w:numFmt w:val="bullet"/>
      <w:lvlText w:val="•"/>
      <w:lvlJc w:val="left"/>
      <w:pPr>
        <w:ind w:left="1640" w:hanging="560"/>
      </w:pPr>
      <w:rPr>
        <w:rFonts w:ascii="Times New Roman" w:eastAsia="Times New Roman" w:hAnsi="Times New Roman" w:cs="Times New Roman"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68526EB4"/>
    <w:multiLevelType w:val="hybridMultilevel"/>
    <w:tmpl w:val="AED832FA"/>
    <w:lvl w:ilvl="0" w:tplc="FFFFFFFF">
      <w:start w:val="1"/>
      <w:numFmt w:val="bullet"/>
      <w:lvlText w:val=""/>
      <w:lvlJc w:val="left"/>
      <w:pPr>
        <w:ind w:left="1287" w:hanging="360"/>
      </w:pPr>
      <w:rPr>
        <w:rFonts w:ascii="Symbol" w:hAnsi="Symbol" w:hint="default"/>
      </w:rPr>
    </w:lvl>
    <w:lvl w:ilvl="1" w:tplc="140A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6F346583"/>
    <w:multiLevelType w:val="hybridMultilevel"/>
    <w:tmpl w:val="BD7CEC04"/>
    <w:lvl w:ilvl="0" w:tplc="0644D0BC">
      <w:start w:val="1"/>
      <w:numFmt w:val="lowerLetter"/>
      <w:lvlText w:val="%1)"/>
      <w:lvlJc w:val="left"/>
      <w:pPr>
        <w:ind w:left="1272" w:hanging="564"/>
      </w:pPr>
      <w:rPr>
        <w:rFonts w:hint="default"/>
        <w:b w:val="0"/>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70A402D6"/>
    <w:multiLevelType w:val="hybridMultilevel"/>
    <w:tmpl w:val="28A246CA"/>
    <w:lvl w:ilvl="0" w:tplc="140A0013">
      <w:start w:val="1"/>
      <w:numFmt w:val="upperRoman"/>
      <w:lvlText w:val="%1."/>
      <w:lvlJc w:val="right"/>
      <w:pPr>
        <w:ind w:left="924" w:hanging="564"/>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DA922E9"/>
    <w:multiLevelType w:val="hybridMultilevel"/>
    <w:tmpl w:val="159EBD32"/>
    <w:lvl w:ilvl="0" w:tplc="140A0001">
      <w:start w:val="1"/>
      <w:numFmt w:val="bullet"/>
      <w:lvlText w:val=""/>
      <w:lvlJc w:val="left"/>
      <w:pPr>
        <w:ind w:left="1644" w:hanging="360"/>
      </w:pPr>
      <w:rPr>
        <w:rFonts w:ascii="Symbol" w:hAnsi="Symbol" w:hint="default"/>
      </w:rPr>
    </w:lvl>
    <w:lvl w:ilvl="1" w:tplc="FFFFFFFF">
      <w:start w:val="1"/>
      <w:numFmt w:val="bullet"/>
      <w:lvlText w:val="o"/>
      <w:lvlJc w:val="left"/>
      <w:pPr>
        <w:ind w:left="2364" w:hanging="360"/>
      </w:pPr>
      <w:rPr>
        <w:rFonts w:ascii="Courier New" w:hAnsi="Courier New" w:cs="Courier New" w:hint="default"/>
      </w:rPr>
    </w:lvl>
    <w:lvl w:ilvl="2" w:tplc="FFFFFFFF" w:tentative="1">
      <w:start w:val="1"/>
      <w:numFmt w:val="bullet"/>
      <w:lvlText w:val=""/>
      <w:lvlJc w:val="left"/>
      <w:pPr>
        <w:ind w:left="3084" w:hanging="360"/>
      </w:pPr>
      <w:rPr>
        <w:rFonts w:ascii="Wingdings" w:hAnsi="Wingdings" w:hint="default"/>
      </w:rPr>
    </w:lvl>
    <w:lvl w:ilvl="3" w:tplc="FFFFFFFF" w:tentative="1">
      <w:start w:val="1"/>
      <w:numFmt w:val="bullet"/>
      <w:lvlText w:val=""/>
      <w:lvlJc w:val="left"/>
      <w:pPr>
        <w:ind w:left="3804" w:hanging="360"/>
      </w:pPr>
      <w:rPr>
        <w:rFonts w:ascii="Symbol" w:hAnsi="Symbol" w:hint="default"/>
      </w:rPr>
    </w:lvl>
    <w:lvl w:ilvl="4" w:tplc="FFFFFFFF" w:tentative="1">
      <w:start w:val="1"/>
      <w:numFmt w:val="bullet"/>
      <w:lvlText w:val="o"/>
      <w:lvlJc w:val="left"/>
      <w:pPr>
        <w:ind w:left="4524" w:hanging="360"/>
      </w:pPr>
      <w:rPr>
        <w:rFonts w:ascii="Courier New" w:hAnsi="Courier New" w:cs="Courier New" w:hint="default"/>
      </w:rPr>
    </w:lvl>
    <w:lvl w:ilvl="5" w:tplc="FFFFFFFF" w:tentative="1">
      <w:start w:val="1"/>
      <w:numFmt w:val="bullet"/>
      <w:lvlText w:val=""/>
      <w:lvlJc w:val="left"/>
      <w:pPr>
        <w:ind w:left="5244" w:hanging="360"/>
      </w:pPr>
      <w:rPr>
        <w:rFonts w:ascii="Wingdings" w:hAnsi="Wingdings" w:hint="default"/>
      </w:rPr>
    </w:lvl>
    <w:lvl w:ilvl="6" w:tplc="FFFFFFFF" w:tentative="1">
      <w:start w:val="1"/>
      <w:numFmt w:val="bullet"/>
      <w:lvlText w:val=""/>
      <w:lvlJc w:val="left"/>
      <w:pPr>
        <w:ind w:left="5964" w:hanging="360"/>
      </w:pPr>
      <w:rPr>
        <w:rFonts w:ascii="Symbol" w:hAnsi="Symbol" w:hint="default"/>
      </w:rPr>
    </w:lvl>
    <w:lvl w:ilvl="7" w:tplc="FFFFFFFF" w:tentative="1">
      <w:start w:val="1"/>
      <w:numFmt w:val="bullet"/>
      <w:lvlText w:val="o"/>
      <w:lvlJc w:val="left"/>
      <w:pPr>
        <w:ind w:left="6684" w:hanging="360"/>
      </w:pPr>
      <w:rPr>
        <w:rFonts w:ascii="Courier New" w:hAnsi="Courier New" w:cs="Courier New" w:hint="default"/>
      </w:rPr>
    </w:lvl>
    <w:lvl w:ilvl="8" w:tplc="FFFFFFFF" w:tentative="1">
      <w:start w:val="1"/>
      <w:numFmt w:val="bullet"/>
      <w:lvlText w:val=""/>
      <w:lvlJc w:val="left"/>
      <w:pPr>
        <w:ind w:left="7404" w:hanging="360"/>
      </w:pPr>
      <w:rPr>
        <w:rFonts w:ascii="Wingdings" w:hAnsi="Wingdings" w:hint="default"/>
      </w:rPr>
    </w:lvl>
  </w:abstractNum>
  <w:num w:numId="1" w16cid:durableId="336004546">
    <w:abstractNumId w:val="2"/>
  </w:num>
  <w:num w:numId="2" w16cid:durableId="460611624">
    <w:abstractNumId w:val="4"/>
  </w:num>
  <w:num w:numId="3" w16cid:durableId="1851137892">
    <w:abstractNumId w:val="3"/>
  </w:num>
  <w:num w:numId="4" w16cid:durableId="1969823678">
    <w:abstractNumId w:val="5"/>
  </w:num>
  <w:num w:numId="5" w16cid:durableId="2108384332">
    <w:abstractNumId w:val="7"/>
  </w:num>
  <w:num w:numId="6" w16cid:durableId="1962110132">
    <w:abstractNumId w:val="0"/>
  </w:num>
  <w:num w:numId="7" w16cid:durableId="35278615">
    <w:abstractNumId w:val="8"/>
  </w:num>
  <w:num w:numId="8" w16cid:durableId="1793598614">
    <w:abstractNumId w:val="6"/>
  </w:num>
  <w:num w:numId="9" w16cid:durableId="132300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A2"/>
    <w:rsid w:val="000202E3"/>
    <w:rsid w:val="00032298"/>
    <w:rsid w:val="001061A2"/>
    <w:rsid w:val="00181ABF"/>
    <w:rsid w:val="0028253C"/>
    <w:rsid w:val="002B678C"/>
    <w:rsid w:val="003172BE"/>
    <w:rsid w:val="003E130B"/>
    <w:rsid w:val="00586616"/>
    <w:rsid w:val="00596C67"/>
    <w:rsid w:val="00691C02"/>
    <w:rsid w:val="00695EFE"/>
    <w:rsid w:val="00733839"/>
    <w:rsid w:val="0074765B"/>
    <w:rsid w:val="00937EF0"/>
    <w:rsid w:val="00957DBE"/>
    <w:rsid w:val="00BF5E88"/>
    <w:rsid w:val="00BF7ED1"/>
    <w:rsid w:val="00C318B4"/>
    <w:rsid w:val="00C32DC7"/>
    <w:rsid w:val="00CF3A11"/>
    <w:rsid w:val="00D24104"/>
    <w:rsid w:val="00D2422E"/>
    <w:rsid w:val="00D90222"/>
    <w:rsid w:val="00DA56B1"/>
    <w:rsid w:val="00DE5F57"/>
    <w:rsid w:val="00DF751E"/>
    <w:rsid w:val="00E005E1"/>
    <w:rsid w:val="00E42AAC"/>
    <w:rsid w:val="00FE18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2A3DB"/>
  <w15:chartTrackingRefBased/>
  <w15:docId w15:val="{ABA22F7E-B13E-4DDF-8A4C-762E2B43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32DC7"/>
    <w:rPr>
      <w:color w:val="0563C1" w:themeColor="hyperlink"/>
      <w:u w:val="single"/>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1061A2"/>
    <w:pPr>
      <w:spacing w:line="240" w:lineRule="auto"/>
      <w:ind w:left="720"/>
      <w:contextualSpacing/>
      <w:jc w:val="left"/>
    </w:pPr>
    <w:rPr>
      <w:rFonts w:ascii="Times New Roman" w:hAnsi="Times New Roman"/>
      <w:sz w:val="24"/>
      <w:lang w:eastAsia="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1061A2"/>
    <w:rPr>
      <w:rFonts w:ascii="Times New Roman" w:eastAsia="Times New Roman" w:hAnsi="Times New Roman" w:cs="Times New Roman"/>
      <w:sz w:val="24"/>
      <w:szCs w:val="24"/>
      <w:lang w:val="es-ES" w:eastAsia="es-ES"/>
    </w:rPr>
  </w:style>
  <w:style w:type="character" w:customStyle="1" w:styleId="ui-provider">
    <w:name w:val="ui-provider"/>
    <w:basedOn w:val="Fuentedeprrafopredeter"/>
    <w:rsid w:val="0010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sultas-saes-lcft@sugef.fi.cr"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gefdirecto.sugef.fi.cr/Sitio/Portal/Inicio" TargetMode="External"/><Relationship Id="rId17" Type="http://schemas.openxmlformats.org/officeDocument/2006/relationships/hyperlink" Target="https://nam12.safelinks.protection.outlook.com/?url=https%3A%2F%2Fbccr.webex.com%2Fweblink%2Fregister%2Fr35ce9e0ad46806e2271424763f15f66c&amp;data=05%7C02%7Ccorderoai%40sugef.fi.cr%7C2dab038923544c735b2708dc22996fd6%7C618d0a4525a646189f808f70a435ee52%7C0%7C0%7C638423289658059575%7CUnknown%7CTWFpbGZsb3d8eyJWIjoiMC4wLjAwMDAiLCJQIjoiV2luMzIiLCJBTiI6Ik1haWwiLCJXVCI6Mn0%3D%7C0%7C%7C%7C&amp;sdata=zHeGpFmGDazERpsGn%2BlU49aIC9WjFJ1KMZvDOXHbyjk%3D&amp;reserved=0" TargetMode="External"/><Relationship Id="rId2" Type="http://schemas.openxmlformats.org/officeDocument/2006/relationships/customXml" Target="../customXml/item2.xml"/><Relationship Id="rId16" Type="http://schemas.openxmlformats.org/officeDocument/2006/relationships/hyperlink" Target="https://nam12.safelinks.protection.outlook.com/?url=https%3A%2F%2Fbccr.webex.com%2Fweblink%2Fregister%2Frc2becd322c3e92a32bbdeb06b8077488&amp;data=05%7C02%7Ccorderoai%40sugef.fi.cr%7C2dab038923544c735b2708dc22996fd6%7C618d0a4525a646189f808f70a435ee52%7C0%7C0%7C638423289658045929%7CUnknown%7CTWFpbGZsb3d8eyJWIjoiMC4wLjAwMDAiLCJQIjoiV2luMzIiLCJBTiI6Ik1haWwiLCJXVCI6Mn0%3D%7C0%7C%7C%7C&amp;sdata=ARWl3oC8rkeKMNuAOZQE6axTC2y8%2F9kAAq1T%2BaXEuXc%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nam12.safelinks.protection.outlook.com/?url=https%3A%2F%2Fbccr.webex.com%2Fweblink%2Fregister%2Frad10076ff95e7cb996a6fe6a5f76400a&amp;data=05%7C02%7Ccorderoai%40sugef.fi.cr%7C2dab038923544c735b2708dc22996fd6%7C618d0a4525a646189f808f70a435ee52%7C0%7C0%7C638423289658030731%7CUnknown%7CTWFpbGZsb3d8eyJWIjoiMC4wLjAwMDAiLCJQIjoiV2luMzIiLCJBTiI6Ik1haWwiLCJXVCI6Mn0%3D%7C0%7C%7C%7C&amp;sdata=74uIkWWIYiIPx%2FY1%2BHN9xWpQb4dhz0rJNPgfodpxxx4%3D&amp;reserved=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sultas-saes-ti@sugef.fi.cr"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CumplimientoLey8204/BorradoresCumplimientoArt15y15bis/Forms/Correspondencia%20Externa%20SUGEF/plantilla-SGF-ACL-CAQ-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AE1EFFF624C8690B0FCB255BF33C5"/>
        <w:category>
          <w:name w:val="General"/>
          <w:gallery w:val="placeholder"/>
        </w:category>
        <w:types>
          <w:type w:val="bbPlcHdr"/>
        </w:types>
        <w:behaviors>
          <w:behavior w:val="content"/>
        </w:behaviors>
        <w:guid w:val="{0E565FD2-9C46-42AA-90ED-8F84CFBFB0AA}"/>
      </w:docPartPr>
      <w:docPartBody>
        <w:p w:rsidR="00902C80" w:rsidRDefault="00902C80">
          <w:pPr>
            <w:pStyle w:val="E88AE1EFFF624C8690B0FCB255BF33C5"/>
          </w:pPr>
          <w:r w:rsidRPr="001E0779">
            <w:rPr>
              <w:rStyle w:val="Textodelmarcadordeposicin"/>
            </w:rPr>
            <w:t>Haga clic aquí para escribir texto.</w:t>
          </w:r>
        </w:p>
      </w:docPartBody>
    </w:docPart>
    <w:docPart>
      <w:docPartPr>
        <w:name w:val="C593192AD0B74257B1D46B3071720691"/>
        <w:category>
          <w:name w:val="General"/>
          <w:gallery w:val="placeholder"/>
        </w:category>
        <w:types>
          <w:type w:val="bbPlcHdr"/>
        </w:types>
        <w:behaviors>
          <w:behavior w:val="content"/>
        </w:behaviors>
        <w:guid w:val="{59E02E29-14C0-4E2F-8344-ADF60F796DB5}"/>
      </w:docPartPr>
      <w:docPartBody>
        <w:p w:rsidR="00902C80" w:rsidRDefault="00902C80">
          <w:pPr>
            <w:pStyle w:val="C593192AD0B74257B1D46B307172069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80"/>
    <w:rsid w:val="00902C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88AE1EFFF624C8690B0FCB255BF33C5">
    <w:name w:val="E88AE1EFFF624C8690B0FCB255BF33C5"/>
  </w:style>
  <w:style w:type="paragraph" w:customStyle="1" w:styleId="C593192AD0B74257B1D46B3071720691">
    <w:name w:val="C593192AD0B74257B1D46B3071720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vYjmrcsVAZ0d6jDw/V0n+Y+d+ZCtJ9blgjUyAB3s5IU=</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U0NsCSnE90uUZcPJWY6hjR8cqxGiMNszdrqjjTaMVXw=</DigestValue>
    </Reference>
  </SignedInfo>
  <SignatureValue>gVzvLnooxpkBTy9k9mZC9hl3N63nMRRrwR5c2oH2Alk4xzGNtdtTJ1zH/kFm3Dpe4dmqbj04q3U6
0jjyMaMNkuVfC8CEtItdI3S1ypDW5Zuk+duDDQeMU8t8lxb9HF+3jr2zNuJGYM30iNxZOzYw4vN6
1qDBh2edR5YYuzZu8vS6ptZLS8sAkfVZZb/XR2Gek+9OMUaCU7L/sggomeQVr9PkInhcn0yEe9eU
9v8jNFP3n/iFjZZ9KZFxrdDDjeh5mJ/fvSRko2hFOmpfL1R4IrA1S+7CKI+/hmkpV1OOgkS45Ovv
QHkjMDyAwBbCdWiVapFkXqeUA8ncyVjcxoxR1A==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e28QC4aiYN5q+byrUl6H4MLBAyjwtFqqGcvgU/rm3s4=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J04cFTbnAisMSnGgC+T1Jm3v9po6E4NkXM8vNyHd9D8=</DigestValue>
      </Reference>
      <Reference URI="/word/document.xml?ContentType=application/vnd.openxmlformats-officedocument.wordprocessingml.document.main+xml">
        <DigestMethod Algorithm="http://www.w3.org/2001/04/xmlenc#sha256"/>
        <DigestValue>1GwxnuWGLZx6PQywzgi+C5GS6EFwZUssTn7AX3wHLSk=</DigestValue>
      </Reference>
      <Reference URI="/word/endnotes.xml?ContentType=application/vnd.openxmlformats-officedocument.wordprocessingml.endnotes+xml">
        <DigestMethod Algorithm="http://www.w3.org/2001/04/xmlenc#sha256"/>
        <DigestValue>Tz+QXhzLZPSJQGvLJH9EdfvVjqkznmMQx0H/UFomT7U=</DigestValue>
      </Reference>
      <Reference URI="/word/fontTable.xml?ContentType=application/vnd.openxmlformats-officedocument.wordprocessingml.fontTable+xml">
        <DigestMethod Algorithm="http://www.w3.org/2001/04/xmlenc#sha256"/>
        <DigestValue>ecHg6fhkcTCFvfmvoJj8eQUDDJgW44cNF41kf8gV7mo=</DigestValue>
      </Reference>
      <Reference URI="/word/footer1.xml?ContentType=application/vnd.openxmlformats-officedocument.wordprocessingml.footer+xml">
        <DigestMethod Algorithm="http://www.w3.org/2001/04/xmlenc#sha256"/>
        <DigestValue>/5acCmit0fd/jfmoDQxFw0NfLmdfWepewaRCp9Nmra8=</DigestValue>
      </Reference>
      <Reference URI="/word/footnotes.xml?ContentType=application/vnd.openxmlformats-officedocument.wordprocessingml.footnotes+xml">
        <DigestMethod Algorithm="http://www.w3.org/2001/04/xmlenc#sha256"/>
        <DigestValue>QBP3eobMYbJQr+ESgBT6kRvERWiYwNBcdXhel6YAePo=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UoYfmTdIJLAiFSwC9QMBULt0qi7evzER5mk9deswuVU=</DigestValue>
      </Reference>
      <Reference URI="/word/glossary/fontTable.xml?ContentType=application/vnd.openxmlformats-officedocument.wordprocessingml.fontTable+xml">
        <DigestMethod Algorithm="http://www.w3.org/2001/04/xmlenc#sha256"/>
        <DigestValue>ecHg6fhkcTCFvfmvoJj8eQUDDJgW44cNF41kf8gV7mo=</DigestValue>
      </Reference>
      <Reference URI="/word/glossary/settings.xml?ContentType=application/vnd.openxmlformats-officedocument.wordprocessingml.settings+xml">
        <DigestMethod Algorithm="http://www.w3.org/2001/04/xmlenc#sha256"/>
        <DigestValue>Xcf5vypbIN80ZF79mVdZBq3sCA5oYpSGn0S29l+PKqA=</DigestValue>
      </Reference>
      <Reference URI="/word/glossary/styles.xml?ContentType=application/vnd.openxmlformats-officedocument.wordprocessingml.styles+xml">
        <DigestMethod Algorithm="http://www.w3.org/2001/04/xmlenc#sha256"/>
        <DigestValue>qDyTcE30b5RsQbfn4dqcs+b1O8hl9R8x1VGsu8WQQ9E=</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369ZFLB5XMw4T+iYk+uQXlF6WqVShfKjRnX/Spp7a10=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C/mPf1JZu4+6krnLfjn7nW2OgDw7QEfDATmQ6V//SBw=</DigestValue>
      </Reference>
      <Reference URI="/word/settings.xml?ContentType=application/vnd.openxmlformats-officedocument.wordprocessingml.settings+xml">
        <DigestMethod Algorithm="http://www.w3.org/2001/04/xmlenc#sha256"/>
        <DigestValue>GS21QlBsnDB/e1oTAn4zWluPbIboQpM6BoH4C5nAHgc=</DigestValue>
      </Reference>
      <Reference URI="/word/styles.xml?ContentType=application/vnd.openxmlformats-officedocument.wordprocessingml.styles+xml">
        <DigestMethod Algorithm="http://www.w3.org/2001/04/xmlenc#sha256"/>
        <DigestValue>yVIG8W3aqwfZejKoKh2aZDVb+mPy5QHOJn62g1vmnsA=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2024-02-06T16:44:51Z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2024-02-06T16:44:51Z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tUJsGMDUno++T782l5MOce+PALFzK9Z10u1cP2sX0wCBBjTEloYDzIwMjQwMjA2MTY0ND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yFNM/bvVALrGQfmqlVoK1zvxGjI=</xd:ByKey>
                  </xd:ResponderID>
                  <xd:ProducedAt>2024-02-05T19:27:25Z</xd:ProducedAt>
                </xd:OCSPIdentifier>
                <xd:DigestAlgAndValue>
                  <DigestMethod Algorithm="http://www.w3.org/2001/04/xmlenc#sha256"/>
                  <DigestValue>Y8Huw3r4a3zRtjJXnBy90lHokV9X1nemkhPUX1zxBDQ=</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aXCWGxmSgzD3paEGlBej4XpWufHBCEugKk93NoaxGgACBBjTEl0YDzIwMjQwMjA2MTY0ND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128</Value>
      <Value>161</Value>
      <Value>518</Value>
      <Value>971</Value>
      <Value>1</Value>
    </TaxCatchAll>
    <OtraEntidadExterna xmlns="b875e23b-67d9-4b2e-bdec-edacbf90b326" xsi:nil="true"/>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i:0#.w|pdc-atlantida\cotoar</DisplayName>
        <AccountId>291</AccountId>
        <AccountType/>
      </UserInfo>
      <UserInfo>
        <DisplayName>i:0#.w|pdc-atlantida\sanchocc</DisplayName>
        <AccountId>1728</AccountId>
        <AccountType/>
      </UserInfo>
      <UserInfo>
        <DisplayName>i:0#.w|pdc-atlantida\arriolaca</DisplayName>
        <AccountId>1825</AccountId>
        <AccountType/>
      </UserInfo>
      <UserInfo>
        <DisplayName>i:0#.w|pdc-atlantida\lopezsm</DisplayName>
        <AccountId>1743</AccountId>
        <AccountType/>
      </UserInfo>
      <UserInfo>
        <DisplayName>i:0#.w|pdc-atlantida\amadormg</DisplayName>
        <AccountId>415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 Art.15</TermName>
          <TermId xmlns="http://schemas.microsoft.com/office/infopath/2007/PartnerControls">ae44c17f-bf96-41bf-861a-542f8e169cb3</TermId>
        </TermInfo>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2024-02-05T06:00:00+00:00</FechaDocumento>
    <RemitenteOriginal xmlns="b875e23b-67d9-4b2e-bdec-edacbf90b326">Cumplimiento Art 15 y 15 bis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Resolución Implementación del Sistema de Auditorías Externas (SAES)</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6D2E6C73-1D4A-465F-9814-7E77E431F32D}"/>
</file>

<file path=customXml/itemProps2.xml><?xml version="1.0" encoding="utf-8"?>
<ds:datastoreItem xmlns:ds="http://schemas.openxmlformats.org/officeDocument/2006/customXml" ds:itemID="{1E4DC7D0-E173-4BB4-893E-D9FDCA81FEE2}"/>
</file>

<file path=customXml/itemProps3.xml><?xml version="1.0" encoding="utf-8"?>
<ds:datastoreItem xmlns:ds="http://schemas.openxmlformats.org/officeDocument/2006/customXml" ds:itemID="{1FBDAF13-60D9-4BC7-A0F0-9DC26C627D16}"/>
</file>

<file path=customXml/itemProps4.xml><?xml version="1.0" encoding="utf-8"?>
<ds:datastoreItem xmlns:ds="http://schemas.openxmlformats.org/officeDocument/2006/customXml" ds:itemID="{DE8BF388-A9C7-435E-9A15-AE7E4809C403}"/>
</file>

<file path=customXml/itemProps5.xml><?xml version="1.0" encoding="utf-8"?>
<ds:datastoreItem xmlns:ds="http://schemas.openxmlformats.org/officeDocument/2006/customXml" ds:itemID="{4054B246-54A6-4918-8E84-D33BB631FF74}"/>
</file>

<file path=customXml/itemProps6.xml><?xml version="1.0" encoding="utf-8"?>
<ds:datastoreItem xmlns:ds="http://schemas.openxmlformats.org/officeDocument/2006/customXml" ds:itemID="{E8FB15B9-06EE-430C-A3CD-D5E082ED41BE}"/>
</file>

<file path=docProps/app.xml><?xml version="1.0" encoding="utf-8"?>
<Properties xmlns="http://schemas.openxmlformats.org/officeDocument/2006/extended-properties" xmlns:vt="http://schemas.openxmlformats.org/officeDocument/2006/docPropsVTypes">
  <Template>plantilla-SGF-ACL-CAQ-22</Template>
  <TotalTime>35</TotalTime>
  <Pages>5</Pages>
  <Words>1899</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COTO ALFARO RAFAEL</cp:lastModifiedBy>
  <cp:revision>14</cp:revision>
  <dcterms:created xsi:type="dcterms:W3CDTF">2024-02-05T14:48:00Z</dcterms:created>
  <dcterms:modified xsi:type="dcterms:W3CDTF">2024-02-05T17:40:00Z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183;#Resolución|8250c29f-4595-4728-bcc1-a5fc6a20ed53</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971;#Entidades SUGEF- Art.15|ae44c17f-bf96-41bf-861a-542f8e169cb3;#518;#Entidades SUGEF|4209f3ba-07f9-4301-975b-c509947c465b</vt:lpwstr>
  </property>
  <property fmtid="{D5CDD505-2E9C-101B-9397-08002B2CF9AE}" pid="11" name="MSIP_Label_b8b4be34-365a-4a68-b9fb-75c1b6874315_Enabled">
    <vt:lpwstr>true</vt:lpwstr>
  </property>
  <property fmtid="{D5CDD505-2E9C-101B-9397-08002B2CF9AE}" pid="12" name="MSIP_Label_b8b4be34-365a-4a68-b9fb-75c1b6874315_SetDate">
    <vt:lpwstr>2024-02-05T17:40:32Z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516c723c-11d4-4db2-9640-ade963a95f80</vt:lpwstr>
  </property>
  <property fmtid="{D5CDD505-2E9C-101B-9397-08002B2CF9AE}" pid="17" name="MSIP_Label_b8b4be34-365a-4a68-b9fb-75c1b6874315_ContentBits">
    <vt:lpwstr>2</vt:lpwstr>
  </property>
  <property fmtid="{D5CDD505-2E9C-101B-9397-08002B2CF9AE}" pid="19" name="Order">
    <vt:r8>189600</vt:r8>
  </property>
  <property fmtid="{D5CDD505-2E9C-101B-9397-08002B2CF9AE}" pid="21" name="lb0b7da792b243d9bfa96ad7487ad734">
    <vt:lpwstr/>
  </property>
  <property fmtid="{D5CDD505-2E9C-101B-9397-08002B2CF9AE}" pid="22" name="_dlc_policyId">
    <vt:lpwstr>0x010100E97154E09FCE6A4E8EAEBD5C54DD1AE4|-1695030217</vt:lpwstr>
  </property>
  <property fmtid="{D5CDD505-2E9C-101B-9397-08002B2CF9AE}" pid="2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4" name="WorkflowChangePath">
    <vt:lpwstr>f1fd9d7f-da86-405a-9476-87cbb240632e,4;36e1af0c-2eec-499f-b304-a394df1aa266,6;</vt:lpwstr>
  </property>
</Properties>
</file>