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44214" w14:textId="37B20135" w:rsidR="004D71ED" w:rsidRPr="00CE2CF5" w:rsidRDefault="004D71ED" w:rsidP="004D71ED">
      <w:pPr>
        <w:pStyle w:val="Texto0"/>
        <w:spacing w:before="0" w:after="0" w:line="240" w:lineRule="auto"/>
        <w:rPr>
          <w:rFonts w:asciiTheme="majorHAnsi" w:hAnsiTheme="majorHAnsi"/>
          <w:b/>
          <w:sz w:val="24"/>
        </w:rPr>
      </w:pPr>
      <w:r w:rsidRPr="00CE2CF5">
        <w:rPr>
          <w:rFonts w:asciiTheme="majorHAnsi" w:hAnsiTheme="majorHAnsi"/>
          <w:b/>
          <w:sz w:val="24"/>
        </w:rPr>
        <w:t>SGF-</w:t>
      </w:r>
      <w:r w:rsidR="00CE2CF5">
        <w:rPr>
          <w:rFonts w:asciiTheme="majorHAnsi" w:hAnsiTheme="majorHAnsi"/>
          <w:b/>
          <w:sz w:val="24"/>
        </w:rPr>
        <w:t>3374-2015</w:t>
      </w:r>
    </w:p>
    <w:p w14:paraId="3037F32D" w14:textId="57327B48" w:rsidR="003554C5" w:rsidRPr="004D71ED" w:rsidRDefault="00320E1C" w:rsidP="00D26EDE">
      <w:pPr>
        <w:pStyle w:val="Texto0"/>
        <w:spacing w:before="0" w:after="0" w:line="240" w:lineRule="auto"/>
        <w:rPr>
          <w:rFonts w:asciiTheme="majorHAnsi" w:hAnsiTheme="majorHAnsi"/>
          <w:sz w:val="24"/>
        </w:rPr>
      </w:pPr>
      <w:r>
        <w:rPr>
          <w:rFonts w:asciiTheme="majorHAnsi" w:hAnsiTheme="majorHAnsi"/>
          <w:sz w:val="24"/>
        </w:rPr>
        <w:t>17 de dic</w:t>
      </w:r>
      <w:r w:rsidR="004D71ED" w:rsidRPr="004D71ED">
        <w:rPr>
          <w:rFonts w:asciiTheme="majorHAnsi" w:hAnsiTheme="majorHAnsi"/>
          <w:sz w:val="24"/>
        </w:rPr>
        <w:t>iembre de 2015</w:t>
      </w:r>
    </w:p>
    <w:p w14:paraId="6D78CD34" w14:textId="77777777" w:rsidR="003554C5" w:rsidRPr="004D71ED" w:rsidRDefault="008F1461" w:rsidP="00D26EDE">
      <w:pPr>
        <w:tabs>
          <w:tab w:val="left" w:pos="2843"/>
        </w:tabs>
        <w:spacing w:line="240" w:lineRule="auto"/>
        <w:rPr>
          <w:rFonts w:asciiTheme="majorHAnsi" w:hAnsiTheme="majorHAnsi"/>
          <w:sz w:val="24"/>
        </w:rPr>
      </w:pPr>
      <w:r w:rsidRPr="004D71ED">
        <w:rPr>
          <w:rFonts w:asciiTheme="majorHAnsi" w:hAnsiTheme="majorHAnsi"/>
          <w:sz w:val="24"/>
        </w:rPr>
        <w:tab/>
      </w:r>
    </w:p>
    <w:p w14:paraId="4E652526" w14:textId="77777777" w:rsidR="004D71ED" w:rsidRPr="004D71ED" w:rsidRDefault="004D71ED" w:rsidP="004D71ED">
      <w:pPr>
        <w:contextualSpacing/>
        <w:jc w:val="center"/>
        <w:rPr>
          <w:rFonts w:asciiTheme="majorHAnsi" w:hAnsiTheme="majorHAnsi"/>
          <w:b/>
          <w:sz w:val="24"/>
        </w:rPr>
      </w:pPr>
      <w:r w:rsidRPr="004D71ED">
        <w:rPr>
          <w:rFonts w:asciiTheme="majorHAnsi" w:hAnsiTheme="majorHAnsi"/>
          <w:b/>
          <w:sz w:val="24"/>
        </w:rPr>
        <w:t>CIRCULAR EXTERNA</w:t>
      </w:r>
    </w:p>
    <w:p w14:paraId="194EF3F4" w14:textId="77777777" w:rsidR="004D71ED" w:rsidRPr="004D71ED" w:rsidRDefault="004D71ED" w:rsidP="004D71ED">
      <w:pPr>
        <w:contextualSpacing/>
        <w:jc w:val="center"/>
        <w:rPr>
          <w:rFonts w:asciiTheme="majorHAnsi" w:hAnsiTheme="majorHAnsi"/>
          <w:b/>
          <w:sz w:val="24"/>
        </w:rPr>
      </w:pPr>
    </w:p>
    <w:p w14:paraId="04F1A69E" w14:textId="77777777" w:rsidR="004D71ED" w:rsidRPr="004D71ED" w:rsidRDefault="004D71ED" w:rsidP="004D71ED">
      <w:pPr>
        <w:contextualSpacing/>
        <w:jc w:val="center"/>
        <w:rPr>
          <w:rFonts w:asciiTheme="majorHAnsi" w:hAnsiTheme="majorHAnsi"/>
          <w:b/>
          <w:sz w:val="24"/>
        </w:rPr>
      </w:pPr>
      <w:r w:rsidRPr="004D71ED">
        <w:rPr>
          <w:rFonts w:asciiTheme="majorHAnsi" w:hAnsiTheme="majorHAnsi"/>
          <w:b/>
          <w:sz w:val="24"/>
        </w:rPr>
        <w:t>AL SISTEMA BANCARIO NACIONAL</w:t>
      </w:r>
    </w:p>
    <w:p w14:paraId="4591C01C" w14:textId="77777777" w:rsidR="004D71ED" w:rsidRPr="004D71ED" w:rsidRDefault="004D71ED" w:rsidP="004D71ED">
      <w:pPr>
        <w:contextualSpacing/>
        <w:jc w:val="center"/>
        <w:rPr>
          <w:rFonts w:asciiTheme="majorHAnsi" w:hAnsiTheme="majorHAnsi"/>
          <w:sz w:val="24"/>
        </w:rPr>
      </w:pPr>
    </w:p>
    <w:p w14:paraId="0383BB4E" w14:textId="77777777" w:rsidR="004D71ED" w:rsidRPr="004D71ED" w:rsidRDefault="004D71ED" w:rsidP="004D71ED">
      <w:pPr>
        <w:contextualSpacing/>
        <w:rPr>
          <w:rFonts w:asciiTheme="majorHAnsi" w:hAnsiTheme="majorHAnsi"/>
          <w:sz w:val="24"/>
        </w:rPr>
      </w:pPr>
    </w:p>
    <w:p w14:paraId="146EF166" w14:textId="77777777" w:rsidR="00320E1C" w:rsidRPr="00320E1C" w:rsidRDefault="00320E1C" w:rsidP="00320E1C">
      <w:pPr>
        <w:contextualSpacing/>
        <w:rPr>
          <w:rFonts w:asciiTheme="majorHAnsi" w:hAnsiTheme="majorHAnsi"/>
          <w:szCs w:val="22"/>
        </w:rPr>
      </w:pPr>
      <w:r w:rsidRPr="00320E1C">
        <w:rPr>
          <w:rFonts w:asciiTheme="majorHAnsi" w:hAnsiTheme="majorHAnsi"/>
          <w:szCs w:val="22"/>
        </w:rPr>
        <w:t>El Superintendente General de Entidades Financieras,</w:t>
      </w:r>
    </w:p>
    <w:p w14:paraId="7F2FA0FB" w14:textId="77777777" w:rsidR="00320E1C" w:rsidRPr="00320E1C" w:rsidRDefault="00320E1C" w:rsidP="00320E1C">
      <w:pPr>
        <w:rPr>
          <w:rFonts w:asciiTheme="majorHAnsi" w:hAnsiTheme="majorHAnsi"/>
          <w:szCs w:val="22"/>
        </w:rPr>
      </w:pPr>
    </w:p>
    <w:p w14:paraId="613FAF99" w14:textId="77777777" w:rsidR="00320E1C" w:rsidRPr="00320E1C" w:rsidRDefault="00320E1C" w:rsidP="00320E1C">
      <w:pPr>
        <w:contextualSpacing/>
        <w:rPr>
          <w:rFonts w:asciiTheme="majorHAnsi" w:hAnsiTheme="majorHAnsi"/>
          <w:b/>
          <w:szCs w:val="22"/>
        </w:rPr>
      </w:pPr>
      <w:r w:rsidRPr="00320E1C">
        <w:rPr>
          <w:rFonts w:asciiTheme="majorHAnsi" w:hAnsiTheme="majorHAnsi"/>
          <w:b/>
          <w:szCs w:val="22"/>
        </w:rPr>
        <w:t>Considerando que:</w:t>
      </w:r>
    </w:p>
    <w:p w14:paraId="63406881" w14:textId="77777777" w:rsidR="00320E1C" w:rsidRPr="00320E1C" w:rsidRDefault="00320E1C" w:rsidP="00320E1C">
      <w:pPr>
        <w:contextualSpacing/>
        <w:rPr>
          <w:rFonts w:asciiTheme="majorHAnsi" w:hAnsiTheme="majorHAnsi"/>
          <w:b/>
          <w:szCs w:val="22"/>
        </w:rPr>
      </w:pPr>
    </w:p>
    <w:p w14:paraId="099B9945" w14:textId="77777777" w:rsidR="00D87264" w:rsidRPr="00D87264" w:rsidRDefault="00D87264" w:rsidP="00D87264">
      <w:pPr>
        <w:pStyle w:val="Prrafodelista"/>
        <w:widowControl w:val="0"/>
        <w:numPr>
          <w:ilvl w:val="0"/>
          <w:numId w:val="13"/>
        </w:numPr>
        <w:spacing w:line="261" w:lineRule="auto"/>
        <w:ind w:right="170"/>
        <w:contextualSpacing w:val="0"/>
        <w:jc w:val="both"/>
        <w:rPr>
          <w:rFonts w:asciiTheme="majorHAnsi" w:eastAsia="Calibri" w:hAnsiTheme="majorHAnsi"/>
          <w:color w:val="181818"/>
          <w:sz w:val="22"/>
          <w:szCs w:val="22"/>
          <w:lang w:val="es-CR" w:eastAsia="en-US"/>
        </w:rPr>
      </w:pPr>
      <w:r w:rsidRPr="00D87264">
        <w:rPr>
          <w:rFonts w:asciiTheme="majorHAnsi" w:eastAsia="Calibri" w:hAnsiTheme="majorHAnsi"/>
          <w:color w:val="181818"/>
          <w:sz w:val="22"/>
          <w:szCs w:val="22"/>
          <w:lang w:val="es-CR" w:eastAsia="en-US"/>
        </w:rPr>
        <w:t>Mediante artículos 8 y 12 de las  Actas  de  las  Sesiones  639-2007  y  640-2007,  respectivamente, celebrada el 9 de abril del 2007 el Consejo Nacional de  Supervisión  del Sistema Financiero aprobó el Plan de Cuentas para Entidades, Grupos y Conglomerados Financieros  Homologado, el cual  entró a regir  a partir  del 1 de enero de 2008.</w:t>
      </w:r>
    </w:p>
    <w:p w14:paraId="31539833" w14:textId="77777777" w:rsidR="00D87264" w:rsidRPr="00D87264" w:rsidRDefault="00D87264" w:rsidP="00D87264">
      <w:pPr>
        <w:pStyle w:val="Prrafodelista"/>
        <w:spacing w:line="261" w:lineRule="auto"/>
        <w:ind w:left="860" w:right="170"/>
        <w:jc w:val="both"/>
        <w:rPr>
          <w:rFonts w:asciiTheme="majorHAnsi" w:eastAsia="Calibri" w:hAnsiTheme="majorHAnsi"/>
          <w:color w:val="181818"/>
          <w:sz w:val="22"/>
          <w:szCs w:val="22"/>
          <w:lang w:val="es-CR" w:eastAsia="en-US"/>
        </w:rPr>
      </w:pPr>
    </w:p>
    <w:p w14:paraId="42BCB6F9" w14:textId="77777777" w:rsidR="00D87264" w:rsidRDefault="00D87264" w:rsidP="00D87264">
      <w:pPr>
        <w:pStyle w:val="Prrafodelista"/>
        <w:widowControl w:val="0"/>
        <w:numPr>
          <w:ilvl w:val="0"/>
          <w:numId w:val="13"/>
        </w:numPr>
        <w:spacing w:line="261" w:lineRule="auto"/>
        <w:ind w:right="170"/>
        <w:contextualSpacing w:val="0"/>
        <w:jc w:val="both"/>
        <w:rPr>
          <w:rFonts w:asciiTheme="majorHAnsi" w:eastAsia="Calibri" w:hAnsiTheme="majorHAnsi"/>
          <w:color w:val="181818"/>
          <w:sz w:val="22"/>
          <w:szCs w:val="22"/>
          <w:lang w:val="es-CR" w:eastAsia="en-US"/>
        </w:rPr>
      </w:pPr>
      <w:r w:rsidRPr="00D87264">
        <w:rPr>
          <w:rFonts w:asciiTheme="majorHAnsi" w:eastAsia="Calibri" w:hAnsiTheme="majorHAnsi"/>
          <w:color w:val="181818"/>
          <w:sz w:val="22"/>
          <w:szCs w:val="22"/>
          <w:lang w:val="es-CR" w:eastAsia="en-US"/>
        </w:rPr>
        <w:t>En virtud de lo anterior, debe modificarse lo indicado en la Circular Externa SUGEF 014-2006 del 14 de junio del 2006.</w:t>
      </w:r>
    </w:p>
    <w:p w14:paraId="7355436A" w14:textId="77777777" w:rsidR="00D87264" w:rsidRPr="00D87264" w:rsidRDefault="00D87264" w:rsidP="00D87264">
      <w:pPr>
        <w:pStyle w:val="Prrafodelista"/>
        <w:jc w:val="both"/>
        <w:rPr>
          <w:rFonts w:asciiTheme="majorHAnsi" w:eastAsia="Calibri" w:hAnsiTheme="majorHAnsi"/>
          <w:color w:val="181818"/>
          <w:sz w:val="22"/>
          <w:szCs w:val="22"/>
          <w:lang w:val="es-CR" w:eastAsia="en-US"/>
        </w:rPr>
      </w:pPr>
    </w:p>
    <w:p w14:paraId="38F61A98" w14:textId="5CC45748" w:rsidR="00320E1C" w:rsidRPr="00D87264" w:rsidRDefault="00320E1C" w:rsidP="00D87264">
      <w:pPr>
        <w:pStyle w:val="Prrafodelista"/>
        <w:widowControl w:val="0"/>
        <w:numPr>
          <w:ilvl w:val="0"/>
          <w:numId w:val="13"/>
        </w:numPr>
        <w:spacing w:line="261" w:lineRule="auto"/>
        <w:ind w:right="170"/>
        <w:contextualSpacing w:val="0"/>
        <w:jc w:val="both"/>
        <w:rPr>
          <w:rFonts w:asciiTheme="majorHAnsi" w:eastAsia="Calibri" w:hAnsiTheme="majorHAnsi"/>
          <w:color w:val="181818"/>
          <w:sz w:val="22"/>
          <w:szCs w:val="22"/>
          <w:lang w:val="es-CR" w:eastAsia="en-US"/>
        </w:rPr>
      </w:pPr>
      <w:r w:rsidRPr="00D87264">
        <w:rPr>
          <w:rFonts w:asciiTheme="majorHAnsi" w:eastAsia="Calibri" w:hAnsiTheme="majorHAnsi"/>
          <w:color w:val="181818"/>
          <w:sz w:val="22"/>
          <w:szCs w:val="22"/>
          <w:lang w:val="es-CR" w:eastAsia="en-US"/>
        </w:rPr>
        <w:t>El artículo 10 de la “</w:t>
      </w:r>
      <w:r w:rsidRPr="00D87264">
        <w:rPr>
          <w:rFonts w:asciiTheme="majorHAnsi" w:eastAsia="Calibri" w:hAnsiTheme="majorHAnsi"/>
          <w:i/>
          <w:color w:val="181818"/>
          <w:sz w:val="22"/>
          <w:szCs w:val="22"/>
          <w:lang w:val="es-CR" w:eastAsia="en-US"/>
        </w:rPr>
        <w:t>Ley Orgánica del Sistema Bancario Nacional</w:t>
      </w:r>
      <w:r w:rsidRPr="00D87264">
        <w:rPr>
          <w:rFonts w:asciiTheme="majorHAnsi" w:eastAsia="Calibri" w:hAnsiTheme="majorHAnsi"/>
          <w:color w:val="181818"/>
          <w:sz w:val="22"/>
          <w:szCs w:val="22"/>
          <w:lang w:val="es-CR" w:eastAsia="en-US"/>
        </w:rPr>
        <w:t>”, Ley N° 1644, dispone que el Superintendente General de Entidades Financieras debe autorizar las sumas correspondientes para la formación de reservas para amortizaciones de edificios y mobiliario, depreciaciones, castigos de colocaciones e inversiones, provisiones para prestaciones legales y fluctuaciones de cambio, y de cualesquiera otros fines similares.</w:t>
      </w:r>
    </w:p>
    <w:p w14:paraId="74CBF38F" w14:textId="77777777" w:rsidR="00D87264" w:rsidRPr="00D87264" w:rsidRDefault="00D87264" w:rsidP="00D87264">
      <w:pPr>
        <w:pStyle w:val="Prrafodelista"/>
        <w:jc w:val="both"/>
        <w:rPr>
          <w:rFonts w:asciiTheme="majorHAnsi" w:eastAsia="Calibri" w:hAnsiTheme="majorHAnsi"/>
          <w:color w:val="181818"/>
          <w:sz w:val="22"/>
          <w:szCs w:val="22"/>
          <w:lang w:val="es-CR" w:eastAsia="en-US"/>
        </w:rPr>
      </w:pPr>
    </w:p>
    <w:p w14:paraId="78941A2A" w14:textId="77777777" w:rsidR="00D87264" w:rsidRPr="00D87264" w:rsidRDefault="00D87264" w:rsidP="00D87264">
      <w:pPr>
        <w:pStyle w:val="Prrafodelista"/>
        <w:numPr>
          <w:ilvl w:val="0"/>
          <w:numId w:val="13"/>
        </w:numPr>
        <w:jc w:val="both"/>
        <w:rPr>
          <w:rFonts w:asciiTheme="majorHAnsi" w:eastAsia="Calibri" w:hAnsiTheme="majorHAnsi"/>
          <w:color w:val="181818"/>
          <w:sz w:val="22"/>
          <w:szCs w:val="22"/>
          <w:lang w:val="es-CR" w:eastAsia="en-US"/>
        </w:rPr>
      </w:pPr>
      <w:r w:rsidRPr="00D87264">
        <w:rPr>
          <w:rFonts w:asciiTheme="majorHAnsi" w:eastAsia="Calibri" w:hAnsiTheme="majorHAnsi"/>
          <w:color w:val="181818"/>
          <w:sz w:val="22"/>
          <w:szCs w:val="22"/>
          <w:lang w:val="es-CR" w:eastAsia="en-US"/>
        </w:rPr>
        <w:t>Es necesario establecer pautas uniformes para la presentación de las solicitudes de  autorización que remiten las entidades bancarias en  cumplimiento de  lo establecido  en  el citado artículo 10.</w:t>
      </w:r>
    </w:p>
    <w:p w14:paraId="64BCAD33" w14:textId="77777777" w:rsidR="00D87264" w:rsidRPr="00D87264" w:rsidRDefault="00D87264" w:rsidP="00D87264">
      <w:pPr>
        <w:rPr>
          <w:rFonts w:asciiTheme="majorHAnsi" w:eastAsia="Calibri" w:hAnsiTheme="majorHAnsi"/>
          <w:color w:val="181818"/>
          <w:szCs w:val="22"/>
          <w:lang w:val="es-CR"/>
        </w:rPr>
      </w:pPr>
    </w:p>
    <w:p w14:paraId="354D65C1" w14:textId="77777777" w:rsidR="00D87264" w:rsidRPr="00D87264" w:rsidRDefault="00D87264" w:rsidP="00D87264">
      <w:pPr>
        <w:pStyle w:val="Prrafodelista"/>
        <w:numPr>
          <w:ilvl w:val="0"/>
          <w:numId w:val="13"/>
        </w:numPr>
        <w:jc w:val="both"/>
        <w:rPr>
          <w:rFonts w:asciiTheme="majorHAnsi" w:eastAsia="Calibri" w:hAnsiTheme="majorHAnsi"/>
          <w:color w:val="181818"/>
          <w:sz w:val="22"/>
          <w:szCs w:val="22"/>
          <w:lang w:val="es-CR" w:eastAsia="en-US"/>
        </w:rPr>
      </w:pPr>
      <w:r w:rsidRPr="00D87264">
        <w:rPr>
          <w:rFonts w:asciiTheme="majorHAnsi" w:eastAsia="Calibri" w:hAnsiTheme="majorHAnsi"/>
          <w:color w:val="181818"/>
          <w:sz w:val="22"/>
          <w:szCs w:val="22"/>
          <w:lang w:val="es-CR" w:eastAsia="en-US"/>
        </w:rPr>
        <w:t xml:space="preserve">El inciso f) del Artículo 131 de la Ley Orgánica del Banco Central de Costa Rica, Ley Nº 7558, dispone   como   una   de   las   funciones del Superintendente   General   de   Entidades Financieras "ordenar que se ajuste o corrija el valor contabilizado de los activos, los  pasivos, el patrimonio y las demás cuentas extra balance de las entidades fiscalizadas, así como cualquier otro registro contable o procedimiento de conformidad con las leyes y las normas y procedimientos  dictados por  la Superintendencia o el Consejo". </w:t>
      </w:r>
    </w:p>
    <w:p w14:paraId="754569FD" w14:textId="77777777" w:rsidR="00D87264" w:rsidRPr="00D87264" w:rsidRDefault="00D87264" w:rsidP="00D87264">
      <w:pPr>
        <w:rPr>
          <w:rFonts w:asciiTheme="majorHAnsi" w:eastAsia="Calibri" w:hAnsiTheme="majorHAnsi"/>
          <w:color w:val="181818"/>
          <w:szCs w:val="22"/>
          <w:lang w:val="es-CR"/>
        </w:rPr>
      </w:pPr>
    </w:p>
    <w:p w14:paraId="02FFF6B1" w14:textId="77777777" w:rsidR="00D87264" w:rsidRPr="00D87264" w:rsidRDefault="00D87264" w:rsidP="00D87264">
      <w:pPr>
        <w:pStyle w:val="Prrafodelista"/>
        <w:numPr>
          <w:ilvl w:val="0"/>
          <w:numId w:val="13"/>
        </w:numPr>
        <w:jc w:val="both"/>
        <w:rPr>
          <w:rFonts w:asciiTheme="majorHAnsi" w:eastAsia="Calibri" w:hAnsiTheme="majorHAnsi"/>
          <w:color w:val="181818"/>
          <w:sz w:val="22"/>
          <w:szCs w:val="22"/>
          <w:lang w:val="es-CR" w:eastAsia="en-US"/>
        </w:rPr>
      </w:pPr>
      <w:r w:rsidRPr="00D87264">
        <w:rPr>
          <w:rFonts w:asciiTheme="majorHAnsi" w:eastAsia="Calibri" w:hAnsiTheme="majorHAnsi"/>
          <w:color w:val="181818"/>
          <w:sz w:val="22"/>
          <w:szCs w:val="22"/>
          <w:lang w:val="es-CR" w:eastAsia="en-US"/>
        </w:rPr>
        <w:t xml:space="preserve">El artículo 129 de la Ley Orgánica del Banco Central de Costa Rica,  Ley Nº 7558, establece que "Los criterios que establezca la Superintendencia en cuanto al  registro contable  de  las  operaciones  de  las  entidades fiscalizadas, la confección y presentación de sus estados financieros, sus manuales de cuentas,   la valuación de sus activos </w:t>
      </w:r>
      <w:r w:rsidRPr="00D87264">
        <w:rPr>
          <w:rFonts w:asciiTheme="majorHAnsi" w:eastAsia="Calibri" w:hAnsiTheme="majorHAnsi"/>
          <w:color w:val="181818"/>
          <w:sz w:val="22"/>
          <w:szCs w:val="22"/>
          <w:lang w:val="es-CR" w:eastAsia="en-US"/>
        </w:rPr>
        <w:lastRenderedPageBreak/>
        <w:t>financieros y la clasificación y calificación de sus activos, deberán ser aceptados para efectos tributarios".</w:t>
      </w:r>
    </w:p>
    <w:p w14:paraId="5EE8C03E" w14:textId="77777777" w:rsidR="00D87264" w:rsidRPr="00462C92" w:rsidRDefault="00D87264" w:rsidP="00462C92">
      <w:pPr>
        <w:rPr>
          <w:rFonts w:asciiTheme="majorHAnsi" w:eastAsia="Calibri" w:hAnsiTheme="majorHAnsi"/>
          <w:color w:val="181818"/>
          <w:szCs w:val="22"/>
          <w:lang w:val="es-CR"/>
        </w:rPr>
      </w:pPr>
    </w:p>
    <w:p w14:paraId="71354B61" w14:textId="77777777" w:rsidR="00D87264" w:rsidRDefault="00320E1C" w:rsidP="00D87264">
      <w:pPr>
        <w:pStyle w:val="Prrafodelista"/>
        <w:numPr>
          <w:ilvl w:val="0"/>
          <w:numId w:val="13"/>
        </w:numPr>
        <w:jc w:val="both"/>
        <w:rPr>
          <w:rFonts w:asciiTheme="majorHAnsi" w:eastAsia="Calibri" w:hAnsiTheme="majorHAnsi"/>
          <w:color w:val="181818"/>
          <w:sz w:val="22"/>
          <w:szCs w:val="22"/>
          <w:lang w:val="es-CR" w:eastAsia="en-US"/>
        </w:rPr>
      </w:pPr>
      <w:r w:rsidRPr="00D87264">
        <w:rPr>
          <w:rFonts w:asciiTheme="majorHAnsi" w:eastAsia="Calibri" w:hAnsiTheme="majorHAnsi"/>
          <w:color w:val="181818"/>
          <w:sz w:val="22"/>
          <w:szCs w:val="22"/>
          <w:lang w:val="es-CR" w:eastAsia="en-US"/>
        </w:rPr>
        <w:t>Mediante Circular Externa SUGEF 021-2008 del 30 de mayo de 2008, el Intendente General de esta Superintendencia resolvió emitir pautas uniformes y plazos para el recibo de las solicitudes relacionadas con la autorización de las sumas indicadas en el artículo 10 de marras.</w:t>
      </w:r>
    </w:p>
    <w:p w14:paraId="38D11E36" w14:textId="77777777" w:rsidR="00D87264" w:rsidRPr="00D87264" w:rsidRDefault="00D87264" w:rsidP="00D87264">
      <w:pPr>
        <w:pStyle w:val="Prrafodelista"/>
        <w:jc w:val="both"/>
        <w:rPr>
          <w:rFonts w:asciiTheme="majorHAnsi" w:eastAsia="Calibri" w:hAnsiTheme="majorHAnsi"/>
          <w:color w:val="181818"/>
          <w:sz w:val="22"/>
          <w:szCs w:val="22"/>
          <w:lang w:val="es-CR" w:eastAsia="en-US"/>
        </w:rPr>
      </w:pPr>
    </w:p>
    <w:p w14:paraId="0ED81D67" w14:textId="2499BC14" w:rsidR="00320E1C" w:rsidRDefault="00320E1C" w:rsidP="00D87264">
      <w:pPr>
        <w:pStyle w:val="Prrafodelista"/>
        <w:numPr>
          <w:ilvl w:val="0"/>
          <w:numId w:val="13"/>
        </w:numPr>
        <w:jc w:val="both"/>
        <w:rPr>
          <w:rFonts w:asciiTheme="majorHAnsi" w:eastAsia="Calibri" w:hAnsiTheme="majorHAnsi"/>
          <w:color w:val="181818"/>
          <w:sz w:val="22"/>
          <w:szCs w:val="22"/>
          <w:lang w:val="es-CR" w:eastAsia="en-US"/>
        </w:rPr>
      </w:pPr>
      <w:r w:rsidRPr="00D87264">
        <w:rPr>
          <w:rFonts w:asciiTheme="majorHAnsi" w:eastAsia="Calibri" w:hAnsiTheme="majorHAnsi"/>
          <w:color w:val="181818"/>
          <w:sz w:val="22"/>
          <w:szCs w:val="22"/>
          <w:lang w:val="es-CR" w:eastAsia="en-US"/>
        </w:rPr>
        <w:t>Dicha Circular Externa establece que el gasto por estimación de deterioro e incobrabilidad de la cartera de créditos del semestre, corresponderá a la suma necesaria para alcanzar la estimación mínima requerida de conformidad con la normativa vigente, y que el exceso de estimación respecto a la estimación mínima debe justificarse técnicamente y no podrá exceder el 15% respecto a esa estimación mínima. Adicionalmente, se resuelve que de ser necesario el registro de estimaciones adicionales por encima del umbral indicado, estas deberán ser tomadas de las utilidades netas del periodo, de acuerdo con lo dispuesto en el artículo 10 de la Ley N° 1644.</w:t>
      </w:r>
    </w:p>
    <w:p w14:paraId="76229003" w14:textId="77777777" w:rsidR="00D87264" w:rsidRPr="00D87264" w:rsidRDefault="00D87264" w:rsidP="00D87264">
      <w:pPr>
        <w:pStyle w:val="Prrafodelista"/>
        <w:jc w:val="both"/>
        <w:rPr>
          <w:rFonts w:asciiTheme="majorHAnsi" w:eastAsia="Calibri" w:hAnsiTheme="majorHAnsi"/>
          <w:color w:val="181818"/>
          <w:sz w:val="22"/>
          <w:szCs w:val="22"/>
          <w:lang w:val="es-CR" w:eastAsia="en-US"/>
        </w:rPr>
      </w:pPr>
    </w:p>
    <w:p w14:paraId="02A41AB8" w14:textId="77777777" w:rsidR="00D87264" w:rsidRDefault="00320E1C" w:rsidP="00D87264">
      <w:pPr>
        <w:pStyle w:val="Prrafodelista"/>
        <w:numPr>
          <w:ilvl w:val="0"/>
          <w:numId w:val="13"/>
        </w:numPr>
        <w:jc w:val="both"/>
        <w:rPr>
          <w:rFonts w:asciiTheme="majorHAnsi" w:eastAsia="Calibri" w:hAnsiTheme="majorHAnsi"/>
          <w:color w:val="181818"/>
          <w:sz w:val="22"/>
          <w:szCs w:val="22"/>
          <w:lang w:val="es-CR" w:eastAsia="en-US"/>
        </w:rPr>
      </w:pPr>
      <w:r w:rsidRPr="00D87264">
        <w:rPr>
          <w:rFonts w:asciiTheme="majorHAnsi" w:eastAsia="Calibri" w:hAnsiTheme="majorHAnsi"/>
          <w:color w:val="181818"/>
          <w:sz w:val="22"/>
          <w:szCs w:val="22"/>
          <w:lang w:val="es-CR" w:eastAsia="en-US"/>
        </w:rPr>
        <w:t>Lo resuelto en el numeral 2 de la Circular Externa de marras, indicado en el considerando anterior, no es congruente con los preceptos prudenciales y un proceso de supervisión basado en riesgo; no se debe limitar el registro de estimaciones cuantificadas en función de las pérdidas esperadas a un umbral como el indicado, dichas pérdidas esperadas deben ser determinadas de acuerdo con las disposiciones normativas y en lo que corresponde, según el riesgo de las líneas de negocio crediticias, además, deben ser absorbidas en los resultados del periodo.</w:t>
      </w:r>
    </w:p>
    <w:p w14:paraId="108851BB" w14:textId="77777777" w:rsidR="00D87264" w:rsidRPr="00D87264" w:rsidRDefault="00D87264" w:rsidP="00D87264">
      <w:pPr>
        <w:pStyle w:val="Prrafodelista"/>
        <w:jc w:val="both"/>
        <w:rPr>
          <w:rFonts w:asciiTheme="majorHAnsi" w:eastAsia="Calibri" w:hAnsiTheme="majorHAnsi"/>
          <w:color w:val="181818"/>
          <w:sz w:val="22"/>
          <w:szCs w:val="22"/>
          <w:lang w:val="es-CR" w:eastAsia="en-US"/>
        </w:rPr>
      </w:pPr>
    </w:p>
    <w:p w14:paraId="6F48C4DC" w14:textId="6CA1A6C9" w:rsidR="00320E1C" w:rsidRDefault="00320E1C" w:rsidP="00D87264">
      <w:pPr>
        <w:pStyle w:val="Prrafodelista"/>
        <w:numPr>
          <w:ilvl w:val="0"/>
          <w:numId w:val="13"/>
        </w:numPr>
        <w:jc w:val="both"/>
        <w:rPr>
          <w:rFonts w:asciiTheme="majorHAnsi" w:eastAsia="Calibri" w:hAnsiTheme="majorHAnsi"/>
          <w:color w:val="181818"/>
          <w:sz w:val="22"/>
          <w:szCs w:val="22"/>
          <w:lang w:val="es-CR" w:eastAsia="en-US"/>
        </w:rPr>
      </w:pPr>
      <w:r w:rsidRPr="00D87264">
        <w:rPr>
          <w:rFonts w:asciiTheme="majorHAnsi" w:eastAsia="Calibri" w:hAnsiTheme="majorHAnsi"/>
          <w:color w:val="181818"/>
          <w:sz w:val="22"/>
          <w:szCs w:val="22"/>
          <w:lang w:val="es-CR" w:eastAsia="en-US"/>
        </w:rPr>
        <w:t>Esta superintendencia está en el proceso de revisión y simplificación del marco normativo relacionado con trámites, requisitos, procedimientos y autorizaciones a la luz de lo que se establece en la ley N° 8220 “</w:t>
      </w:r>
      <w:r w:rsidRPr="00D87264">
        <w:rPr>
          <w:rFonts w:asciiTheme="majorHAnsi" w:eastAsia="Calibri" w:hAnsiTheme="majorHAnsi"/>
          <w:i/>
          <w:color w:val="181818"/>
          <w:sz w:val="22"/>
          <w:szCs w:val="22"/>
          <w:lang w:val="es-CR" w:eastAsia="en-US"/>
        </w:rPr>
        <w:t>Protección al ciudadano del exceso de requisitos y trámites administrativos</w:t>
      </w:r>
      <w:r w:rsidRPr="00D87264">
        <w:rPr>
          <w:rFonts w:asciiTheme="majorHAnsi" w:eastAsia="Calibri" w:hAnsiTheme="majorHAnsi"/>
          <w:color w:val="181818"/>
          <w:sz w:val="22"/>
          <w:szCs w:val="22"/>
          <w:lang w:val="es-CR" w:eastAsia="en-US"/>
        </w:rPr>
        <w:t>”, por lo que hasta tanto no se concluya la valoración indicada y se apruebe las modificaciones pertinentes sobre el particular, es necesario mantener  los lineamientos indicados en los numerales uno, tres y cuatro de la Circular Externa SUGEF 021-2008.</w:t>
      </w:r>
    </w:p>
    <w:p w14:paraId="07713B23" w14:textId="77777777" w:rsidR="00462C92" w:rsidRPr="00462C92" w:rsidRDefault="00462C92" w:rsidP="00462C92">
      <w:pPr>
        <w:pStyle w:val="Prrafodelista"/>
        <w:rPr>
          <w:rFonts w:asciiTheme="majorHAnsi" w:eastAsia="Calibri" w:hAnsiTheme="majorHAnsi"/>
          <w:color w:val="181818"/>
          <w:sz w:val="22"/>
          <w:szCs w:val="22"/>
          <w:lang w:val="es-CR" w:eastAsia="en-US"/>
        </w:rPr>
      </w:pPr>
    </w:p>
    <w:p w14:paraId="71BD54F5" w14:textId="7FAFAF83" w:rsidR="00462C92" w:rsidRPr="00462C92" w:rsidRDefault="00462C92" w:rsidP="00462C92">
      <w:pPr>
        <w:pStyle w:val="Prrafodelista"/>
        <w:numPr>
          <w:ilvl w:val="0"/>
          <w:numId w:val="13"/>
        </w:numPr>
        <w:jc w:val="both"/>
        <w:rPr>
          <w:rFonts w:asciiTheme="majorHAnsi" w:eastAsia="Calibri" w:hAnsiTheme="majorHAnsi"/>
          <w:color w:val="181818"/>
          <w:sz w:val="22"/>
          <w:szCs w:val="22"/>
          <w:lang w:val="es-CR" w:eastAsia="en-US"/>
        </w:rPr>
      </w:pPr>
      <w:r w:rsidRPr="00D87264">
        <w:rPr>
          <w:rFonts w:asciiTheme="majorHAnsi" w:eastAsia="Calibri" w:hAnsiTheme="majorHAnsi"/>
          <w:color w:val="181818"/>
          <w:sz w:val="22"/>
          <w:szCs w:val="22"/>
          <w:lang w:val="es-CR" w:eastAsia="en-US"/>
        </w:rPr>
        <w:t>Para efectos tributarios, las entidades fiscalizadas deben tomar en consideración la  legislación y regulación en materia fiscal emitida por la Dirección General de Tributación Directa del Ministerio de Hacienda.</w:t>
      </w:r>
    </w:p>
    <w:p w14:paraId="55B52228" w14:textId="77777777" w:rsidR="00320E1C" w:rsidRPr="00320E1C" w:rsidRDefault="00320E1C" w:rsidP="00320E1C">
      <w:pPr>
        <w:pStyle w:val="Prrafodelista"/>
        <w:ind w:left="0"/>
        <w:jc w:val="both"/>
        <w:rPr>
          <w:rFonts w:asciiTheme="majorHAnsi" w:eastAsia="Calibri" w:hAnsiTheme="majorHAnsi"/>
          <w:color w:val="181818"/>
          <w:sz w:val="22"/>
          <w:szCs w:val="22"/>
          <w:lang w:val="es-CR" w:eastAsia="en-US"/>
        </w:rPr>
      </w:pPr>
    </w:p>
    <w:p w14:paraId="23F88E49" w14:textId="3DE3A1AF" w:rsidR="00320E1C" w:rsidRPr="00F141CE" w:rsidRDefault="00320E1C" w:rsidP="00320E1C">
      <w:pPr>
        <w:contextualSpacing/>
        <w:rPr>
          <w:rFonts w:asciiTheme="majorHAnsi" w:hAnsiTheme="majorHAnsi"/>
          <w:b/>
          <w:szCs w:val="22"/>
        </w:rPr>
      </w:pPr>
      <w:r w:rsidRPr="00320E1C">
        <w:rPr>
          <w:rFonts w:asciiTheme="majorHAnsi" w:hAnsiTheme="majorHAnsi"/>
          <w:b/>
          <w:szCs w:val="22"/>
        </w:rPr>
        <w:t>Dispone:</w:t>
      </w:r>
    </w:p>
    <w:p w14:paraId="482F7EBD" w14:textId="77777777" w:rsidR="00D87264" w:rsidRPr="00D87264" w:rsidRDefault="00D87264" w:rsidP="00D87264">
      <w:pPr>
        <w:spacing w:before="6"/>
        <w:ind w:left="860"/>
        <w:rPr>
          <w:rFonts w:asciiTheme="majorHAnsi" w:hAnsiTheme="majorHAnsi"/>
          <w:szCs w:val="22"/>
          <w:lang w:val="es-ES_tradnl"/>
        </w:rPr>
      </w:pPr>
    </w:p>
    <w:p w14:paraId="611DFF63" w14:textId="77777777" w:rsidR="00D87264" w:rsidRPr="00D87264" w:rsidRDefault="00D87264" w:rsidP="00D87264">
      <w:pPr>
        <w:pStyle w:val="Prrafodelista"/>
        <w:widowControl w:val="0"/>
        <w:numPr>
          <w:ilvl w:val="0"/>
          <w:numId w:val="14"/>
        </w:numPr>
        <w:tabs>
          <w:tab w:val="left" w:pos="868"/>
        </w:tabs>
        <w:spacing w:line="249" w:lineRule="auto"/>
        <w:ind w:right="173" w:hanging="324"/>
        <w:contextualSpacing w:val="0"/>
        <w:jc w:val="both"/>
        <w:rPr>
          <w:rFonts w:asciiTheme="majorHAnsi" w:eastAsia="Times New Roman" w:hAnsiTheme="majorHAnsi"/>
          <w:sz w:val="22"/>
          <w:szCs w:val="22"/>
          <w:lang w:val="es-ES_tradnl"/>
        </w:rPr>
      </w:pPr>
      <w:r w:rsidRPr="00D87264">
        <w:rPr>
          <w:rFonts w:asciiTheme="majorHAnsi" w:hAnsiTheme="majorHAnsi"/>
          <w:sz w:val="22"/>
          <w:szCs w:val="22"/>
          <w:lang w:val="es-ES_tradnl"/>
        </w:rPr>
        <w:t xml:space="preserve">Las entidades bancarias deberán remitir a esta Superintendencia la solicitud de autorización establecida en el artículo </w:t>
      </w:r>
      <w:r w:rsidRPr="00D87264">
        <w:rPr>
          <w:rFonts w:asciiTheme="majorHAnsi" w:hAnsiTheme="majorHAnsi"/>
          <w:spacing w:val="3"/>
          <w:sz w:val="22"/>
          <w:szCs w:val="22"/>
          <w:lang w:val="es-ES_tradnl"/>
        </w:rPr>
        <w:t xml:space="preserve">10 </w:t>
      </w:r>
      <w:r w:rsidRPr="00D87264">
        <w:rPr>
          <w:rFonts w:asciiTheme="majorHAnsi" w:hAnsiTheme="majorHAnsi"/>
          <w:sz w:val="22"/>
          <w:szCs w:val="22"/>
          <w:lang w:val="es-ES_tradnl"/>
        </w:rPr>
        <w:t xml:space="preserve">de la Ley  Orgánica  el  Sistema Bancario Nacional, Ley Nº 1644, dentro de los primeros 10 días hábiles de los meses de junio y diciembre de cada año. Para ello deberán utilizar como guía los formatos adjuntos a esta Circular (Ver Anexo 1 y 2 en el archivo adjunto Anexos.pdf). Para la elaboración del Anexo 2 (en el archivo adjunto Anexos.pdf), las entidades deben considerar las partidas del Estado de resultados relacionadas con cada una de las cuentas del  balance </w:t>
      </w:r>
      <w:r w:rsidRPr="00D87264">
        <w:rPr>
          <w:rFonts w:asciiTheme="majorHAnsi" w:hAnsiTheme="majorHAnsi"/>
          <w:sz w:val="22"/>
          <w:szCs w:val="22"/>
          <w:lang w:val="es-ES_tradnl"/>
        </w:rPr>
        <w:lastRenderedPageBreak/>
        <w:t>general de conformidad con lo establecido  en el  Plan  de  Cuentas para Entidades, Grupos y Conglomerados Financieros Homologado vigente (ver Anexo 3 en el archivo adjunto Anexos.pdf).</w:t>
      </w:r>
    </w:p>
    <w:p w14:paraId="56DB53ED" w14:textId="77777777" w:rsidR="00D87264" w:rsidRPr="00D87264" w:rsidRDefault="00D87264" w:rsidP="00D87264">
      <w:pPr>
        <w:spacing w:before="4"/>
        <w:ind w:left="860"/>
        <w:rPr>
          <w:rFonts w:asciiTheme="majorHAnsi" w:hAnsiTheme="majorHAnsi"/>
          <w:szCs w:val="22"/>
          <w:lang w:val="es-ES_tradnl"/>
        </w:rPr>
      </w:pPr>
    </w:p>
    <w:p w14:paraId="372F9892" w14:textId="77777777" w:rsidR="00D87264" w:rsidRPr="00D87264" w:rsidRDefault="00D87264" w:rsidP="00D87264">
      <w:pPr>
        <w:pStyle w:val="Prrafodelista"/>
        <w:widowControl w:val="0"/>
        <w:numPr>
          <w:ilvl w:val="0"/>
          <w:numId w:val="14"/>
        </w:numPr>
        <w:tabs>
          <w:tab w:val="left" w:pos="868"/>
        </w:tabs>
        <w:spacing w:line="249" w:lineRule="auto"/>
        <w:ind w:right="174" w:hanging="353"/>
        <w:contextualSpacing w:val="0"/>
        <w:jc w:val="both"/>
        <w:rPr>
          <w:rFonts w:asciiTheme="majorHAnsi" w:eastAsia="Times New Roman" w:hAnsiTheme="majorHAnsi"/>
          <w:sz w:val="22"/>
          <w:szCs w:val="22"/>
          <w:lang w:val="es-ES_tradnl"/>
        </w:rPr>
      </w:pPr>
      <w:r w:rsidRPr="00D87264">
        <w:rPr>
          <w:rFonts w:asciiTheme="majorHAnsi" w:hAnsiTheme="majorHAnsi"/>
          <w:sz w:val="22"/>
          <w:szCs w:val="22"/>
          <w:lang w:val="es-ES_tradnl"/>
        </w:rPr>
        <w:t xml:space="preserve">La creación de estimaciones, provisiones, deterioros, depreciaciones y amortizaciones deben estar acordes con lo establecido en el Plan de Cuentas para Entidades, Grupos y Conglomerados </w:t>
      </w:r>
      <w:r w:rsidRPr="00D87264">
        <w:rPr>
          <w:rFonts w:asciiTheme="majorHAnsi" w:hAnsiTheme="majorHAnsi"/>
          <w:spacing w:val="2"/>
          <w:sz w:val="22"/>
          <w:szCs w:val="22"/>
          <w:lang w:val="es-ES_tradnl"/>
        </w:rPr>
        <w:t xml:space="preserve">Financieros </w:t>
      </w:r>
      <w:r w:rsidRPr="00D87264">
        <w:rPr>
          <w:rFonts w:asciiTheme="majorHAnsi" w:hAnsiTheme="majorHAnsi"/>
          <w:sz w:val="22"/>
          <w:szCs w:val="22"/>
          <w:lang w:val="es-ES_tradnl"/>
        </w:rPr>
        <w:t>Homologado.</w:t>
      </w:r>
    </w:p>
    <w:p w14:paraId="37FCDAFA" w14:textId="77777777" w:rsidR="00D87264" w:rsidRPr="00D87264" w:rsidRDefault="00D87264" w:rsidP="00D87264">
      <w:pPr>
        <w:tabs>
          <w:tab w:val="left" w:pos="868"/>
        </w:tabs>
        <w:spacing w:line="249" w:lineRule="auto"/>
        <w:ind w:left="860" w:right="174"/>
        <w:rPr>
          <w:rFonts w:asciiTheme="majorHAnsi" w:hAnsiTheme="majorHAnsi"/>
          <w:szCs w:val="22"/>
          <w:lang w:val="es-ES_tradnl"/>
        </w:rPr>
      </w:pPr>
    </w:p>
    <w:p w14:paraId="7A697CA9" w14:textId="77777777" w:rsidR="00D87264" w:rsidRPr="00D87264" w:rsidRDefault="00D87264" w:rsidP="00D87264">
      <w:pPr>
        <w:pStyle w:val="Prrafodelista"/>
        <w:widowControl w:val="0"/>
        <w:numPr>
          <w:ilvl w:val="0"/>
          <w:numId w:val="14"/>
        </w:numPr>
        <w:tabs>
          <w:tab w:val="left" w:pos="868"/>
        </w:tabs>
        <w:spacing w:line="249" w:lineRule="auto"/>
        <w:ind w:right="174" w:hanging="353"/>
        <w:contextualSpacing w:val="0"/>
        <w:jc w:val="both"/>
        <w:rPr>
          <w:rFonts w:asciiTheme="majorHAnsi" w:eastAsia="Times New Roman" w:hAnsiTheme="majorHAnsi"/>
          <w:sz w:val="22"/>
          <w:szCs w:val="22"/>
          <w:lang w:val="es-ES_tradnl"/>
        </w:rPr>
      </w:pPr>
      <w:r w:rsidRPr="00D87264">
        <w:rPr>
          <w:rFonts w:asciiTheme="majorHAnsi" w:hAnsiTheme="majorHAnsi"/>
          <w:sz w:val="22"/>
          <w:szCs w:val="22"/>
          <w:lang w:val="es-ES_tradnl"/>
        </w:rPr>
        <w:t xml:space="preserve">En caso de </w:t>
      </w:r>
      <w:r w:rsidRPr="00D87264">
        <w:rPr>
          <w:rFonts w:asciiTheme="majorHAnsi" w:hAnsiTheme="majorHAnsi"/>
          <w:spacing w:val="6"/>
          <w:sz w:val="22"/>
          <w:szCs w:val="22"/>
          <w:lang w:val="es-ES_tradnl"/>
        </w:rPr>
        <w:t xml:space="preserve">que </w:t>
      </w:r>
      <w:r w:rsidRPr="00D87264">
        <w:rPr>
          <w:rFonts w:asciiTheme="majorHAnsi" w:hAnsiTheme="majorHAnsi"/>
          <w:sz w:val="22"/>
          <w:szCs w:val="22"/>
          <w:lang w:val="es-ES_tradnl"/>
        </w:rPr>
        <w:t xml:space="preserve">la </w:t>
      </w:r>
      <w:r w:rsidRPr="00D87264">
        <w:rPr>
          <w:rFonts w:asciiTheme="majorHAnsi" w:hAnsiTheme="majorHAnsi"/>
          <w:spacing w:val="3"/>
          <w:sz w:val="22"/>
          <w:szCs w:val="22"/>
          <w:lang w:val="es-ES_tradnl"/>
        </w:rPr>
        <w:t>admini</w:t>
      </w:r>
      <w:r w:rsidRPr="00D87264">
        <w:rPr>
          <w:rFonts w:asciiTheme="majorHAnsi" w:hAnsiTheme="majorHAnsi"/>
          <w:sz w:val="22"/>
          <w:szCs w:val="22"/>
          <w:lang w:val="es-ES_tradnl"/>
        </w:rPr>
        <w:t xml:space="preserve">stración de una entidad fiscalizada, como resultado del cierre </w:t>
      </w:r>
      <w:r w:rsidRPr="00D87264">
        <w:rPr>
          <w:rFonts w:asciiTheme="majorHAnsi" w:hAnsiTheme="majorHAnsi"/>
          <w:spacing w:val="3"/>
          <w:sz w:val="22"/>
          <w:szCs w:val="22"/>
          <w:lang w:val="es-ES_tradnl"/>
        </w:rPr>
        <w:t xml:space="preserve">contable </w:t>
      </w:r>
      <w:r w:rsidRPr="00D87264">
        <w:rPr>
          <w:rFonts w:asciiTheme="majorHAnsi" w:hAnsiTheme="majorHAnsi"/>
          <w:sz w:val="22"/>
          <w:szCs w:val="22"/>
          <w:lang w:val="es-ES_tradnl"/>
        </w:rPr>
        <w:t xml:space="preserve">definitivo en cada semestre, considere necesario variar la sumas que ya hubiera </w:t>
      </w:r>
      <w:r w:rsidRPr="00D87264">
        <w:rPr>
          <w:rFonts w:asciiTheme="majorHAnsi" w:hAnsiTheme="majorHAnsi"/>
          <w:spacing w:val="2"/>
          <w:sz w:val="22"/>
          <w:szCs w:val="22"/>
          <w:lang w:val="es-ES_tradnl"/>
        </w:rPr>
        <w:t xml:space="preserve">autorizado </w:t>
      </w:r>
      <w:r w:rsidRPr="00D87264">
        <w:rPr>
          <w:rFonts w:asciiTheme="majorHAnsi" w:hAnsiTheme="majorHAnsi"/>
          <w:sz w:val="22"/>
          <w:szCs w:val="22"/>
          <w:lang w:val="es-ES_tradnl"/>
        </w:rPr>
        <w:t xml:space="preserve">la Superintendencia General de </w:t>
      </w:r>
      <w:r w:rsidRPr="00D87264">
        <w:rPr>
          <w:rFonts w:asciiTheme="majorHAnsi" w:hAnsiTheme="majorHAnsi"/>
          <w:spacing w:val="5"/>
          <w:sz w:val="22"/>
          <w:szCs w:val="22"/>
          <w:lang w:val="es-ES_tradnl"/>
        </w:rPr>
        <w:t>Entid</w:t>
      </w:r>
      <w:r w:rsidRPr="00D87264">
        <w:rPr>
          <w:rFonts w:asciiTheme="majorHAnsi" w:hAnsiTheme="majorHAnsi"/>
          <w:sz w:val="22"/>
          <w:szCs w:val="22"/>
          <w:lang w:val="es-ES_tradnl"/>
        </w:rPr>
        <w:t xml:space="preserve">ades </w:t>
      </w:r>
      <w:r w:rsidRPr="00D87264">
        <w:rPr>
          <w:rFonts w:asciiTheme="majorHAnsi" w:hAnsiTheme="majorHAnsi"/>
          <w:spacing w:val="4"/>
          <w:sz w:val="22"/>
          <w:szCs w:val="22"/>
          <w:lang w:val="es-ES_tradnl"/>
        </w:rPr>
        <w:t>Financi</w:t>
      </w:r>
      <w:r w:rsidRPr="00D87264">
        <w:rPr>
          <w:rFonts w:asciiTheme="majorHAnsi" w:hAnsiTheme="majorHAnsi"/>
          <w:sz w:val="22"/>
          <w:szCs w:val="22"/>
          <w:lang w:val="es-ES_tradnl"/>
        </w:rPr>
        <w:t xml:space="preserve">eras, deberá solicitar autorización por las variaciones a </w:t>
      </w:r>
      <w:r w:rsidRPr="00D87264">
        <w:rPr>
          <w:rFonts w:asciiTheme="majorHAnsi" w:hAnsiTheme="majorHAnsi"/>
          <w:w w:val="95"/>
          <w:sz w:val="22"/>
          <w:szCs w:val="22"/>
          <w:lang w:val="es-ES_tradnl"/>
        </w:rPr>
        <w:t>l</w:t>
      </w:r>
      <w:r w:rsidRPr="00D87264">
        <w:rPr>
          <w:rFonts w:asciiTheme="majorHAnsi" w:hAnsiTheme="majorHAnsi"/>
          <w:sz w:val="22"/>
          <w:szCs w:val="22"/>
          <w:lang w:val="es-ES_tradnl"/>
        </w:rPr>
        <w:t xml:space="preserve">os montos aprobados dentro de los primeros doce días </w:t>
      </w:r>
      <w:r w:rsidRPr="00D87264">
        <w:rPr>
          <w:rFonts w:asciiTheme="majorHAnsi" w:hAnsiTheme="majorHAnsi"/>
          <w:spacing w:val="6"/>
          <w:sz w:val="22"/>
          <w:szCs w:val="22"/>
          <w:lang w:val="es-ES_tradnl"/>
        </w:rPr>
        <w:t>hábi</w:t>
      </w:r>
      <w:r w:rsidRPr="00D87264">
        <w:rPr>
          <w:rFonts w:asciiTheme="majorHAnsi" w:hAnsiTheme="majorHAnsi"/>
          <w:sz w:val="22"/>
          <w:szCs w:val="22"/>
          <w:lang w:val="es-ES_tradnl"/>
        </w:rPr>
        <w:t xml:space="preserve">les posteriores a la fecha de cierre </w:t>
      </w:r>
      <w:r w:rsidRPr="00D87264">
        <w:rPr>
          <w:rFonts w:asciiTheme="majorHAnsi" w:hAnsiTheme="majorHAnsi"/>
          <w:spacing w:val="2"/>
          <w:sz w:val="22"/>
          <w:szCs w:val="22"/>
          <w:lang w:val="es-ES_tradnl"/>
        </w:rPr>
        <w:t xml:space="preserve">contable, </w:t>
      </w:r>
      <w:r w:rsidRPr="00D87264">
        <w:rPr>
          <w:rFonts w:asciiTheme="majorHAnsi" w:hAnsiTheme="majorHAnsi"/>
          <w:w w:val="95"/>
          <w:sz w:val="22"/>
          <w:szCs w:val="22"/>
          <w:lang w:val="es-ES_tradnl"/>
        </w:rPr>
        <w:t>l</w:t>
      </w:r>
      <w:r w:rsidRPr="00D87264">
        <w:rPr>
          <w:rFonts w:asciiTheme="majorHAnsi" w:hAnsiTheme="majorHAnsi"/>
          <w:sz w:val="22"/>
          <w:szCs w:val="22"/>
          <w:lang w:val="es-ES_tradnl"/>
        </w:rPr>
        <w:t xml:space="preserve">a cual debe </w:t>
      </w:r>
      <w:r w:rsidRPr="00D87264">
        <w:rPr>
          <w:rFonts w:asciiTheme="majorHAnsi" w:hAnsiTheme="majorHAnsi"/>
          <w:spacing w:val="6"/>
          <w:sz w:val="22"/>
          <w:szCs w:val="22"/>
          <w:lang w:val="es-ES_tradnl"/>
        </w:rPr>
        <w:t>conte</w:t>
      </w:r>
      <w:r w:rsidRPr="00D87264">
        <w:rPr>
          <w:rFonts w:asciiTheme="majorHAnsi" w:hAnsiTheme="majorHAnsi"/>
          <w:sz w:val="22"/>
          <w:szCs w:val="22"/>
          <w:lang w:val="es-ES_tradnl"/>
        </w:rPr>
        <w:t xml:space="preserve">ner la justificación de cada una de las variaciones y </w:t>
      </w:r>
      <w:r w:rsidRPr="00D87264">
        <w:rPr>
          <w:rFonts w:asciiTheme="majorHAnsi" w:hAnsiTheme="majorHAnsi"/>
          <w:spacing w:val="2"/>
          <w:sz w:val="22"/>
          <w:szCs w:val="22"/>
          <w:lang w:val="es-ES_tradnl"/>
        </w:rPr>
        <w:t xml:space="preserve">aportar </w:t>
      </w:r>
      <w:r w:rsidRPr="00D87264">
        <w:rPr>
          <w:rFonts w:asciiTheme="majorHAnsi" w:hAnsiTheme="majorHAnsi"/>
          <w:w w:val="95"/>
          <w:sz w:val="22"/>
          <w:szCs w:val="22"/>
          <w:lang w:val="es-ES_tradnl"/>
        </w:rPr>
        <w:t>l</w:t>
      </w:r>
      <w:r w:rsidRPr="00D87264">
        <w:rPr>
          <w:rFonts w:asciiTheme="majorHAnsi" w:hAnsiTheme="majorHAnsi"/>
          <w:sz w:val="22"/>
          <w:szCs w:val="22"/>
          <w:lang w:val="es-ES_tradnl"/>
        </w:rPr>
        <w:t>a documentación de respa</w:t>
      </w:r>
      <w:r w:rsidRPr="00D87264">
        <w:rPr>
          <w:rFonts w:asciiTheme="majorHAnsi" w:hAnsiTheme="majorHAnsi"/>
          <w:w w:val="95"/>
          <w:sz w:val="22"/>
          <w:szCs w:val="22"/>
          <w:lang w:val="es-ES_tradnl"/>
        </w:rPr>
        <w:t>l</w:t>
      </w:r>
      <w:r w:rsidRPr="00D87264">
        <w:rPr>
          <w:rFonts w:asciiTheme="majorHAnsi" w:hAnsiTheme="majorHAnsi"/>
          <w:sz w:val="22"/>
          <w:szCs w:val="22"/>
          <w:lang w:val="es-ES_tradnl"/>
        </w:rPr>
        <w:t>do que</w:t>
      </w:r>
      <w:r w:rsidRPr="00D87264">
        <w:rPr>
          <w:rFonts w:asciiTheme="majorHAnsi" w:hAnsiTheme="majorHAnsi"/>
          <w:spacing w:val="11"/>
          <w:sz w:val="22"/>
          <w:szCs w:val="22"/>
          <w:lang w:val="es-ES_tradnl"/>
        </w:rPr>
        <w:t xml:space="preserve"> </w:t>
      </w:r>
      <w:r w:rsidRPr="00D87264">
        <w:rPr>
          <w:rFonts w:asciiTheme="majorHAnsi" w:hAnsiTheme="majorHAnsi"/>
          <w:sz w:val="22"/>
          <w:szCs w:val="22"/>
          <w:lang w:val="es-ES_tradnl"/>
        </w:rPr>
        <w:t>corresponda.</w:t>
      </w:r>
    </w:p>
    <w:p w14:paraId="3BE0696A" w14:textId="77777777" w:rsidR="00D87264" w:rsidRPr="00D87264" w:rsidRDefault="00D87264" w:rsidP="00D87264">
      <w:pPr>
        <w:tabs>
          <w:tab w:val="left" w:pos="868"/>
        </w:tabs>
        <w:spacing w:line="249" w:lineRule="auto"/>
        <w:ind w:right="174"/>
        <w:rPr>
          <w:rFonts w:asciiTheme="majorHAnsi" w:hAnsiTheme="majorHAnsi"/>
          <w:szCs w:val="22"/>
          <w:lang w:val="es-ES_tradnl"/>
        </w:rPr>
      </w:pPr>
    </w:p>
    <w:p w14:paraId="2B38D177" w14:textId="77777777" w:rsidR="00D87264" w:rsidRPr="00D87264" w:rsidRDefault="00D87264" w:rsidP="00D87264">
      <w:pPr>
        <w:pStyle w:val="Prrafodelista"/>
        <w:widowControl w:val="0"/>
        <w:numPr>
          <w:ilvl w:val="0"/>
          <w:numId w:val="14"/>
        </w:numPr>
        <w:tabs>
          <w:tab w:val="left" w:pos="868"/>
        </w:tabs>
        <w:spacing w:line="249" w:lineRule="auto"/>
        <w:ind w:right="174" w:hanging="353"/>
        <w:contextualSpacing w:val="0"/>
        <w:jc w:val="both"/>
        <w:rPr>
          <w:rFonts w:asciiTheme="majorHAnsi" w:eastAsia="Times New Roman" w:hAnsiTheme="majorHAnsi"/>
          <w:sz w:val="22"/>
          <w:szCs w:val="22"/>
          <w:lang w:val="es-ES_tradnl"/>
        </w:rPr>
      </w:pPr>
      <w:r w:rsidRPr="00D87264">
        <w:rPr>
          <w:rFonts w:asciiTheme="majorHAnsi" w:hAnsiTheme="majorHAnsi"/>
          <w:sz w:val="22"/>
          <w:szCs w:val="22"/>
          <w:lang w:val="es-ES_tradnl"/>
        </w:rPr>
        <w:t xml:space="preserve">Se deroga la </w:t>
      </w:r>
      <w:r w:rsidRPr="00D87264">
        <w:rPr>
          <w:rFonts w:asciiTheme="majorHAnsi" w:hAnsiTheme="majorHAnsi"/>
          <w:spacing w:val="2"/>
          <w:sz w:val="22"/>
          <w:szCs w:val="22"/>
          <w:lang w:val="es-ES_tradnl"/>
        </w:rPr>
        <w:t xml:space="preserve">Circular </w:t>
      </w:r>
      <w:r w:rsidRPr="00D87264">
        <w:rPr>
          <w:rFonts w:asciiTheme="majorHAnsi" w:hAnsiTheme="majorHAnsi"/>
          <w:sz w:val="22"/>
          <w:szCs w:val="22"/>
          <w:lang w:val="es-ES_tradnl"/>
        </w:rPr>
        <w:t>Externa SUGEF 014-2006 del 14 de junio de 2006.</w:t>
      </w:r>
    </w:p>
    <w:p w14:paraId="4FF37FEE" w14:textId="77777777" w:rsidR="00D87264" w:rsidRPr="00D87264" w:rsidRDefault="00D87264" w:rsidP="00D87264">
      <w:pPr>
        <w:pStyle w:val="Prrafodelista"/>
        <w:rPr>
          <w:rFonts w:asciiTheme="majorHAnsi" w:eastAsia="Times New Roman" w:hAnsiTheme="majorHAnsi"/>
          <w:sz w:val="22"/>
          <w:szCs w:val="22"/>
          <w:lang w:val="es-ES_tradnl"/>
        </w:rPr>
      </w:pPr>
    </w:p>
    <w:p w14:paraId="1177410B" w14:textId="67FBCCF1" w:rsidR="00320E1C" w:rsidRPr="00D87264" w:rsidRDefault="00320E1C" w:rsidP="00320E1C">
      <w:pPr>
        <w:pStyle w:val="Prrafodelista"/>
        <w:widowControl w:val="0"/>
        <w:numPr>
          <w:ilvl w:val="0"/>
          <w:numId w:val="14"/>
        </w:numPr>
        <w:tabs>
          <w:tab w:val="left" w:pos="868"/>
        </w:tabs>
        <w:spacing w:line="249" w:lineRule="auto"/>
        <w:ind w:right="174" w:hanging="353"/>
        <w:contextualSpacing w:val="0"/>
        <w:jc w:val="both"/>
        <w:rPr>
          <w:rFonts w:asciiTheme="majorHAnsi" w:eastAsia="Times New Roman" w:hAnsiTheme="majorHAnsi"/>
          <w:sz w:val="22"/>
          <w:szCs w:val="22"/>
          <w:lang w:val="es-ES_tradnl"/>
        </w:rPr>
      </w:pPr>
      <w:r w:rsidRPr="00D87264">
        <w:rPr>
          <w:rFonts w:asciiTheme="majorHAnsi" w:eastAsia="Calibri" w:hAnsiTheme="majorHAnsi"/>
          <w:color w:val="181818"/>
          <w:sz w:val="22"/>
          <w:szCs w:val="22"/>
          <w:lang w:val="es-CR"/>
        </w:rPr>
        <w:t xml:space="preserve">Se deroga la Circular Externa SUGEF </w:t>
      </w:r>
      <w:r w:rsidR="002A06FE">
        <w:rPr>
          <w:rFonts w:asciiTheme="majorHAnsi" w:eastAsia="Calibri" w:hAnsiTheme="majorHAnsi"/>
          <w:color w:val="181818"/>
          <w:sz w:val="22"/>
          <w:szCs w:val="22"/>
          <w:lang w:val="es-CR"/>
        </w:rPr>
        <w:t>0</w:t>
      </w:r>
      <w:bookmarkStart w:id="0" w:name="_GoBack"/>
      <w:bookmarkEnd w:id="0"/>
      <w:r w:rsidRPr="00D87264">
        <w:rPr>
          <w:rFonts w:asciiTheme="majorHAnsi" w:eastAsia="Calibri" w:hAnsiTheme="majorHAnsi"/>
          <w:color w:val="181818"/>
          <w:sz w:val="22"/>
          <w:szCs w:val="22"/>
          <w:lang w:val="es-CR"/>
        </w:rPr>
        <w:t>21-2008 del 30 de mayo de 2008.</w:t>
      </w:r>
    </w:p>
    <w:p w14:paraId="507422C0" w14:textId="77777777" w:rsidR="004D71ED" w:rsidRDefault="004D71ED" w:rsidP="004D71ED">
      <w:pPr>
        <w:pStyle w:val="NormalWeb"/>
        <w:spacing w:before="0" w:beforeAutospacing="0" w:after="0" w:afterAutospacing="0"/>
        <w:contextualSpacing/>
        <w:jc w:val="both"/>
        <w:rPr>
          <w:rFonts w:asciiTheme="majorHAnsi" w:eastAsia="Calibri" w:hAnsiTheme="majorHAnsi"/>
          <w:color w:val="181818"/>
          <w:sz w:val="22"/>
          <w:szCs w:val="22"/>
          <w:lang w:eastAsia="en-US"/>
        </w:rPr>
      </w:pPr>
    </w:p>
    <w:p w14:paraId="74CA094F" w14:textId="77777777" w:rsidR="00D87264" w:rsidRPr="00D87264" w:rsidRDefault="00D87264" w:rsidP="004D71ED">
      <w:pPr>
        <w:pStyle w:val="NormalWeb"/>
        <w:spacing w:before="0" w:beforeAutospacing="0" w:after="0" w:afterAutospacing="0"/>
        <w:contextualSpacing/>
        <w:jc w:val="both"/>
        <w:rPr>
          <w:rFonts w:asciiTheme="majorHAnsi" w:eastAsia="Calibri" w:hAnsiTheme="majorHAnsi"/>
          <w:color w:val="181818"/>
          <w:sz w:val="22"/>
          <w:szCs w:val="22"/>
          <w:lang w:eastAsia="en-US"/>
        </w:rPr>
      </w:pPr>
    </w:p>
    <w:sdt>
      <w:sdtPr>
        <w:rPr>
          <w:rFonts w:asciiTheme="majorHAnsi" w:hAnsiTheme="majorHAnsi"/>
        </w:rPr>
        <w:alias w:val="Rige"/>
        <w:tag w:val="Rige"/>
        <w:id w:val="11415830"/>
        <w:placeholder>
          <w:docPart w:val="085C5FA4A1CC4E3AB1FC51F8411D08C3"/>
        </w:placeholder>
      </w:sdtPr>
      <w:sdtEndPr/>
      <w:sdtContent>
        <w:p w14:paraId="1265F818" w14:textId="77777777" w:rsidR="004D71ED" w:rsidRPr="004D71ED" w:rsidRDefault="004D71ED" w:rsidP="004D71ED">
          <w:pPr>
            <w:pStyle w:val="NormalWeb"/>
            <w:spacing w:before="0" w:beforeAutospacing="0" w:after="0" w:afterAutospacing="0"/>
            <w:rPr>
              <w:rFonts w:asciiTheme="majorHAnsi" w:hAnsiTheme="majorHAnsi"/>
            </w:rPr>
          </w:pPr>
          <w:r w:rsidRPr="004D71ED">
            <w:rPr>
              <w:rFonts w:asciiTheme="majorHAnsi" w:hAnsiTheme="majorHAnsi"/>
            </w:rPr>
            <w:t>Rige a partir de su comunicación</w:t>
          </w:r>
        </w:p>
      </w:sdtContent>
    </w:sdt>
    <w:p w14:paraId="6CEB6A1D" w14:textId="77777777" w:rsidR="004D71ED" w:rsidRPr="004D71ED" w:rsidRDefault="004D71ED" w:rsidP="004D71ED">
      <w:pPr>
        <w:pStyle w:val="encabezado0"/>
        <w:spacing w:line="240" w:lineRule="auto"/>
        <w:rPr>
          <w:rFonts w:asciiTheme="majorHAnsi" w:hAnsiTheme="majorHAnsi"/>
          <w:sz w:val="24"/>
        </w:rPr>
      </w:pPr>
    </w:p>
    <w:p w14:paraId="1E52B99F" w14:textId="77777777" w:rsidR="0071134B" w:rsidRPr="004D71ED" w:rsidRDefault="0071134B" w:rsidP="00D26EDE">
      <w:pPr>
        <w:pStyle w:val="Texto0"/>
        <w:spacing w:before="0" w:after="0" w:line="240" w:lineRule="auto"/>
        <w:rPr>
          <w:rFonts w:asciiTheme="majorHAnsi" w:hAnsiTheme="majorHAnsi"/>
          <w:sz w:val="24"/>
        </w:rPr>
      </w:pPr>
      <w:r w:rsidRPr="004D71ED">
        <w:rPr>
          <w:rFonts w:asciiTheme="majorHAnsi" w:hAnsiTheme="majorHAnsi"/>
          <w:sz w:val="24"/>
        </w:rPr>
        <w:t>Atentamente,</w:t>
      </w:r>
    </w:p>
    <w:p w14:paraId="66A7CF91" w14:textId="77777777" w:rsidR="000F34AE" w:rsidRPr="004D71ED" w:rsidRDefault="000F34AE" w:rsidP="00D26EDE">
      <w:pPr>
        <w:spacing w:line="240" w:lineRule="auto"/>
        <w:rPr>
          <w:rFonts w:asciiTheme="majorHAnsi" w:hAnsiTheme="majorHAnsi"/>
          <w:sz w:val="24"/>
        </w:rPr>
      </w:pPr>
    </w:p>
    <w:p w14:paraId="4ED2E077" w14:textId="77777777" w:rsidR="00041BDD" w:rsidRPr="004D71ED" w:rsidRDefault="00041BDD" w:rsidP="00D26EDE">
      <w:pPr>
        <w:spacing w:line="240" w:lineRule="auto"/>
        <w:rPr>
          <w:rFonts w:asciiTheme="majorHAnsi" w:hAnsiTheme="majorHAnsi"/>
          <w:sz w:val="24"/>
        </w:rPr>
      </w:pPr>
    </w:p>
    <w:p w14:paraId="0AFA1990" w14:textId="77777777" w:rsidR="0085692C" w:rsidRPr="004D71ED" w:rsidRDefault="005B448F" w:rsidP="00D26EDE">
      <w:pPr>
        <w:pStyle w:val="Negrita"/>
        <w:spacing w:line="240" w:lineRule="auto"/>
        <w:rPr>
          <w:rFonts w:asciiTheme="majorHAnsi" w:hAnsiTheme="majorHAnsi"/>
          <w:sz w:val="24"/>
        </w:rPr>
      </w:pPr>
      <w:r w:rsidRPr="004D71ED">
        <w:rPr>
          <w:rFonts w:asciiTheme="majorHAnsi" w:hAnsiTheme="majorHAnsi"/>
          <w:sz w:val="24"/>
        </w:rPr>
        <w:t>Javier Cascante Elizondo</w:t>
      </w:r>
    </w:p>
    <w:p w14:paraId="37B3651B" w14:textId="77777777" w:rsidR="00BA112E" w:rsidRPr="004D71ED" w:rsidRDefault="005B448F" w:rsidP="00D26EDE">
      <w:pPr>
        <w:spacing w:line="240" w:lineRule="auto"/>
        <w:rPr>
          <w:rFonts w:asciiTheme="majorHAnsi" w:hAnsiTheme="majorHAnsi"/>
          <w:sz w:val="24"/>
        </w:rPr>
      </w:pPr>
      <w:r w:rsidRPr="004D71ED">
        <w:rPr>
          <w:rFonts w:asciiTheme="majorHAnsi" w:hAnsiTheme="majorHAnsi"/>
          <w:sz w:val="24"/>
        </w:rPr>
        <w:t>Superintendente</w:t>
      </w:r>
      <w:r w:rsidR="00984A65" w:rsidRPr="004D71ED">
        <w:rPr>
          <w:rFonts w:asciiTheme="majorHAnsi" w:hAnsiTheme="majorHAnsi"/>
          <w:sz w:val="24"/>
        </w:rPr>
        <w:tab/>
      </w:r>
    </w:p>
    <w:p w14:paraId="783A94B2" w14:textId="77777777" w:rsidR="00EB4E27" w:rsidRPr="004D71ED" w:rsidRDefault="00EB4E27" w:rsidP="00EB4E27">
      <w:pPr>
        <w:rPr>
          <w:rFonts w:asciiTheme="majorHAnsi" w:hAnsiTheme="majorHAnsi"/>
          <w:sz w:val="24"/>
        </w:rPr>
      </w:pPr>
    </w:p>
    <w:p w14:paraId="7A677356" w14:textId="77777777" w:rsidR="00577A95" w:rsidRPr="004D71ED" w:rsidRDefault="00E13C47" w:rsidP="0085692C">
      <w:pPr>
        <w:pStyle w:val="Negrita"/>
        <w:rPr>
          <w:rFonts w:asciiTheme="majorHAnsi" w:hAnsiTheme="majorHAnsi"/>
          <w:sz w:val="24"/>
        </w:rPr>
      </w:pPr>
      <w:r w:rsidRPr="004D71ED">
        <w:rPr>
          <w:rFonts w:asciiTheme="majorHAnsi" w:hAnsiTheme="majorHAnsi"/>
          <w:noProof/>
          <w:sz w:val="24"/>
          <w:lang w:val="es-CR" w:eastAsia="es-CR"/>
        </w:rPr>
        <w:drawing>
          <wp:anchor distT="0" distB="0" distL="114300" distR="114300" simplePos="0" relativeHeight="251658240" behindDoc="1" locked="0" layoutInCell="1" allowOverlap="1" wp14:anchorId="3C3F529C" wp14:editId="64510D5A">
            <wp:simplePos x="0" y="0"/>
            <wp:positionH relativeFrom="column">
              <wp:posOffset>-163830</wp:posOffset>
            </wp:positionH>
            <wp:positionV relativeFrom="paragraph">
              <wp:posOffset>24765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48D26B03" w14:textId="77777777" w:rsidR="00D87264" w:rsidRPr="004D71ED" w:rsidRDefault="00D87264" w:rsidP="00D87264">
      <w:pPr>
        <w:pStyle w:val="Negrita"/>
        <w:rPr>
          <w:rFonts w:asciiTheme="majorHAnsi" w:hAnsiTheme="majorHAnsi"/>
          <w:sz w:val="24"/>
        </w:rPr>
      </w:pPr>
    </w:p>
    <w:p w14:paraId="4B603465" w14:textId="77777777" w:rsidR="00D87264" w:rsidRDefault="00D87264" w:rsidP="00D87264">
      <w:pPr>
        <w:pStyle w:val="NormalWeb"/>
        <w:spacing w:before="0" w:beforeAutospacing="0" w:after="0" w:afterAutospacing="0"/>
        <w:rPr>
          <w:rFonts w:ascii="Cambria Math" w:hAnsi="Cambria Math"/>
          <w:b/>
          <w:sz w:val="22"/>
          <w:szCs w:val="22"/>
        </w:rPr>
      </w:pPr>
      <w:r>
        <w:rPr>
          <w:rFonts w:ascii="Cambria Math" w:hAnsi="Cambria Math"/>
          <w:b/>
          <w:sz w:val="22"/>
          <w:szCs w:val="22"/>
        </w:rPr>
        <w:t>Anexos</w:t>
      </w:r>
    </w:p>
    <w:p w14:paraId="44C6EC85" w14:textId="77777777" w:rsidR="00D87264" w:rsidRDefault="00D87264" w:rsidP="00D87264">
      <w:pPr>
        <w:pStyle w:val="NormalWeb"/>
        <w:spacing w:before="0" w:beforeAutospacing="0" w:after="0" w:afterAutospacing="0"/>
        <w:rPr>
          <w:rFonts w:ascii="Cambria Math" w:hAnsi="Cambria Math"/>
          <w:b/>
          <w:sz w:val="22"/>
          <w:szCs w:val="22"/>
        </w:rPr>
      </w:pPr>
    </w:p>
    <w:p w14:paraId="1215B7A6" w14:textId="43396E29" w:rsidR="008F1461" w:rsidRPr="004D71ED" w:rsidRDefault="00D87264" w:rsidP="0085692C">
      <w:pPr>
        <w:pStyle w:val="Negrita"/>
        <w:rPr>
          <w:rFonts w:asciiTheme="majorHAnsi" w:hAnsiTheme="majorHAnsi"/>
          <w:sz w:val="24"/>
        </w:rPr>
      </w:pPr>
      <w:r>
        <w:rPr>
          <w:rFonts w:ascii="Cambria Math" w:hAnsi="Cambria Math"/>
          <w:b w:val="0"/>
          <w:szCs w:val="22"/>
        </w:rPr>
        <w:object w:dxaOrig="1531" w:dyaOrig="1002" w14:anchorId="3671D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95pt" o:ole="">
            <v:imagedata r:id="rId13" o:title=""/>
          </v:shape>
          <o:OLEObject Type="Embed" ProgID="AcroExch.Document.DC" ShapeID="_x0000_i1025" DrawAspect="Icon" ObjectID="_1511859805" r:id="rId14"/>
        </w:object>
      </w:r>
    </w:p>
    <w:p w14:paraId="66331692" w14:textId="77777777" w:rsidR="004D71ED" w:rsidRPr="004D71ED" w:rsidRDefault="00E706DC" w:rsidP="004D71ED">
      <w:pPr>
        <w:pStyle w:val="NormalWeb"/>
        <w:spacing w:before="0" w:beforeAutospacing="0" w:after="0" w:afterAutospacing="0"/>
        <w:rPr>
          <w:rFonts w:asciiTheme="majorHAnsi" w:eastAsia="Calibri" w:hAnsiTheme="majorHAnsi"/>
          <w:b/>
          <w:color w:val="181818"/>
          <w:lang w:val="es-CR" w:eastAsia="en-US"/>
        </w:rPr>
      </w:pPr>
      <w:sdt>
        <w:sdtPr>
          <w:rPr>
            <w:rFonts w:asciiTheme="majorHAnsi" w:eastAsia="Calibri" w:hAnsiTheme="majorHAnsi"/>
            <w:b/>
            <w:color w:val="181818"/>
            <w:lang w:val="es-CR" w:eastAsia="en-US"/>
          </w:rPr>
          <w:alias w:val="Unidad generadora"/>
          <w:tag w:val="unidad generadora"/>
          <w:id w:val="11415835"/>
          <w:placeholder>
            <w:docPart w:val="A6B876332E254EF5B284EF2A155A777E"/>
          </w:placeholder>
        </w:sdtPr>
        <w:sdtEndPr/>
        <w:sdtContent>
          <w:r w:rsidR="004D71ED" w:rsidRPr="004D71ED">
            <w:rPr>
              <w:rFonts w:asciiTheme="majorHAnsi" w:eastAsia="Calibri" w:hAnsiTheme="majorHAnsi"/>
              <w:b/>
              <w:color w:val="181818"/>
              <w:lang w:val="es-CR" w:eastAsia="en-US"/>
            </w:rPr>
            <w:t>Dirección de Departamento de Normas</w:t>
          </w:r>
        </w:sdtContent>
      </w:sdt>
      <w:r w:rsidR="004D71ED" w:rsidRPr="004D71ED">
        <w:rPr>
          <w:rFonts w:asciiTheme="majorHAnsi" w:eastAsia="Calibri" w:hAnsiTheme="majorHAnsi"/>
          <w:b/>
          <w:color w:val="181818"/>
          <w:lang w:val="es-CR" w:eastAsia="en-US"/>
        </w:rPr>
        <w:t xml:space="preserve"> </w:t>
      </w:r>
    </w:p>
    <w:p w14:paraId="50F5D2E1" w14:textId="7E01ED59" w:rsidR="004D71ED" w:rsidRPr="004D71ED" w:rsidRDefault="004D71ED" w:rsidP="004D71ED">
      <w:pPr>
        <w:rPr>
          <w:rFonts w:asciiTheme="majorHAnsi" w:eastAsia="Calibri" w:hAnsiTheme="majorHAnsi"/>
          <w:color w:val="181818"/>
          <w:sz w:val="24"/>
          <w:lang w:val="es-CR"/>
        </w:rPr>
      </w:pPr>
      <w:r w:rsidRPr="004D71ED">
        <w:rPr>
          <w:rFonts w:asciiTheme="majorHAnsi" w:eastAsia="Calibri" w:hAnsiTheme="majorHAnsi"/>
          <w:color w:val="181818"/>
          <w:sz w:val="24"/>
          <w:lang w:val="es-CR"/>
        </w:rPr>
        <w:t>Categoría: Derogatoria de Circular Externa SUGEF 021-2008</w:t>
      </w:r>
    </w:p>
    <w:p w14:paraId="01A7D48A" w14:textId="77777777" w:rsidR="004D71ED" w:rsidRPr="004D71ED" w:rsidRDefault="004D71ED" w:rsidP="004D71ED">
      <w:pPr>
        <w:rPr>
          <w:rFonts w:asciiTheme="majorHAnsi" w:eastAsia="Calibri" w:hAnsiTheme="majorHAnsi"/>
          <w:color w:val="181818"/>
          <w:sz w:val="24"/>
          <w:lang w:val="es-CR"/>
        </w:rPr>
      </w:pPr>
      <w:r w:rsidRPr="004D71ED">
        <w:rPr>
          <w:rFonts w:asciiTheme="majorHAnsi" w:eastAsia="Calibri" w:hAnsiTheme="majorHAnsi"/>
          <w:color w:val="181818"/>
          <w:sz w:val="24"/>
          <w:lang w:val="es-CR"/>
        </w:rPr>
        <w:t>GAA/GAM/CRC/gvl</w:t>
      </w:r>
    </w:p>
    <w:p w14:paraId="1E915A99" w14:textId="77777777" w:rsidR="00A26E9E" w:rsidRPr="004D71ED" w:rsidRDefault="00A26E9E" w:rsidP="004D71ED">
      <w:pPr>
        <w:pStyle w:val="Negrita"/>
        <w:rPr>
          <w:rFonts w:asciiTheme="majorHAnsi" w:hAnsiTheme="majorHAnsi"/>
          <w:sz w:val="24"/>
        </w:rPr>
      </w:pPr>
    </w:p>
    <w:sectPr w:rsidR="00A26E9E" w:rsidRPr="004D71ED"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ACCFA" w14:textId="77777777" w:rsidR="00E706DC" w:rsidRDefault="00E706DC" w:rsidP="00D43D57">
      <w:r>
        <w:separator/>
      </w:r>
    </w:p>
  </w:endnote>
  <w:endnote w:type="continuationSeparator" w:id="0">
    <w:p w14:paraId="30F7CAE1" w14:textId="77777777" w:rsidR="00E706DC" w:rsidRDefault="00E706DC"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9BEE1"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277A1863" w14:textId="77777777" w:rsidTr="008F1461">
      <w:trPr>
        <w:trHeight w:val="546"/>
      </w:trPr>
      <w:tc>
        <w:tcPr>
          <w:tcW w:w="3189" w:type="dxa"/>
          <w:shd w:val="clear" w:color="auto" w:fill="FFFFFF"/>
          <w:vAlign w:val="center"/>
        </w:tcPr>
        <w:p w14:paraId="0F6C7EEE" w14:textId="77777777" w:rsidR="008F1461" w:rsidRDefault="008F1461" w:rsidP="000C62BB">
          <w:pPr>
            <w:pStyle w:val="Piepagina"/>
          </w:pPr>
          <w:r>
            <w:rPr>
              <w:b/>
              <w:bCs/>
            </w:rPr>
            <w:t>Teléfono</w:t>
          </w:r>
          <w:r>
            <w:t xml:space="preserve">   (506) 2243-4848</w:t>
          </w:r>
        </w:p>
        <w:p w14:paraId="504E24FC"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60EDBE0C" w14:textId="77777777" w:rsidR="008F1461" w:rsidRDefault="008F1461" w:rsidP="000C62BB">
          <w:pPr>
            <w:pStyle w:val="Piepagina"/>
          </w:pPr>
          <w:r>
            <w:rPr>
              <w:b/>
              <w:bCs/>
            </w:rPr>
            <w:t>Apartado</w:t>
          </w:r>
          <w:r>
            <w:t xml:space="preserve"> 2762-1000</w:t>
          </w:r>
        </w:p>
        <w:p w14:paraId="1BA0BEC8" w14:textId="77777777" w:rsidR="008F1461" w:rsidRDefault="008F1461" w:rsidP="000C62BB">
          <w:pPr>
            <w:pStyle w:val="Piepagina"/>
          </w:pPr>
          <w:r>
            <w:t>San José, Costa Rica</w:t>
          </w:r>
        </w:p>
      </w:tc>
      <w:tc>
        <w:tcPr>
          <w:tcW w:w="2410" w:type="dxa"/>
          <w:shd w:val="clear" w:color="auto" w:fill="FFFFFF"/>
          <w:vAlign w:val="center"/>
        </w:tcPr>
        <w:p w14:paraId="00C3D221" w14:textId="77777777" w:rsidR="008F1461" w:rsidRDefault="008F1461" w:rsidP="000C62BB">
          <w:pPr>
            <w:pStyle w:val="Piepagina"/>
          </w:pPr>
          <w:r>
            <w:t>www.sugef.fi.cr</w:t>
          </w:r>
        </w:p>
        <w:p w14:paraId="7360FCCC" w14:textId="77777777" w:rsidR="008F1461" w:rsidRDefault="008F1461" w:rsidP="000C62BB">
          <w:pPr>
            <w:pStyle w:val="Piepagina"/>
          </w:pPr>
          <w:r>
            <w:t>sugefcr@sugef.fi.cr</w:t>
          </w:r>
        </w:p>
      </w:tc>
      <w:tc>
        <w:tcPr>
          <w:tcW w:w="260" w:type="dxa"/>
          <w:shd w:val="clear" w:color="auto" w:fill="FFFFFF"/>
        </w:tcPr>
        <w:p w14:paraId="6ACF22E2" w14:textId="77777777" w:rsidR="008F1461" w:rsidRDefault="008F1461" w:rsidP="000C62BB">
          <w:pPr>
            <w:pStyle w:val="Piepagina"/>
          </w:pPr>
          <w:r>
            <w:fldChar w:fldCharType="begin"/>
          </w:r>
          <w:r>
            <w:instrText>PAGE   \* MERGEFORMAT</w:instrText>
          </w:r>
          <w:r>
            <w:fldChar w:fldCharType="separate"/>
          </w:r>
          <w:r w:rsidR="002A06FE">
            <w:rPr>
              <w:noProof/>
            </w:rPr>
            <w:t>2</w:t>
          </w:r>
          <w:r>
            <w:fldChar w:fldCharType="end"/>
          </w:r>
        </w:p>
      </w:tc>
    </w:tr>
  </w:tbl>
  <w:p w14:paraId="1206512E" w14:textId="77777777" w:rsidR="00590F07" w:rsidRPr="000C62BB" w:rsidRDefault="00590F07">
    <w:pPr>
      <w:pStyle w:val="Piedepgina"/>
      <w:jc w:val="right"/>
      <w:rPr>
        <w:color w:val="969696"/>
        <w:sz w:val="20"/>
        <w:szCs w:val="20"/>
      </w:rPr>
    </w:pPr>
  </w:p>
  <w:p w14:paraId="17650291"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5DCB8"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0B895B47" wp14:editId="2F7F5CFB">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441EC6C6" wp14:editId="6BBC7F9B">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849CE" w14:textId="77777777" w:rsidR="001C075B" w:rsidRPr="00FA54DF" w:rsidRDefault="001C075B">
                          <w:pPr>
                            <w:rPr>
                              <w:color w:val="003A68"/>
                              <w:sz w:val="14"/>
                              <w:szCs w:val="14"/>
                            </w:rPr>
                          </w:pPr>
                          <w:r w:rsidRPr="00FA54DF">
                            <w:rPr>
                              <w:color w:val="003A68"/>
                              <w:sz w:val="14"/>
                              <w:szCs w:val="14"/>
                            </w:rPr>
                            <w:t xml:space="preserve">T. (506) 2243-3631   </w:t>
                          </w:r>
                        </w:p>
                        <w:p w14:paraId="56B43E46" w14:textId="77777777" w:rsidR="001C075B" w:rsidRPr="00FA54DF" w:rsidRDefault="001C075B">
                          <w:pPr>
                            <w:rPr>
                              <w:color w:val="003A68"/>
                              <w:sz w:val="14"/>
                              <w:szCs w:val="14"/>
                            </w:rPr>
                          </w:pPr>
                          <w:r w:rsidRPr="00FA54DF">
                            <w:rPr>
                              <w:color w:val="003A68"/>
                              <w:sz w:val="14"/>
                              <w:szCs w:val="14"/>
                            </w:rPr>
                            <w:t xml:space="preserve">F. (506) 2243-4579   </w:t>
                          </w:r>
                        </w:p>
                        <w:p w14:paraId="5BC5E67C" w14:textId="77777777" w:rsidR="001C075B" w:rsidRDefault="001C075B">
                          <w:pPr>
                            <w:rPr>
                              <w:color w:val="003A68"/>
                              <w:sz w:val="14"/>
                              <w:szCs w:val="14"/>
                            </w:rPr>
                          </w:pPr>
                          <w:r w:rsidRPr="00FA54DF">
                            <w:rPr>
                              <w:color w:val="003A68"/>
                              <w:sz w:val="14"/>
                              <w:szCs w:val="14"/>
                            </w:rPr>
                            <w:t>Apdo. 10058-1000</w:t>
                          </w:r>
                        </w:p>
                        <w:p w14:paraId="522801D5" w14:textId="77777777" w:rsidR="001C075B" w:rsidRDefault="001C075B">
                          <w:pPr>
                            <w:rPr>
                              <w:color w:val="003A68"/>
                              <w:sz w:val="14"/>
                              <w:szCs w:val="14"/>
                            </w:rPr>
                          </w:pPr>
                          <w:r w:rsidRPr="00FA54DF">
                            <w:rPr>
                              <w:color w:val="003A68"/>
                              <w:sz w:val="14"/>
                              <w:szCs w:val="14"/>
                            </w:rPr>
                            <w:t>Av. 1 y Central, Calles 2 y 4</w:t>
                          </w:r>
                        </w:p>
                        <w:p w14:paraId="63DB1999"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C6C6"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397849CE" w14:textId="77777777" w:rsidR="001C075B" w:rsidRPr="00FA54DF" w:rsidRDefault="001C075B">
                    <w:pPr>
                      <w:rPr>
                        <w:color w:val="003A68"/>
                        <w:sz w:val="14"/>
                        <w:szCs w:val="14"/>
                      </w:rPr>
                    </w:pPr>
                    <w:r w:rsidRPr="00FA54DF">
                      <w:rPr>
                        <w:color w:val="003A68"/>
                        <w:sz w:val="14"/>
                        <w:szCs w:val="14"/>
                      </w:rPr>
                      <w:t xml:space="preserve">T. (506) 2243-3631   </w:t>
                    </w:r>
                  </w:p>
                  <w:p w14:paraId="56B43E46" w14:textId="77777777" w:rsidR="001C075B" w:rsidRPr="00FA54DF" w:rsidRDefault="001C075B">
                    <w:pPr>
                      <w:rPr>
                        <w:color w:val="003A68"/>
                        <w:sz w:val="14"/>
                        <w:szCs w:val="14"/>
                      </w:rPr>
                    </w:pPr>
                    <w:r w:rsidRPr="00FA54DF">
                      <w:rPr>
                        <w:color w:val="003A68"/>
                        <w:sz w:val="14"/>
                        <w:szCs w:val="14"/>
                      </w:rPr>
                      <w:t xml:space="preserve">F. (506) 2243-4579   </w:t>
                    </w:r>
                  </w:p>
                  <w:p w14:paraId="5BC5E67C" w14:textId="77777777" w:rsidR="001C075B" w:rsidRDefault="001C075B">
                    <w:pPr>
                      <w:rPr>
                        <w:color w:val="003A68"/>
                        <w:sz w:val="14"/>
                        <w:szCs w:val="14"/>
                      </w:rPr>
                    </w:pPr>
                    <w:r w:rsidRPr="00FA54DF">
                      <w:rPr>
                        <w:color w:val="003A68"/>
                        <w:sz w:val="14"/>
                        <w:szCs w:val="14"/>
                      </w:rPr>
                      <w:t>Apdo. 10058-1000</w:t>
                    </w:r>
                  </w:p>
                  <w:p w14:paraId="522801D5" w14:textId="77777777" w:rsidR="001C075B" w:rsidRDefault="001C075B">
                    <w:pPr>
                      <w:rPr>
                        <w:color w:val="003A68"/>
                        <w:sz w:val="14"/>
                        <w:szCs w:val="14"/>
                      </w:rPr>
                    </w:pPr>
                    <w:r w:rsidRPr="00FA54DF">
                      <w:rPr>
                        <w:color w:val="003A68"/>
                        <w:sz w:val="14"/>
                        <w:szCs w:val="14"/>
                      </w:rPr>
                      <w:t>Av. 1 y Central, Calles 2 y 4</w:t>
                    </w:r>
                  </w:p>
                  <w:p w14:paraId="63DB1999" w14:textId="77777777" w:rsidR="001C075B" w:rsidRPr="00FA54DF" w:rsidRDefault="001C075B">
                    <w:pPr>
                      <w:rPr>
                        <w:color w:val="003A68"/>
                        <w:sz w:val="14"/>
                        <w:szCs w:val="14"/>
                      </w:rPr>
                    </w:pPr>
                  </w:p>
                </w:txbxContent>
              </v:textbox>
            </v:shape>
          </w:pict>
        </mc:Fallback>
      </mc:AlternateContent>
    </w:r>
  </w:p>
  <w:p w14:paraId="27014487" w14:textId="77777777" w:rsidR="001C075B" w:rsidRPr="00D43D57" w:rsidRDefault="001C075B" w:rsidP="008C0BF0">
    <w:pPr>
      <w:pStyle w:val="Piepagina"/>
      <w:jc w:val="center"/>
    </w:pPr>
  </w:p>
  <w:p w14:paraId="76AEC608"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98C5F" w14:textId="77777777" w:rsidR="00E706DC" w:rsidRDefault="00E706DC" w:rsidP="00D43D57">
      <w:r>
        <w:separator/>
      </w:r>
    </w:p>
  </w:footnote>
  <w:footnote w:type="continuationSeparator" w:id="0">
    <w:p w14:paraId="4B777365" w14:textId="77777777" w:rsidR="00E706DC" w:rsidRDefault="00E706DC"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D681C" w14:textId="77777777" w:rsidR="001C075B" w:rsidRDefault="001327EB" w:rsidP="001327EB">
    <w:pPr>
      <w:pStyle w:val="Piedepgina"/>
      <w:jc w:val="center"/>
    </w:pPr>
    <w:r>
      <w:rPr>
        <w:noProof/>
        <w:lang w:val="es-CR" w:eastAsia="es-CR"/>
      </w:rPr>
      <w:drawing>
        <wp:inline distT="0" distB="0" distL="0" distR="0" wp14:anchorId="6179D04F" wp14:editId="1939455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99564"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4525B787" wp14:editId="52FE943A">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4A54DE71"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rPr>
        <w:rFonts w:hint="default"/>
      </w:rPr>
    </w:lvl>
    <w:lvl w:ilvl="3">
      <w:start w:val="1"/>
      <w:numFmt w:val="lowerLetter"/>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3FA26057"/>
    <w:multiLevelType w:val="hybridMultilevel"/>
    <w:tmpl w:val="8F424D06"/>
    <w:lvl w:ilvl="0" w:tplc="4DA4E512">
      <w:start w:val="1"/>
      <w:numFmt w:val="decimal"/>
      <w:lvlText w:val="%1."/>
      <w:lvlJc w:val="left"/>
      <w:pPr>
        <w:ind w:left="324" w:hanging="332"/>
      </w:pPr>
      <w:rPr>
        <w:rFonts w:ascii="Times New Roman" w:eastAsia="Times New Roman" w:hAnsi="Times New Roman" w:hint="default"/>
        <w:w w:val="93"/>
        <w:sz w:val="23"/>
        <w:szCs w:val="23"/>
      </w:rPr>
    </w:lvl>
    <w:lvl w:ilvl="1" w:tplc="670A7A20">
      <w:start w:val="1"/>
      <w:numFmt w:val="upperLetter"/>
      <w:lvlText w:val="%2."/>
      <w:lvlJc w:val="left"/>
      <w:pPr>
        <w:ind w:left="6905" w:hanging="144"/>
      </w:pPr>
      <w:rPr>
        <w:rFonts w:ascii="Times New Roman" w:eastAsia="Times New Roman" w:hAnsi="Times New Roman" w:hint="default"/>
        <w:spacing w:val="-8"/>
        <w:w w:val="68"/>
        <w:sz w:val="19"/>
        <w:szCs w:val="19"/>
      </w:rPr>
    </w:lvl>
    <w:lvl w:ilvl="2" w:tplc="C06691FC">
      <w:start w:val="1"/>
      <w:numFmt w:val="bullet"/>
      <w:lvlText w:val="•"/>
      <w:lvlJc w:val="left"/>
      <w:pPr>
        <w:ind w:left="7155" w:hanging="144"/>
      </w:pPr>
      <w:rPr>
        <w:rFonts w:hint="default"/>
      </w:rPr>
    </w:lvl>
    <w:lvl w:ilvl="3" w:tplc="1C008634">
      <w:start w:val="1"/>
      <w:numFmt w:val="bullet"/>
      <w:lvlText w:val="•"/>
      <w:lvlJc w:val="left"/>
      <w:pPr>
        <w:ind w:left="7406" w:hanging="144"/>
      </w:pPr>
      <w:rPr>
        <w:rFonts w:hint="default"/>
      </w:rPr>
    </w:lvl>
    <w:lvl w:ilvl="4" w:tplc="E8861898">
      <w:start w:val="1"/>
      <w:numFmt w:val="bullet"/>
      <w:lvlText w:val="•"/>
      <w:lvlJc w:val="left"/>
      <w:pPr>
        <w:ind w:left="7657" w:hanging="144"/>
      </w:pPr>
      <w:rPr>
        <w:rFonts w:hint="default"/>
      </w:rPr>
    </w:lvl>
    <w:lvl w:ilvl="5" w:tplc="C85AC160">
      <w:start w:val="1"/>
      <w:numFmt w:val="bullet"/>
      <w:lvlText w:val="•"/>
      <w:lvlJc w:val="left"/>
      <w:pPr>
        <w:ind w:left="7908" w:hanging="144"/>
      </w:pPr>
      <w:rPr>
        <w:rFonts w:hint="default"/>
      </w:rPr>
    </w:lvl>
    <w:lvl w:ilvl="6" w:tplc="183AAF36">
      <w:start w:val="1"/>
      <w:numFmt w:val="bullet"/>
      <w:lvlText w:val="•"/>
      <w:lvlJc w:val="left"/>
      <w:pPr>
        <w:ind w:left="8159" w:hanging="144"/>
      </w:pPr>
      <w:rPr>
        <w:rFonts w:hint="default"/>
      </w:rPr>
    </w:lvl>
    <w:lvl w:ilvl="7" w:tplc="4AF625C2">
      <w:start w:val="1"/>
      <w:numFmt w:val="bullet"/>
      <w:lvlText w:val="•"/>
      <w:lvlJc w:val="left"/>
      <w:pPr>
        <w:ind w:left="8410" w:hanging="144"/>
      </w:pPr>
      <w:rPr>
        <w:rFonts w:hint="default"/>
      </w:rPr>
    </w:lvl>
    <w:lvl w:ilvl="8" w:tplc="F084AAB4">
      <w:start w:val="1"/>
      <w:numFmt w:val="bullet"/>
      <w:lvlText w:val="•"/>
      <w:lvlJc w:val="left"/>
      <w:pPr>
        <w:ind w:left="8661" w:hanging="144"/>
      </w:pPr>
      <w:rPr>
        <w:rFonts w:hint="default"/>
      </w:r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6A3136EA"/>
    <w:multiLevelType w:val="hybridMultilevel"/>
    <w:tmpl w:val="F5F2C80E"/>
    <w:lvl w:ilvl="0" w:tplc="4DA4E512">
      <w:start w:val="1"/>
      <w:numFmt w:val="decimal"/>
      <w:lvlText w:val="%1."/>
      <w:lvlJc w:val="left"/>
      <w:pPr>
        <w:ind w:left="332" w:hanging="332"/>
      </w:pPr>
      <w:rPr>
        <w:rFonts w:ascii="Times New Roman" w:eastAsia="Times New Roman" w:hAnsi="Times New Roman" w:hint="default"/>
        <w:w w:val="93"/>
        <w:sz w:val="23"/>
        <w:szCs w:val="23"/>
      </w:rPr>
    </w:lvl>
    <w:lvl w:ilvl="1" w:tplc="04090019" w:tentative="1">
      <w:start w:val="1"/>
      <w:numFmt w:val="lowerLetter"/>
      <w:lvlText w:val="%2."/>
      <w:lvlJc w:val="left"/>
      <w:pPr>
        <w:ind w:left="912" w:hanging="360"/>
      </w:pPr>
    </w:lvl>
    <w:lvl w:ilvl="2" w:tplc="0409001B" w:tentative="1">
      <w:start w:val="1"/>
      <w:numFmt w:val="lowerRoman"/>
      <w:lvlText w:val="%3."/>
      <w:lvlJc w:val="right"/>
      <w:pPr>
        <w:ind w:left="1632" w:hanging="180"/>
      </w:pPr>
    </w:lvl>
    <w:lvl w:ilvl="3" w:tplc="0409000F" w:tentative="1">
      <w:start w:val="1"/>
      <w:numFmt w:val="decimal"/>
      <w:lvlText w:val="%4."/>
      <w:lvlJc w:val="left"/>
      <w:pPr>
        <w:ind w:left="2352" w:hanging="360"/>
      </w:pPr>
    </w:lvl>
    <w:lvl w:ilvl="4" w:tplc="04090019" w:tentative="1">
      <w:start w:val="1"/>
      <w:numFmt w:val="lowerLetter"/>
      <w:lvlText w:val="%5."/>
      <w:lvlJc w:val="left"/>
      <w:pPr>
        <w:ind w:left="3072" w:hanging="360"/>
      </w:pPr>
    </w:lvl>
    <w:lvl w:ilvl="5" w:tplc="0409001B" w:tentative="1">
      <w:start w:val="1"/>
      <w:numFmt w:val="lowerRoman"/>
      <w:lvlText w:val="%6."/>
      <w:lvlJc w:val="right"/>
      <w:pPr>
        <w:ind w:left="3792" w:hanging="180"/>
      </w:pPr>
    </w:lvl>
    <w:lvl w:ilvl="6" w:tplc="0409000F" w:tentative="1">
      <w:start w:val="1"/>
      <w:numFmt w:val="decimal"/>
      <w:lvlText w:val="%7."/>
      <w:lvlJc w:val="left"/>
      <w:pPr>
        <w:ind w:left="4512" w:hanging="360"/>
      </w:pPr>
    </w:lvl>
    <w:lvl w:ilvl="7" w:tplc="04090019" w:tentative="1">
      <w:start w:val="1"/>
      <w:numFmt w:val="lowerLetter"/>
      <w:lvlText w:val="%8."/>
      <w:lvlJc w:val="left"/>
      <w:pPr>
        <w:ind w:left="5232" w:hanging="360"/>
      </w:pPr>
    </w:lvl>
    <w:lvl w:ilvl="8" w:tplc="0409001B" w:tentative="1">
      <w:start w:val="1"/>
      <w:numFmt w:val="lowerRoman"/>
      <w:lvlText w:val="%9."/>
      <w:lvlJc w:val="right"/>
      <w:pPr>
        <w:ind w:left="5952" w:hanging="180"/>
      </w:p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ED"/>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45B7"/>
    <w:rsid w:val="002A06FE"/>
    <w:rsid w:val="002C56A4"/>
    <w:rsid w:val="002E2B0A"/>
    <w:rsid w:val="002E3589"/>
    <w:rsid w:val="002E56D1"/>
    <w:rsid w:val="002E571B"/>
    <w:rsid w:val="002F08D5"/>
    <w:rsid w:val="003060E2"/>
    <w:rsid w:val="00310570"/>
    <w:rsid w:val="00317BBB"/>
    <w:rsid w:val="00320E1C"/>
    <w:rsid w:val="00322A87"/>
    <w:rsid w:val="003267FB"/>
    <w:rsid w:val="003312B8"/>
    <w:rsid w:val="003503A2"/>
    <w:rsid w:val="003554C5"/>
    <w:rsid w:val="00365794"/>
    <w:rsid w:val="00373B22"/>
    <w:rsid w:val="003806D0"/>
    <w:rsid w:val="00385CC2"/>
    <w:rsid w:val="003C4C71"/>
    <w:rsid w:val="003E4EDB"/>
    <w:rsid w:val="00410551"/>
    <w:rsid w:val="00414B77"/>
    <w:rsid w:val="00427002"/>
    <w:rsid w:val="00447A41"/>
    <w:rsid w:val="00462C92"/>
    <w:rsid w:val="004822E6"/>
    <w:rsid w:val="00492FE3"/>
    <w:rsid w:val="004D71ED"/>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397B"/>
    <w:rsid w:val="007455FF"/>
    <w:rsid w:val="0075423B"/>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E2CF5"/>
    <w:rsid w:val="00D03728"/>
    <w:rsid w:val="00D06E99"/>
    <w:rsid w:val="00D102F8"/>
    <w:rsid w:val="00D10AD8"/>
    <w:rsid w:val="00D2424F"/>
    <w:rsid w:val="00D26EDE"/>
    <w:rsid w:val="00D32808"/>
    <w:rsid w:val="00D43D57"/>
    <w:rsid w:val="00D44EF3"/>
    <w:rsid w:val="00D45FC0"/>
    <w:rsid w:val="00D54C08"/>
    <w:rsid w:val="00D55CA3"/>
    <w:rsid w:val="00D87264"/>
    <w:rsid w:val="00D96D0A"/>
    <w:rsid w:val="00DB3508"/>
    <w:rsid w:val="00DB3E70"/>
    <w:rsid w:val="00DC2193"/>
    <w:rsid w:val="00DC3B8E"/>
    <w:rsid w:val="00DC6056"/>
    <w:rsid w:val="00DE08C6"/>
    <w:rsid w:val="00E11252"/>
    <w:rsid w:val="00E13C47"/>
    <w:rsid w:val="00E5185D"/>
    <w:rsid w:val="00E706DC"/>
    <w:rsid w:val="00E75AC8"/>
    <w:rsid w:val="00E82177"/>
    <w:rsid w:val="00EB4E27"/>
    <w:rsid w:val="00EB71D8"/>
    <w:rsid w:val="00EC2E48"/>
    <w:rsid w:val="00ED0FDD"/>
    <w:rsid w:val="00EE00D4"/>
    <w:rsid w:val="00EE3A47"/>
    <w:rsid w:val="00EF0C8B"/>
    <w:rsid w:val="00F10AFE"/>
    <w:rsid w:val="00F1102D"/>
    <w:rsid w:val="00F1297C"/>
    <w:rsid w:val="00F12A97"/>
    <w:rsid w:val="00F141CE"/>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BF06FB"/>
  <w15:docId w15:val="{DF5A11CE-F07F-43E1-A063-B5AB4CD5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paragraph" w:styleId="Prrafodelista">
    <w:name w:val="List Paragraph"/>
    <w:basedOn w:val="Normal"/>
    <w:link w:val="PrrafodelistaCar"/>
    <w:uiPriority w:val="1"/>
    <w:qFormat/>
    <w:locked/>
    <w:rsid w:val="004D71ED"/>
    <w:pPr>
      <w:spacing w:line="240" w:lineRule="auto"/>
      <w:ind w:left="720"/>
      <w:contextualSpacing/>
      <w:jc w:val="left"/>
    </w:pPr>
    <w:rPr>
      <w:rFonts w:ascii="Times New Roman" w:eastAsia="MS Mincho" w:hAnsi="Times New Roman"/>
      <w:sz w:val="24"/>
      <w:lang w:eastAsia="es-ES"/>
    </w:rPr>
  </w:style>
  <w:style w:type="character" w:customStyle="1" w:styleId="PrrafodelistaCar">
    <w:name w:val="Párrafo de lista Car"/>
    <w:link w:val="Prrafodelista"/>
    <w:uiPriority w:val="34"/>
    <w:locked/>
    <w:rsid w:val="004D71ED"/>
    <w:rPr>
      <w:rFonts w:ascii="Times New Roman" w:eastAsia="MS Mincho" w:hAnsi="Times New Roman"/>
      <w:sz w:val="24"/>
      <w:szCs w:val="24"/>
      <w:lang w:val="es-ES" w:eastAsia="es-ES"/>
    </w:rPr>
  </w:style>
  <w:style w:type="paragraph" w:styleId="NormalWeb">
    <w:name w:val="Normal (Web)"/>
    <w:basedOn w:val="Normal"/>
    <w:locked/>
    <w:rsid w:val="004D71ED"/>
    <w:pPr>
      <w:spacing w:before="100" w:beforeAutospacing="1" w:after="100" w:afterAutospacing="1" w:line="240" w:lineRule="auto"/>
      <w:jc w:val="left"/>
    </w:pPr>
    <w:rPr>
      <w:rFonts w:ascii="Times New Roman" w:eastAsia="MS Mincho" w:hAnsi="Times New Roman"/>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Forms/SUGEF%20trabajo/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5C5FA4A1CC4E3AB1FC51F8411D08C3"/>
        <w:category>
          <w:name w:val="General"/>
          <w:gallery w:val="placeholder"/>
        </w:category>
        <w:types>
          <w:type w:val="bbPlcHdr"/>
        </w:types>
        <w:behaviors>
          <w:behavior w:val="content"/>
        </w:behaviors>
        <w:guid w:val="{D1ACB1F7-06CE-41D8-B09E-E45C66AE12A5}"/>
      </w:docPartPr>
      <w:docPartBody>
        <w:p w:rsidR="00AF67BC" w:rsidRDefault="007D53AB" w:rsidP="007D53AB">
          <w:pPr>
            <w:pStyle w:val="085C5FA4A1CC4E3AB1FC51F8411D08C3"/>
          </w:pPr>
          <w:r w:rsidRPr="00016D12">
            <w:rPr>
              <w:rStyle w:val="Textodelmarcadordeposicin"/>
            </w:rPr>
            <w:t>Haga clic aquí para escribir texto.</w:t>
          </w:r>
        </w:p>
      </w:docPartBody>
    </w:docPart>
    <w:docPart>
      <w:docPartPr>
        <w:name w:val="A6B876332E254EF5B284EF2A155A777E"/>
        <w:category>
          <w:name w:val="General"/>
          <w:gallery w:val="placeholder"/>
        </w:category>
        <w:types>
          <w:type w:val="bbPlcHdr"/>
        </w:types>
        <w:behaviors>
          <w:behavior w:val="content"/>
        </w:behaviors>
        <w:guid w:val="{BA2A9DD3-878B-478A-9C2D-F497AD5C4FC5}"/>
      </w:docPartPr>
      <w:docPartBody>
        <w:p w:rsidR="00AF67BC" w:rsidRDefault="007D53AB" w:rsidP="007D53AB">
          <w:pPr>
            <w:pStyle w:val="A6B876332E254EF5B284EF2A155A777E"/>
          </w:pPr>
          <w:r w:rsidRPr="00016D12">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AB"/>
    <w:rsid w:val="00194868"/>
    <w:rsid w:val="00225BEA"/>
    <w:rsid w:val="007D53AB"/>
    <w:rsid w:val="00AF67B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D53AB"/>
    <w:rPr>
      <w:color w:val="808080"/>
    </w:rPr>
  </w:style>
  <w:style w:type="paragraph" w:customStyle="1" w:styleId="085C5FA4A1CC4E3AB1FC51F8411D08C3">
    <w:name w:val="085C5FA4A1CC4E3AB1FC51F8411D08C3"/>
    <w:rsid w:val="007D53AB"/>
  </w:style>
  <w:style w:type="paragraph" w:customStyle="1" w:styleId="A6B876332E254EF5B284EF2A155A777E">
    <w:name w:val="A6B876332E254EF5B284EF2A155A777E"/>
    <w:rsid w:val="007D5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sdRlu4WEWXeq3EPeLwtzdvivuGc=</DigestValue>
    </Reference>
    <Reference Type="http://www.w3.org/2000/09/xmldsig#Object" URI="#idOfficeObject">
      <DigestMethod Algorithm="http://www.w3.org/2000/09/xmldsig#sha1"/>
      <DigestValue>+Nletg3/JVmS04tBRdFoD2mGcwQ=</DigestValue>
    </Reference>
    <Reference Type="http://uri.etsi.org/01903#SignedProperties" URI="#idSignedProperties">
      <Transforms>
        <Transform Algorithm="http://www.w3.org/TR/2001/REC-xml-c14n-20010315"/>
      </Transforms>
      <DigestMethod Algorithm="http://www.w3.org/2000/09/xmldsig#sha1"/>
      <DigestValue>gGECXYQCbZUu3pYoAaimkHuL1Mw=</DigestValue>
    </Reference>
  </SignedInfo>
  <SignatureValue>uqk4q8x7bPczakq74NEdCZ4EIHHdN0F9XLhRJI/cgYVTW9OZKYuMVdR+fb4Uog3t3lzKmoSTFmOc
l0gQIZQQcURe3hT/FJpIdtN6TQib09u08dvqci/IW35qsms7y2SPZyVOcd6UBdZ0iu4AnQ5r8T67
2YlxYuObhk2Ho+YZioG/IiqFY5zCfgLG/9O4HT46J5se3lFL9wt3Q1Shl03W+0xmDem9TBUTxRsy
U7QK6og1TxR4AXhm81wvINNC6JTkOpE5CD/kxLbGnHXjYjTum5nRKDqaz21nFIrB0pDNs9s+3W3M
M20gqEGiiV+L1zzwBytb4rVj/m+ishZWoHffNg==</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0/09/xmldsig#sha1"/>
        <DigestValue>PUWKzrEYTpcfHkPMAlcNNY2JVCY=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sSixUOE/WoON2cEUmmFijByIlm4=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/ZT7lzkBKjGpbWyeQ2JFoWG14aQ=</DigestValue>
      </Reference>
      <Reference URI="/word/document.xml?ContentType=application/vnd.openxmlformats-officedocument.wordprocessingml.document.main+xml">
        <DigestMethod Algorithm="http://www.w3.org/2000/09/xmldsig#sha1"/>
        <DigestValue>p9JOtjce07OlvIeXXobz+LDPMLc=</DigestValue>
      </Reference>
      <Reference URI="/word/embeddings/oleObject1.bin?ContentType=application/vnd.openxmlformats-officedocument.oleObject">
        <DigestMethod Algorithm="http://www.w3.org/2000/09/xmldsig#sha1"/>
        <DigestValue>5jt1XSQKvCYfrj/UjkUR4hLxD0w=</DigestValue>
      </Reference>
      <Reference URI="/word/endnotes.xml?ContentType=application/vnd.openxmlformats-officedocument.wordprocessingml.endnotes+xml">
        <DigestMethod Algorithm="http://www.w3.org/2000/09/xmldsig#sha1"/>
        <DigestValue>nq1puf2xaoQQcwqI3v5p7zRvSZs=</DigestValue>
      </Reference>
      <Reference URI="/word/fontTable.xml?ContentType=application/vnd.openxmlformats-officedocument.wordprocessingml.fontTable+xml">
        <DigestMethod Algorithm="http://www.w3.org/2000/09/xmldsig#sha1"/>
        <DigestValue>vIBPisuNAqzxB+tQp1fhejw1tUg=</DigestValue>
      </Reference>
      <Reference URI="/word/footer1.xml?ContentType=application/vnd.openxmlformats-officedocument.wordprocessingml.footer+xml">
        <DigestMethod Algorithm="http://www.w3.org/2000/09/xmldsig#sha1"/>
        <DigestValue>sOIvOafGYpQ8fTpnub1+vwGFgiM=</DigestValue>
      </Reference>
      <Reference URI="/word/footer2.xml?ContentType=application/vnd.openxmlformats-officedocument.wordprocessingml.footer+xml">
        <DigestMethod Algorithm="http://www.w3.org/2000/09/xmldsig#sha1"/>
        <DigestValue>5xHu/AVd8r398wPxxwOAr4FJSbQ=</DigestValue>
      </Reference>
      <Reference URI="/word/footnotes.xml?ContentType=application/vnd.openxmlformats-officedocument.wordprocessingml.footnotes+xml">
        <DigestMethod Algorithm="http://www.w3.org/2000/09/xmldsig#sha1"/>
        <DigestValue>FVntsPjp6fy1FqDsdN/trZUIVI8=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Hlf1otL7hA3FFteqFi5/LAKbQYU=</DigestValue>
      </Reference>
      <Reference URI="/word/glossary/fontTable.xml?ContentType=application/vnd.openxmlformats-officedocument.wordprocessingml.fontTable+xml">
        <DigestMethod Algorithm="http://www.w3.org/2000/09/xmldsig#sha1"/>
        <DigestValue>2s7gAAfDlatISJ8UdltQC+AwT0k=</DigestValue>
      </Reference>
      <Reference URI="/word/glossary/settings.xml?ContentType=application/vnd.openxmlformats-officedocument.wordprocessingml.settings+xml">
        <DigestMethod Algorithm="http://www.w3.org/2000/09/xmldsig#sha1"/>
        <DigestValue>7H6Vv6PzxQJqXjGvi3wuixCT/+I=</DigestValue>
      </Reference>
      <Reference URI="/word/glossary/styles.xml?ContentType=application/vnd.openxmlformats-officedocument.wordprocessingml.styles+xml">
        <DigestMethod Algorithm="http://www.w3.org/2000/09/xmldsig#sha1"/>
        <DigestValue>bBxtbqcXIhKccYJOEmPiPGBFtE8=</DigestValue>
      </Reference>
      <Reference URI="/word/glossary/webSettings.xml?ContentType=application/vnd.openxmlformats-officedocument.wordprocessingml.webSettings+xml">
        <DigestMethod Algorithm="http://www.w3.org/2000/09/xmldsig#sha1"/>
        <DigestValue>3JVOoTdOm/LdH4Es4itMnJhpqeU=</DigestValue>
      </Reference>
      <Reference URI="/word/header1.xml?ContentType=application/vnd.openxmlformats-officedocument.wordprocessingml.header+xml">
        <DigestMethod Algorithm="http://www.w3.org/2000/09/xmldsig#sha1"/>
        <DigestValue>ZpcQOPNLsF6xtsKxMxwtq86HUcA=</DigestValue>
      </Reference>
      <Reference URI="/word/header2.xml?ContentType=application/vnd.openxmlformats-officedocument.wordprocessingml.header+xml">
        <DigestMethod Algorithm="http://www.w3.org/2000/09/xmldsig#sha1"/>
        <DigestValue>IvLEQcTnXYhQTiSjv4+9EIMFySY=</DigestValue>
      </Reference>
      <Reference URI="/word/media/image1.jpg?ContentType=image/jpeg">
        <DigestMethod Algorithm="http://www.w3.org/2000/09/xmldsig#sha1"/>
        <DigestValue>WBE2fsmHVGwcKKBQxbSMrwxyzd0=</DigestValue>
      </Reference>
      <Reference URI="/word/media/image2.emf?ContentType=image/x-emf">
        <DigestMethod Algorithm="http://www.w3.org/2000/09/xmldsig#sha1"/>
        <DigestValue>YRrvQeQbV7n0M22WT2PZPHnyC5M=</DigestValue>
      </Reference>
      <Reference URI="/word/media/image3.png?ContentType=image/png">
        <DigestMethod Algorithm="http://www.w3.org/2000/09/xmldsig#sha1"/>
        <DigestValue>xqOBhFuPeqMghHzp2yf95n6b0Eo=</DigestValue>
      </Reference>
      <Reference URI="/word/media/image4.png?ContentType=image/png">
        <DigestMethod Algorithm="http://www.w3.org/2000/09/xmldsig#sha1"/>
        <DigestValue>ugf502F9OWENCRXzhnDZtkblBVw=</DigestValue>
      </Reference>
      <Reference URI="/word/media/image5.emf?ContentType=image/x-emf">
        <DigestMethod Algorithm="http://www.w3.org/2000/09/xmldsig#sha1"/>
        <DigestValue>GoPcGkLSV4myQ+cl82LPPkibvG0=</DigestValue>
      </Reference>
      <Reference URI="/word/numbering.xml?ContentType=application/vnd.openxmlformats-officedocument.wordprocessingml.numbering+xml">
        <DigestMethod Algorithm="http://www.w3.org/2000/09/xmldsig#sha1"/>
        <DigestValue>CL6pubsMJ7QQgXAXQCOZYa3SLF0=</DigestValue>
      </Reference>
      <Reference URI="/word/settings.xml?ContentType=application/vnd.openxmlformats-officedocument.wordprocessingml.settings+xml">
        <DigestMethod Algorithm="http://www.w3.org/2000/09/xmldsig#sha1"/>
        <DigestValue>IzfOPCycjikro+S7Xrc0ZMUkLYQ=</DigestValue>
      </Reference>
      <Reference URI="/word/styles.xml?ContentType=application/vnd.openxmlformats-officedocument.wordprocessingml.styles+xml">
        <DigestMethod Algorithm="http://www.w3.org/2000/09/xmldsig#sha1"/>
        <DigestValue>+FXdk9G8dT1avzEL9TGAW4i/7cw=</DigestValue>
      </Reference>
      <Reference URI="/word/theme/theme1.xml?ContentType=application/vnd.openxmlformats-officedocument.theme+xml">
        <DigestMethod Algorithm="http://www.w3.org/2000/09/xmldsig#sha1"/>
        <DigestValue>afn6CthWEUwqtPMX5ImY3jwVifM=</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2015-12-17T21:18:13Z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2015-12-17T21:18:13Z</xd:SigningTime>
          <xd:SigningCertificate>
            <xd:Cert>
              <xd:CertDigest>
                <DigestMethod Algorithm="http://www.w3.org/2000/09/xmldsig#sha1"/>
                <DigestValue>FogAmwWTxV84Mxlb1H+boYFlWeY=</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Situación_x0020_actual xmlns="b875e23b-67d9-4b2e-bdec-edacbf90b326">Derogatoria de numeral 2 de Circular 21-2008.
Copiar a: Bancos Públicos, Bancos Privados. Genaro Segura, Gilberto Arce.
Enviar solamente a bancos públicos, privados y Banco Popular. No enviar al resto de entidades.</Situación_x0020_actual>
    <Dependencia xmlns="b875e23b-67d9-4b2e-bdec-edacbf90b326"/>
    <Enviado_x0020_por1 xmlns="b875e23b-67d9-4b2e-bdec-edacbf90b326">Normas</Enviado_x0020_por1>
    <KpiDescription xmlns="http://schemas.microsoft.com/sharepoint/v3">3374-2015 
Derogatoria de numeral 2 de Circular 21-2008.</KpiDescription>
    <_Status xmlns="http://schemas.microsoft.com/sharepoint/v3/fields">Para tramitar</_Status>
    <Entrante_x0020_relacionado xmlns="b875e23b-67d9-4b2e-bdec-edacbf90b326">
      <Url xsi:nil="true"/>
      <Description xsi:nil="true"/>
    </Entrante_x0020_relacionado>
    <Secretaria xmlns="b875e23b-67d9-4b2e-bdec-edacbf90b326">
      <UserInfo>
        <DisplayName>Gabriela Vargas Leal</DisplayName>
        <AccountId>120</AccountId>
        <AccountType/>
      </UserInfo>
    </Secretaria>
    <Año xmlns="b875e23b-67d9-4b2e-bdec-edacbf90b326">2015</Año>
    <Entidad_x0020_Financiera xmlns="b875e23b-67d9-4b2e-bdec-edacbf90b326">Bancos Públicos y Privados, incluido Banco Popular</Entidad_x0020_Financiera>
    <Enviado_x0020_por xmlns="b875e23b-67d9-4b2e-bdec-edacbf90b326">Gabriela Vargas Leal</Enviado_x0020_por>
    <Externo_x003f_ xmlns="b875e23b-67d9-4b2e-bdec-edacbf90b326">true</Externo_x003f_>
    <Fecha_x0020_notificación xmlns="b875e23b-67d9-4b2e-bdec-edacbf90b326" xsi:nil="true"/>
    <N_x00b0_Oficio xmlns="b875e23b-67d9-4b2e-bdec-edacbf90b326">3374-2015</N_x00b0_Oficio>
    <Firmantes xmlns="b875e23b-67d9-4b2e-bdec-edacbf90b326">
      <UserInfo>
        <DisplayName>i:0#.w|sugef\jcascante</DisplayName>
        <AccountId>22</AccountId>
        <AccountType/>
      </UserInfo>
    </Firmantes>
    <Firma_x0020_digital_x003f_ xmlns="b875e23b-67d9-4b2e-bdec-edacbf90b326">true</Firma_x0020_digital_x003f_>
    <Firma_x0020_despacho_x003f_ xmlns="b875e23b-67d9-4b2e-bdec-edacbf90b326">true</Firma_x0020_despacho_x003f_>
    <Con_x0020_copia xmlns="b875e23b-67d9-4b2e-bdec-edacbf90b326">
      <UserInfo>
        <DisplayName>i:0#.w|sugef\gsegura</DisplayName>
        <AccountId>146</AccountId>
        <AccountType/>
      </UserInfo>
      <UserInfo>
        <DisplayName>i:0#.w|sugef\garce</DisplayName>
        <AccountId>152</AccountId>
        <AccountType/>
      </UserInfo>
      <UserInfo>
        <DisplayName>i:0#.w|sugef\csancho</DisplayName>
        <AccountId>148</AccountId>
        <AccountType/>
      </UserInfo>
      <UserInfo>
        <DisplayName>i:0#.w|sugef\aarriola</DisplayName>
        <AccountId>145</AccountId>
        <AccountType/>
      </UserInfo>
      <UserInfo>
        <DisplayName>i:0#.w|sugef\mhernandez</DisplayName>
        <AccountId>147</AccountId>
        <AccountType/>
      </UserInfo>
    </Con_x0020_copia>
  </documentManagement>
</p:properties>
</file>

<file path=customXml/item4.xml><?xml version="1.0" encoding="utf-8"?>
<?mso-contentType ?>
<SharedContentType xmlns="Microsoft.SharePoint.Taxonomy.ContentTypeSync" SourceId="031b4bb2-0db7-40b3-a341-fc1511e9642d" ContentTypeId="0x010100693E853EF8C1A34581F50C7740010A8B" PreviousValue="false"/>
</file>

<file path=customXml/item5.xml><?xml version="1.0" encoding="utf-8"?>
<ct:contentTypeSchema xmlns:ct="http://schemas.microsoft.com/office/2006/metadata/contentType" xmlns:ma="http://schemas.microsoft.com/office/2006/metadata/properties/metaAttributes" ct:_="" ma:_="" ma:contentTypeName="SUGEF oficios" ma:contentTypeID="0x010100693E853EF8C1A34581F50C7740010A8B00665458B34368EA438EB6C6D1830E5626" ma:contentTypeVersion="141" ma:contentTypeDescription="" ma:contentTypeScope="" ma:versionID="50ea0eca2ab6ff8e35f91a162668b145">
  <xsd:schema xmlns:xsd="http://www.w3.org/2001/XMLSchema" xmlns:xs="http://www.w3.org/2001/XMLSchema" xmlns:p="http://schemas.microsoft.com/office/2006/metadata/properties" xmlns:ns1="http://schemas.microsoft.com/sharepoint/v3" xmlns:ns2="b875e23b-67d9-4b2e-bdec-edacbf90b326" xmlns:ns3="http://schemas.microsoft.com/sharepoint/v3/fields" targetNamespace="http://schemas.microsoft.com/office/2006/metadata/properties" ma:root="true" ma:fieldsID="7a353cbd70e34de88a99e974d16197db" ns1:_="" ns2:_="" ns3:_="">
    <xsd:import namespace="http://schemas.microsoft.com/sharepoint/v3"/>
    <xsd:import namespace="b875e23b-67d9-4b2e-bdec-edacbf90b326"/>
    <xsd:import namespace="http://schemas.microsoft.com/sharepoint/v3/fields"/>
    <xsd:element name="properties">
      <xsd:complexType>
        <xsd:sequence>
          <xsd:element name="documentManagement">
            <xsd:complexType>
              <xsd:all>
                <xsd:element ref="ns2:N_x00b0_Oficio"/>
                <xsd:element ref="ns2:Entidad_x0020_Financiera" minOccurs="0"/>
                <xsd:element ref="ns2:Situación_x0020_actual" minOccurs="0"/>
                <xsd:element ref="ns1:KpiDescription" minOccurs="0"/>
                <xsd:element ref="ns2:Externo_x003f_" minOccurs="0"/>
                <xsd:element ref="ns3:_Status" minOccurs="0"/>
                <xsd:element ref="ns2:Firma_x0020_digital_x003f_" minOccurs="0"/>
                <xsd:element ref="ns2:Firma_x0020_despacho_x003f_" minOccurs="0"/>
                <xsd:element ref="ns2:Enviado_x0020_por1" minOccurs="0"/>
                <xsd:element ref="ns2:Firmantes" minOccurs="0"/>
                <xsd:element ref="ns2:Secretaria" minOccurs="0"/>
                <xsd:element ref="ns2:Con_x0020_copia" minOccurs="0"/>
                <xsd:element ref="ns2:Enviado_x0020_por" minOccurs="0"/>
                <xsd:element ref="ns2:Dependencia" minOccurs="0"/>
                <xsd:element ref="ns2:Entrante_x0020_relacionado" minOccurs="0"/>
                <xsd:element ref="ns2:Año" minOccurs="0"/>
                <xsd:element ref="ns2:Fecha_x0020_notificació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N_x00b0_Oficio" ma:index="1" ma:displayName="N°Oficio" ma:default="SUGEF-" ma:internalName="N_x00B0_Oficio" ma:readOnly="false">
      <xsd:simpleType>
        <xsd:restriction base="dms:Text">
          <xsd:maxLength value="50"/>
        </xsd:restriction>
      </xsd:simpleType>
    </xsd:element>
    <xsd:element name="Entidad_x0020_Financiera" ma:index="2" nillable="true" ma:displayName="Entidad Financiera" ma:format="Dropdown" ma:internalName="Entidad_x0020_Financiera">
      <xsd:simpleType>
        <xsd:union memberTypes="dms:Text">
          <xsd:simpleType>
            <xsd:restriction base="dms:Choice">
              <xsd:enumeration value="Seleccione una opción"/>
              <xsd:enumeration value="BANCO CREDITO AGRICOLA DE CARTAGO"/>
              <xsd:enumeration value="BANCO DE COSTA RICA"/>
              <xsd:enumeration value="Banco Nacional de Costa Rica."/>
              <xsd:enumeration value="BANCO HIPOTECARIO DE LA VIVIENDA"/>
              <xsd:enumeration value="BANCO POPULAR Y DE DESARROLLO COMUNAL"/>
              <xsd:enumeration value="BANCO BAC SAN JOSE S A"/>
              <xsd:enumeration value="BANCO GENERAL COSTA RICA SOCIEDAD ANONIMA"/>
              <xsd:enumeration value="Banco de Soluciones Bansol de Costa Rica S A"/>
              <xsd:enumeration value="BANCO BCT S A"/>
              <xsd:enumeration value="Banco Cathay de Costa Rica, S.A."/>
              <xsd:enumeration value="BANCO CITIBANK DE COSTA RICA SOCIEDAD ANONIMA"/>
              <xsd:enumeration value="Banco Davivienda Costa Rica Sociedad Anonima"/>
              <xsd:enumeration value="BANCO IMPROSA S A"/>
              <xsd:enumeration value="BANCO LAFISE SOCIEDAD ANONIMA"/>
              <xsd:enumeration value="BANCO PROMERICA DE COSTA RICA S A"/>
              <xsd:enumeration value="SCOTIABANK DE COSTA RICA S A"/>
              <xsd:enumeration value="Financiera ACOBO S A"/>
              <xsd:enumeration value="Financiera Cafsa, S.A."/>
              <xsd:enumeration value="Financiera Comeca, S.A."/>
              <xsd:enumeration value="Financiera Desyfin S.A."/>
              <xsd:enumeration value="FINANCIERA G&amp;T CONTINENTAL COSTA RICA S A"/>
              <xsd:enumeration value="Financiera Multivalores S.A"/>
              <xsd:enumeration value="Caja de Ahorro y Préstamo de la Ande."/>
              <xsd:enumeration value="COOPERATIVA DE AHORRO Y CREDITO DE LOS VECINOS DE ACOSTA R L COOPEACOSTA R L"/>
              <xsd:enumeration value="COOPERATIVA DE AHORRO Y CREDITO ALIANZA DE PEREZ ZELEDON R L COOPEALIANZA R L"/>
              <xsd:enumeration value="Cooperativa de Ahorro y Crédito La Amistad, R.L."/>
              <xsd:enumeration value="Cooperativa de Ahorro y Crédito ANDE No. 1, R.L. (COOPEANDE No 1 R.L.)"/>
              <xsd:enumeration value="COOPERATIVA DE AHORRO Y CREDITO DE LOS EDUCADORES DE LA REGION HUETAR NORTE R L COOPEANDE No7 R L"/>
              <xsd:enumeration value="Cooperativa Aserriceña de Ahorro y Crédito R L COOPEASERRI R L"/>
              <xsd:enumeration value="COOPERATIVA DE AHORRO Y CREDITO DE LOS EMPLEADOS DEL INSTITUTO COSTARRICENSE DE ACUEDUCTOS Y ALCANTARILLADOS R L"/>
              <xsd:enumeration value="COOPERATIVA DE AHORRO Y CREDITO DE LOS TRABAJADORES DEL SECTOR PUBLICO COSTARRICENSE Y LAS EMPRESAS DEL SECTOR SALUD R L COOPECAJA R L"/>
              <xsd:enumeration value="COOPERATIVA DE AHORRO Y CREDITO DE LA COMUNIDAD DE CIUDAD QUESADA R L COOCIQUE R L"/>
              <xsd:enumeration value="COOPERATIVA DE AHORRO Y CREDITO ANTONIO VEGA GRANADOS R L COOPAVEGRA R L"/>
              <xsd:enumeration value="COOPERATIVA DE AHORRO Y CREDITO REFRACCIONARIO DE ALFARO RUIZ R L COOPECAR R L"/>
              <xsd:enumeration value="Cooperativa de Ahorro y Crédito de los Empleados de la Contraloría General de la República R L COOPECO R L"/>
              <xsd:enumeration value="COOPERATIVA DE AHORRO Y CREDITO DE LOS EMPLEADOS DEL SECTOR PUBLICO PRIVADO E INDEPENDIENTE R L COOPEFYL R L"/>
              <xsd:enumeration value="Cooperativa de Ahorro y Crédito de los Productores de Leche R L COOPELECHEROS R L"/>
              <xsd:enumeration value="COOPERATIVA NACIONAL DE EDUCADORES R L (COOPENAE R L)"/>
              <xsd:enumeration value="Cooperativa de Ahorro y Crédito para el Desarrollo, R.L. (CREDECOOP R.L)"/>
              <xsd:enumeration value="COOPERATIVA DE AHORRO Y CREDITO REFRACCIONARIO DE LA COMUNIDAD DE ESPARZA R L COOPESPARTA R L"/>
              <xsd:enumeration value="COOPERATIVA DE AHORRO Y CREDITO DE LA COMUNIDAD DE GRECIA R L (COOPEGRECIA)"/>
              <xsd:enumeration value="COOPERATIVA DE AHORRO Y CREDITO DE SERVIDORES JUDICIALES R L COOPEJUDICIAL R L"/>
              <xsd:enumeration value="COOPERATIVA DE AHORRO CREDITO Y SERVICIOS MULTIPLES DE MAESTROS PENSIONADOS Y EN SERVICIO ABIERTO A LA COMUNIDAD R L COOPEMAPRO R L"/>
              <xsd:enumeration value="COOPERATIVA DE AHORRO Y CREDITO Y SERVICIOS MULTIPLES DE LOS MEDICOS R L COOPEMEDICOS R L"/>
              <xsd:enumeration value="COOPERATIVA DE AHORRO Y CREDITO DE LOS EMPLEADOS DEL MINISTERIO DE EDUCACION PUBLICA R L COOPEMEP R L"/>
              <xsd:enumeration value="COOPERATIVA DE AHORRO Y CREDITO DE OROTINA R L COOPEOROTINA R L"/>
              <xsd:enumeration value="COOPERATIVA DE AHORRO Y CREDITO DE LOS EMPLEADOS DEL BANCO POPULAR Y DE DESARROLLO COMUNAL R L COOPEBANPO R L"/>
              <xsd:enumeration value="COOPERATIVA DE AHORRO Y CREDITO DE SAN MARCOS DE TARRAZU R L COOPESANMARCOS R L"/>
              <xsd:enumeration value="COOPERATIVA DE AHORRO Y CREDITO REFACCIONARIO DE LA COMUNIDAD DE SAN RAMON R L COOPESANRAMON R L"/>
              <xsd:enumeration value="SERVICIOS COOPERATIVOS R L (SERVICOOP R L)"/>
              <xsd:enumeration value="COOPERATIVA DE AHORRO Y CREDITO DE LOS SERVIDORES PUBLICOS R L COOPESERVIDORES R L"/>
              <xsd:enumeration value="Cooperativa de Ahorro y Crédito de los Empleados Universitarios Estatales R.L."/>
              <xsd:enumeration value="GRUPO MUTUAL ALAJUELA LA VIVIENDA DE AHORRO Y PRESTAMO"/>
              <xsd:enumeration value="Mutual Cartago de Ahorro y Préstamo"/>
              <xsd:enumeration value="Global Exchange Casa de Cambio S A"/>
              <xsd:enumeration value="SERVIEXPRESO MONEY TRANSFERS CASA DE CAMBIO S A"/>
              <xsd:enumeration value="Casa de Cambio Tele Dólar Expreso S.A."/>
              <xsd:enumeration value="LATIN AMERICAN EXCHANGE LATINEX CASA DE CAMBIO S A"/>
              <xsd:enumeration value="CASA DE CAMBIO SOLUCIONES MONETARIAS SOCIEDAD ANONIMA"/>
            </xsd:restriction>
          </xsd:simpleType>
        </xsd:union>
      </xsd:simpleType>
    </xsd:element>
    <xsd:element name="Situación_x0020_actual" ma:index="3" nillable="true" ma:displayName="Observaciones" ma:description="" ma:internalName="Situaci_x00f3_n_x0020_actual">
      <xsd:simpleType>
        <xsd:restriction base="dms:Note"/>
      </xsd:simpleType>
    </xsd:element>
    <xsd:element name="Externo_x003f_" ma:index="5" nillable="true" ma:displayName="Externo?" ma:default="1" ma:description="Externo/Interno" ma:internalName="Externo_x003F_">
      <xsd:simpleType>
        <xsd:restriction base="dms:Boolean"/>
      </xsd:simpleType>
    </xsd:element>
    <xsd:element name="Firma_x0020_digital_x003f_" ma:index="7" nillable="true" ma:displayName="Firma digital?" ma:default="0" ma:internalName="Firma_x0020_digital_x003F_">
      <xsd:simpleType>
        <xsd:restriction base="dms:Boolean"/>
      </xsd:simpleType>
    </xsd:element>
    <xsd:element name="Firma_x0020_despacho_x003f_" ma:index="8" nillable="true" ma:displayName="Firma despacho?" ma:default="0" ma:internalName="Firma_x0020_despacho_x003F_">
      <xsd:simpleType>
        <xsd:restriction base="dms:Boolean"/>
      </xsd:simpleType>
    </xsd:element>
    <xsd:element name="Enviado_x0020_por1" ma:index="9" nillable="true" ma:displayName="Remisor" ma:default="Seleccione una opción" ma:format="Dropdown" ma:internalName="Enviado_x0020_por1">
      <xsd:simpleType>
        <xsd:restriction base="dms:Choice">
          <xsd:enumeration value="Aseguramiento de la Calidad"/>
          <xsd:enumeration value="Asesoría Jurídica"/>
          <xsd:enumeration value="Bancos Públicos"/>
          <xsd:enumeration value="Bancos Privados"/>
          <xsd:enumeration value="Capacitación y Organismos Internacionales"/>
          <xsd:enumeration value="Coordinación Administrativa"/>
          <xsd:enumeration value="Despacho"/>
          <xsd:enumeration value="Empresas Financieras"/>
          <xsd:enumeration value="Informática"/>
          <xsd:enumeration value="Ley 8204"/>
          <xsd:enumeration value="Normas"/>
          <xsd:enumeration value="Riesgo Global"/>
          <xsd:enumeration value="Servicios Técnicos"/>
          <xsd:enumeration value="Seleccione una opción"/>
        </xsd:restriction>
      </xsd:simpleType>
    </xsd:element>
    <xsd:element name="Firmantes" ma:index="10" nillable="true" ma:displayName="Firmantes" ma:description="CAMPO REQUERIDO" ma:list="UserInfo" ma:SharePointGroup="0" ma:internalName="Firmant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ia" ma:index="11" nillable="true" ma:displayName="Secretaria" ma:list="UserInfo" ma:SharePointGroup="0" ma:internalName="Secretar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_x0020_copia" ma:index="12" nillable="true" ma:displayName="Con copia" ma:list="UserInfo" ma:SharePointGroup="0" ma:internalName="Con_x0020_copia"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iado_x0020_por" ma:index="13" nillable="true" ma:displayName="EnviadoPor" ma:internalName="Enviado_x0020_por">
      <xsd:simpleType>
        <xsd:restriction base="dms:Text">
          <xsd:maxLength value="255"/>
        </xsd:restriction>
      </xsd:simpleType>
    </xsd:element>
    <xsd:element name="Dependencia" ma:index="14" nillable="true" ma:displayName="Dependencia" ma:internalName="Dependencia" ma:readOnly="false">
      <xsd:complexType>
        <xsd:complexContent>
          <xsd:extension base="dms:MultiChoice">
            <xsd:sequence>
              <xsd:element name="Value" maxOccurs="unbounded" minOccurs="0" nillable="true">
                <xsd:simpleType>
                  <xsd:restriction base="dms:Choice">
                    <xsd:enumeration value="SUGEF AC"/>
                    <xsd:enumeration value="SUGEF ACL8204"/>
                    <xsd:enumeration value="SUGEF CA"/>
                    <xsd:enumeration value="SUGEF CyOI"/>
                    <xsd:enumeration value="SUGEF RG"/>
                    <xsd:enumeration value="SUGEF DBPGF"/>
                    <xsd:enumeration value="SUGEF DBPM"/>
                    <xsd:enumeration value="SUGEF DAJ"/>
                    <xsd:enumeration value="SUGEF Despacho"/>
                    <xsd:enumeration value="SUGEF Borradores Despacho"/>
                    <xsd:enumeration value="SUGEF DI"/>
                    <xsd:enumeration value="SUGEF DEFC"/>
                    <xsd:enumeration value="SUGEF DST"/>
                    <xsd:enumeration value="SUGEF Normas"/>
                    <xsd:enumeration value="Presidencia"/>
                    <xsd:enumeration value="Gerencia"/>
                    <xsd:enumeration value="Subgerencia"/>
                    <xsd:enumeration value="DAD Buzon"/>
                    <xsd:enumeration value="DFC Buzón"/>
                    <xsd:enumeration value="DSF Buzon"/>
                    <xsd:enumeration value="DEC Buzon"/>
                    <xsd:enumeration value="DAP Buzon"/>
                    <xsd:enumeration value="DGD Buzon"/>
                    <xsd:enumeration value="DST Buzon"/>
                    <xsd:enumeration value="DSG Despacho"/>
                    <xsd:enumeration value="DAJ Despacho"/>
                    <xsd:enumeration value="AUDITORIA INTERNA"/>
                    <xsd:enumeration value="AUDITORIA INTERNA CONASSIF"/>
                    <xsd:enumeration value="CONASSIF"/>
                    <xsd:enumeration value="APROBACEN"/>
                    <xsd:enumeration value="ASOBACEN"/>
                    <xsd:enumeration value="COOPEBACEN"/>
                    <xsd:enumeration value="Sindicato"/>
                  </xsd:restriction>
                </xsd:simpleType>
              </xsd:element>
            </xsd:sequence>
          </xsd:extension>
        </xsd:complexContent>
      </xsd:complexType>
    </xsd:element>
    <xsd:element name="Entrante_x0020_relacionado" ma:index="1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Año" ma:index="16" nillable="true" ma:displayName="Año" ma:default="2015"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Fecha_x0020_notificación" ma:index="25" nillable="true" ma:displayName="Fecha de Notificación" ma:description="Fecha de notificación del oficio" ma:format="DateOnly" ma:internalName="Fecha_x0020_notificaci_x00f3_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Estado" ma:default="Para tramitar" ma:format="Dropdown" ma:internalName="_Status">
      <xsd:simpleType>
        <xsd:restriction base="dms:Choice">
          <xsd:enumeration value="Firmado"/>
          <xsd:enumeration value="Notificado"/>
          <xsd:enumeration value="Pendiente"/>
          <xsd:enumeration value="Para tramitar"/>
          <xsd:enumeration value="Rechazado"/>
          <xsd:enumeration value="Tramit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d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A49F9D1B-B028-4950-BFEC-62AD1B44D670}"/>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63CA6F68-1399-4C86-ADB5-22282AB3BCE1}"/>
</file>

<file path=customXml/itemProps5.xml><?xml version="1.0" encoding="utf-8"?>
<ds:datastoreItem xmlns:ds="http://schemas.openxmlformats.org/officeDocument/2006/customXml" ds:itemID="{DD8D392A-8192-4F34-A99B-D76624328066}"/>
</file>

<file path=docProps/app.xml><?xml version="1.0" encoding="utf-8"?>
<Properties xmlns="http://schemas.openxmlformats.org/officeDocument/2006/extended-properties" xmlns:vt="http://schemas.openxmlformats.org/officeDocument/2006/docPropsVTypes">
  <Template>plantilla-SGF-13.dotm</Template>
  <TotalTime>12</TotalTime>
  <Pages>3</Pages>
  <Words>984</Words>
  <Characters>5414</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Alonso Segura Calderón</dc:creator>
  <cp:keywords/>
  <dc:description/>
  <cp:lastModifiedBy>Gilberto Arce Alpízar</cp:lastModifiedBy>
  <cp:revision>7</cp:revision>
  <cp:lastPrinted>2015-07-30T22:36:00Z</cp:lastPrinted>
  <dcterms:created xsi:type="dcterms:W3CDTF">2015-12-17T17:58:00Z</dcterms:created>
  <dcterms:modified xsi:type="dcterms:W3CDTF">2015-12-17T18:17:00Z</dcterms:modified>
  <cp:category/>
  <cp:contentStatus>Firmado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0x010100693E853EF8C1A34581F50C7740010A8B00665458B34368EA438EB6C6D1830E5626</vt:lpwstr>
  </property>
  <property fmtid="{D5CDD505-2E9C-101B-9397-08002B2CF9AE}" pid="3" name="Trámite">
    <vt:lpwstr>Correspondencia saliente</vt:lpwstr>
  </property>
  <property fmtid="{D5CDD505-2E9C-101B-9397-08002B2CF9AE}" pid="4" name="%Avance">
    <vt:r8>1</vt:r8>
  </property>
  <property fmtid="{D5CDD505-2E9C-101B-9397-08002B2CF9AE}" pid="5" name="Copiado a">
    <vt:lpwstr/>
  </property>
  <property fmtid="{D5CDD505-2E9C-101B-9397-08002B2CF9AE}" pid="6" name="Externo?">
    <vt:bool>true</vt:bool>
  </property>
  <property fmtid="{D5CDD505-2E9C-101B-9397-08002B2CF9AE}" pid="7" name="Con copia">
    <vt:lpwstr/>
  </property>
  <property fmtid="{D5CDD505-2E9C-101B-9397-08002B2CF9AE}" pid="8" name="Días seguimiento">
    <vt:lpwstr/>
  </property>
  <property fmtid="{D5CDD505-2E9C-101B-9397-08002B2CF9AE}" pid="9" name="Tipo de envío">
    <vt:lpwstr/>
  </property>
  <property fmtid="{D5CDD505-2E9C-101B-9397-08002B2CF9AE}" pid="10" name="N°Oficio">
    <vt:lpwstr>3374-2015</vt:lpwstr>
  </property>
  <property fmtid="{D5CDD505-2E9C-101B-9397-08002B2CF9AE}" pid="11" name="Firmantes">
    <vt:lpwstr/>
  </property>
  <property fmtid="{D5CDD505-2E9C-101B-9397-08002B2CF9AE}" pid="12" name="Seguimiento?">
    <vt:lpwstr>false</vt:lpwstr>
  </property>
  <property fmtid="{D5CDD505-2E9C-101B-9397-08002B2CF9AE}" pid="13" name="Fecha Notificado">
    <vt:lpwstr/>
  </property>
</Properties>
</file>